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7032" w14:textId="77777777" w:rsidR="00606A5A" w:rsidRPr="005652CF" w:rsidRDefault="00606A5A" w:rsidP="00606A5A">
      <w:pPr>
        <w:framePr w:wrap="auto" w:yAlign="inline"/>
        <w:rPr>
          <w:rStyle w:val="None"/>
        </w:rPr>
      </w:pPr>
      <w:r w:rsidRPr="005652CF">
        <w:rPr>
          <w:rStyle w:val="None"/>
          <w:b/>
          <w:bCs/>
        </w:rPr>
        <w:t>Supplementary Information:</w:t>
      </w:r>
      <w:r w:rsidRPr="005652CF">
        <w:rPr>
          <w:rStyle w:val="None"/>
        </w:rPr>
        <w:t xml:space="preserve"> </w:t>
      </w:r>
    </w:p>
    <w:p w14:paraId="3E7FE995" w14:textId="77777777" w:rsidR="00606A5A" w:rsidRPr="005652CF" w:rsidRDefault="00606A5A" w:rsidP="00606A5A">
      <w:pPr>
        <w:framePr w:wrap="auto" w:yAlign="inline"/>
        <w:rPr>
          <w:b/>
          <w:bCs/>
          <w:sz w:val="32"/>
          <w:szCs w:val="32"/>
        </w:rPr>
      </w:pPr>
    </w:p>
    <w:p w14:paraId="4C30D48A" w14:textId="77777777" w:rsidR="00606A5A" w:rsidRPr="005652CF" w:rsidRDefault="00606A5A" w:rsidP="00606A5A">
      <w:pPr>
        <w:framePr w:wrap="auto" w:yAlign="inline"/>
        <w:rPr>
          <w:b/>
          <w:bCs/>
          <w:sz w:val="32"/>
          <w:szCs w:val="32"/>
        </w:rPr>
      </w:pPr>
      <w:r w:rsidRPr="005652CF">
        <w:rPr>
          <w:b/>
          <w:bCs/>
          <w:sz w:val="32"/>
          <w:szCs w:val="32"/>
        </w:rPr>
        <w:t xml:space="preserve">Alvarez varifocal X-ray lens </w:t>
      </w:r>
    </w:p>
    <w:p w14:paraId="0856A30E" w14:textId="77777777" w:rsidR="00606A5A" w:rsidRPr="005652CF" w:rsidRDefault="00606A5A" w:rsidP="00606A5A">
      <w:pPr>
        <w:framePr w:wrap="auto" w:yAlign="inline"/>
      </w:pPr>
      <w:r w:rsidRPr="005652CF">
        <w:t xml:space="preserve">Vishal </w:t>
      </w:r>
      <w:proofErr w:type="spellStart"/>
      <w:r w:rsidRPr="005652CF">
        <w:t>Dhamgaye</w:t>
      </w:r>
      <w:proofErr w:type="spellEnd"/>
      <w:r w:rsidRPr="005652CF">
        <w:t xml:space="preserve">, David </w:t>
      </w:r>
      <w:proofErr w:type="spellStart"/>
      <w:r w:rsidRPr="005652CF">
        <w:t>Laundy</w:t>
      </w:r>
      <w:proofErr w:type="spellEnd"/>
      <w:r w:rsidRPr="005652CF">
        <w:t xml:space="preserve">, Thomas Moxham, Sara </w:t>
      </w:r>
      <w:proofErr w:type="spellStart"/>
      <w:r w:rsidRPr="005652CF">
        <w:t>Baldock</w:t>
      </w:r>
      <w:proofErr w:type="spellEnd"/>
      <w:r w:rsidRPr="005652CF">
        <w:t xml:space="preserve">, Hossein </w:t>
      </w:r>
      <w:proofErr w:type="spellStart"/>
      <w:r w:rsidRPr="005652CF">
        <w:t>Khosroabadi</w:t>
      </w:r>
      <w:proofErr w:type="spellEnd"/>
      <w:r w:rsidRPr="005652CF">
        <w:t xml:space="preserve">, Oliver Fox &amp; </w:t>
      </w:r>
      <w:proofErr w:type="spellStart"/>
      <w:r w:rsidRPr="005652CF">
        <w:t>Kawal</w:t>
      </w:r>
      <w:proofErr w:type="spellEnd"/>
      <w:r w:rsidRPr="005652CF">
        <w:t xml:space="preserve"> Sawhney</w:t>
      </w:r>
    </w:p>
    <w:p w14:paraId="7EB9F94B" w14:textId="77777777" w:rsidR="00606A5A" w:rsidRPr="005652CF" w:rsidRDefault="00606A5A" w:rsidP="00606A5A">
      <w:pPr>
        <w:framePr w:wrap="auto" w:yAlign="inline"/>
      </w:pPr>
    </w:p>
    <w:p w14:paraId="3F9DAEB4" w14:textId="77777777" w:rsidR="00606A5A" w:rsidRPr="005652CF" w:rsidRDefault="00606A5A" w:rsidP="00606A5A">
      <w:pPr>
        <w:framePr w:wrap="auto" w:yAlign="inline"/>
      </w:pPr>
      <w:r w:rsidRPr="005652CF">
        <w:rPr>
          <w:noProof/>
        </w:rPr>
      </w:r>
      <w:r w:rsidR="00606A5A" w:rsidRPr="005652CF">
        <w:rPr>
          <w:noProof/>
        </w:rPr>
        <w:object w:dxaOrig="6056" w:dyaOrig="4632" w14:anchorId="32764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0.75pt;height:168.4pt;mso-width-percent:0;mso-height-percent:0;mso-width-percent:0;mso-height-percent:0" o:ole="">
            <v:imagedata r:id="rId4" o:title=""/>
          </v:shape>
          <o:OLEObject Type="Embed" ProgID="Origin95.Graph" ShapeID="_x0000_i1025" DrawAspect="Content" ObjectID="_1718123321" r:id="rId5"/>
        </w:object>
      </w:r>
      <w:r w:rsidRPr="005652CF">
        <w:rPr>
          <w:noProof/>
        </w:rPr>
      </w:r>
      <w:r w:rsidR="00606A5A" w:rsidRPr="005652CF">
        <w:rPr>
          <w:noProof/>
        </w:rPr>
        <w:object w:dxaOrig="6056" w:dyaOrig="4632" w14:anchorId="13B2B4DC">
          <v:shape id="_x0000_i1026" type="#_x0000_t75" alt="" style="width:218.4pt;height:166pt;mso-width-percent:0;mso-height-percent:0;mso-width-percent:0;mso-height-percent:0" o:ole="">
            <v:imagedata r:id="rId6" o:title=""/>
          </v:shape>
          <o:OLEObject Type="Embed" ProgID="Origin95.Graph" ShapeID="_x0000_i1026" DrawAspect="Content" ObjectID="_1718123322" r:id="rId7"/>
        </w:object>
      </w:r>
    </w:p>
    <w:p w14:paraId="1F43FDFE" w14:textId="6C84052F" w:rsidR="00606A5A" w:rsidRPr="005652CF" w:rsidRDefault="00606A5A" w:rsidP="00606A5A">
      <w:pPr>
        <w:framePr w:wrap="auto" w:yAlign="inline"/>
        <w:rPr>
          <w:rStyle w:val="None"/>
        </w:rPr>
      </w:pPr>
      <w:r w:rsidRPr="005652CF">
        <w:rPr>
          <w:rStyle w:val="None"/>
        </w:rPr>
        <w:t>Fig</w:t>
      </w:r>
      <w:r w:rsidR="0029292D">
        <w:rPr>
          <w:rStyle w:val="None"/>
        </w:rPr>
        <w:t>.</w:t>
      </w:r>
      <w:r w:rsidRPr="005652CF">
        <w:rPr>
          <w:rStyle w:val="None"/>
        </w:rPr>
        <w:t xml:space="preserve"> S1: Back focal length tuning (red solid dots) of HKB around its focal length </w:t>
      </w:r>
      <w:proofErr w:type="spellStart"/>
      <w:r w:rsidRPr="005652CF">
        <w:rPr>
          <w:rStyle w:val="None"/>
          <w:i/>
          <w:iCs/>
        </w:rPr>
        <w:t>f</w:t>
      </w:r>
      <w:r w:rsidRPr="005652CF">
        <w:rPr>
          <w:rStyle w:val="None"/>
          <w:vertAlign w:val="subscript"/>
        </w:rPr>
        <w:t>KB</w:t>
      </w:r>
      <w:proofErr w:type="spellEnd"/>
      <w:r w:rsidRPr="005652CF">
        <w:rPr>
          <w:rStyle w:val="None"/>
        </w:rPr>
        <w:t xml:space="preserve"> = 125 mm as a function of the lateral shift in A</w:t>
      </w:r>
      <w:r w:rsidRPr="005652CF">
        <w:rPr>
          <w:rStyle w:val="None"/>
          <w:lang w:val="en-GB"/>
        </w:rPr>
        <w:t xml:space="preserve">XL1 and AXL2 </w:t>
      </w:r>
      <w:r w:rsidRPr="005652CF">
        <w:rPr>
          <w:rStyle w:val="None"/>
        </w:rPr>
        <w:t xml:space="preserve">that provides a varying parabolic concave and convex profiles of a different radius of curvatures (blue line).   </w:t>
      </w:r>
    </w:p>
    <w:p w14:paraId="0E73C182" w14:textId="77777777" w:rsidR="00606A5A" w:rsidRPr="005652CF" w:rsidRDefault="00606A5A" w:rsidP="00606A5A">
      <w:pPr>
        <w:framePr w:wrap="auto" w:yAlign="inline"/>
        <w:rPr>
          <w:rStyle w:val="None"/>
        </w:rPr>
      </w:pPr>
    </w:p>
    <w:p w14:paraId="09D34F9A" w14:textId="77777777" w:rsidR="00606A5A" w:rsidRPr="005652CF" w:rsidRDefault="00606A5A" w:rsidP="00606A5A">
      <w:pPr>
        <w:framePr w:wrap="auto" w:yAlign="inline"/>
        <w:rPr>
          <w:rStyle w:val="None"/>
        </w:rPr>
      </w:pPr>
    </w:p>
    <w:p w14:paraId="0AA18357" w14:textId="77777777" w:rsidR="00606A5A" w:rsidRPr="005652CF" w:rsidRDefault="00606A5A" w:rsidP="00606A5A">
      <w:pPr>
        <w:framePr w:wrap="auto" w:yAlign="inline"/>
        <w:rPr>
          <w:rStyle w:val="None"/>
        </w:rPr>
      </w:pPr>
    </w:p>
    <w:p w14:paraId="71386384" w14:textId="77777777" w:rsidR="00606A5A" w:rsidRPr="005652CF" w:rsidRDefault="00606A5A" w:rsidP="00606A5A">
      <w:pPr>
        <w:framePr w:wrap="auto" w:yAlign="inline"/>
      </w:pPr>
      <w:r w:rsidRPr="005652C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2CDFB" wp14:editId="41E51E2E">
                <wp:simplePos x="0" y="0"/>
                <wp:positionH relativeFrom="column">
                  <wp:posOffset>69156</wp:posOffset>
                </wp:positionH>
                <wp:positionV relativeFrom="paragraph">
                  <wp:posOffset>332515</wp:posOffset>
                </wp:positionV>
                <wp:extent cx="430306" cy="276625"/>
                <wp:effectExtent l="0" t="0" r="2730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306" cy="2766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D56D5" w14:textId="77777777" w:rsidR="00606A5A" w:rsidRPr="009644EA" w:rsidRDefault="00606A5A" w:rsidP="00606A5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644EA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2CD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.45pt;margin-top:26.2pt;width:33.9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" fillcolor="black [3213]" strokeweight=".5pt">
                <v:textbox>
                  <w:txbxContent>
                    <w:p w14:paraId="078D56D5" w14:textId="77777777" w:rsidR="00606A5A" w:rsidRPr="009644EA" w:rsidRDefault="00606A5A" w:rsidP="00606A5A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644EA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5652CF">
        <w:rPr>
          <w:noProof/>
          <w:lang w:val="en-IN" w:eastAsia="en-IN"/>
        </w:rPr>
        <w:drawing>
          <wp:inline distT="0" distB="0" distL="0" distR="0" wp14:anchorId="0DC39844" wp14:editId="23B51C1B">
            <wp:extent cx="2712720" cy="1941195"/>
            <wp:effectExtent l="0" t="0" r="5080" b="14605"/>
            <wp:docPr id="8" name="Picture 1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6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652CF">
        <w:rPr>
          <w:noProof/>
        </w:rPr>
        <w:drawing>
          <wp:inline distT="0" distB="0" distL="0" distR="0" wp14:anchorId="76040282" wp14:editId="12E1391A">
            <wp:extent cx="2971800" cy="2210729"/>
            <wp:effectExtent l="0" t="0" r="0" b="0"/>
            <wp:docPr id="6" name="Picture 6" descr="A picture containing text, screen, clock,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, clock, dar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041" cy="223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EA0AA" w14:textId="660AE2C4" w:rsidR="00606A5A" w:rsidRDefault="00606A5A" w:rsidP="00606A5A">
      <w:pPr>
        <w:framePr w:wrap="auto" w:yAlign="inline"/>
      </w:pPr>
      <w:r w:rsidRPr="005652CF">
        <w:rPr>
          <w:lang w:val="en-GB"/>
        </w:rPr>
        <w:t>Fig</w:t>
      </w:r>
      <w:r w:rsidR="0029292D">
        <w:rPr>
          <w:lang w:val="en-GB"/>
        </w:rPr>
        <w:t>.</w:t>
      </w:r>
      <w:r w:rsidRPr="005652CF">
        <w:rPr>
          <w:lang w:val="en-GB"/>
        </w:rPr>
        <w:t xml:space="preserve"> S2: </w:t>
      </w:r>
      <w:r w:rsidRPr="005652CF">
        <w:t xml:space="preserve">Design data of Structure-B of AXL in (a) 3-dimensions and (b) 2-dimensions. </w:t>
      </w:r>
      <w:r w:rsidRPr="005652CF">
        <w:rPr>
          <w:rFonts w:cs="Calibri"/>
        </w:rPr>
        <w:t xml:space="preserve">The blue to red color blocks shows the sequence of block printing by a 3D printer. </w:t>
      </w:r>
      <w:r w:rsidRPr="005652CF">
        <w:t xml:space="preserve">The geometric aperture of all AXLs was 400 </w:t>
      </w:r>
      <w:proofErr w:type="spellStart"/>
      <w:r w:rsidRPr="005652CF">
        <w:rPr>
          <w:rFonts w:ascii="Times New Roman" w:hAnsi="Times New Roman" w:cs="Times New Roman"/>
        </w:rPr>
        <w:t>μ</w:t>
      </w:r>
      <w:r w:rsidRPr="005652CF">
        <w:rPr>
          <w:rFonts w:cs="Calibri"/>
        </w:rPr>
        <w:t>m</w:t>
      </w:r>
      <w:proofErr w:type="spellEnd"/>
      <w:r w:rsidRPr="005652CF">
        <w:rPr>
          <w:rFonts w:cs="Calibri"/>
        </w:rPr>
        <w:t>. The fiducials shown in (b) were used for the alignment between optical elements of the AXL.</w:t>
      </w:r>
      <w:r>
        <w:rPr>
          <w:rFonts w:cs="Calibri"/>
        </w:rPr>
        <w:t xml:space="preserve">  </w:t>
      </w:r>
    </w:p>
    <w:sectPr w:rsidR="00606A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0" w:h="16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573459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6E0241" w14:textId="77777777" w:rsidR="00E354E3" w:rsidRDefault="0029292D" w:rsidP="00EC50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59678E" w14:textId="77777777" w:rsidR="0032559E" w:rsidRDefault="0029292D" w:rsidP="004029AF">
    <w:pPr>
      <w:pStyle w:val="Footer"/>
      <w:framePr w:wrap="aroun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abic Typesetting" w:hAnsi="Arabic Typesetting" w:cs="Arabic Typesetting"/>
        <w:sz w:val="28"/>
        <w:szCs w:val="28"/>
      </w:rPr>
      <w:id w:val="890536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C82AC5" w14:textId="77777777" w:rsidR="00E354E3" w:rsidRPr="004029AF" w:rsidRDefault="0029292D" w:rsidP="00EC505F">
        <w:pPr>
          <w:pStyle w:val="Footer"/>
          <w:framePr w:wrap="none" w:vAnchor="text" w:hAnchor="margin" w:xAlign="right" w:y="1"/>
          <w:rPr>
            <w:rStyle w:val="PageNumber"/>
            <w:rFonts w:ascii="Arabic Typesetting" w:hAnsi="Arabic Typesetting" w:cs="Arabic Typesetting"/>
            <w:sz w:val="28"/>
            <w:szCs w:val="28"/>
          </w:rPr>
        </w:pPr>
        <w:r w:rsidRPr="004029AF">
          <w:rPr>
            <w:rStyle w:val="PageNumber"/>
            <w:rFonts w:ascii="Arabic Typesetting" w:hAnsi="Arabic Typesetting" w:cs="Arabic Typesetting"/>
            <w:sz w:val="28"/>
            <w:szCs w:val="28"/>
          </w:rPr>
          <w:fldChar w:fldCharType="begin"/>
        </w:r>
        <w:r w:rsidRPr="004029AF">
          <w:rPr>
            <w:rStyle w:val="PageNumber"/>
            <w:rFonts w:ascii="Arabic Typesetting" w:hAnsi="Arabic Typesetting" w:cs="Arabic Typesetting"/>
            <w:sz w:val="28"/>
            <w:szCs w:val="28"/>
          </w:rPr>
          <w:instrText xml:space="preserve"> PAGE </w:instrText>
        </w:r>
        <w:r w:rsidRPr="004029AF">
          <w:rPr>
            <w:rStyle w:val="PageNumber"/>
            <w:rFonts w:ascii="Arabic Typesetting" w:hAnsi="Arabic Typesetting" w:cs="Arabic Typesetting"/>
            <w:sz w:val="28"/>
            <w:szCs w:val="28"/>
          </w:rPr>
          <w:fldChar w:fldCharType="separate"/>
        </w:r>
        <w:r w:rsidRPr="004029AF">
          <w:rPr>
            <w:rStyle w:val="PageNumber"/>
            <w:rFonts w:ascii="Arabic Typesetting" w:hAnsi="Arabic Typesetting" w:cs="Arabic Typesetting"/>
            <w:sz w:val="28"/>
            <w:szCs w:val="28"/>
          </w:rPr>
          <w:t>1</w:t>
        </w:r>
        <w:r w:rsidRPr="004029AF">
          <w:rPr>
            <w:rStyle w:val="PageNumber"/>
            <w:rFonts w:ascii="Arabic Typesetting" w:hAnsi="Arabic Typesetting" w:cs="Arabic Typesetting"/>
            <w:sz w:val="28"/>
            <w:szCs w:val="28"/>
          </w:rPr>
          <w:fldChar w:fldCharType="end"/>
        </w:r>
      </w:p>
    </w:sdtContent>
  </w:sdt>
  <w:p w14:paraId="571DBE8D" w14:textId="77777777" w:rsidR="00C9413C" w:rsidRPr="004029AF" w:rsidRDefault="0029292D" w:rsidP="004029AF">
    <w:pPr>
      <w:pStyle w:val="HeaderFooter"/>
      <w:framePr w:wrap="auto" w:yAlign="inline"/>
      <w:ind w:right="360"/>
      <w:rPr>
        <w:rFonts w:ascii="Arabic Typesetting" w:hAnsi="Arabic Typesetting" w:cs="Arabic Typesetting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2F24" w14:textId="77777777" w:rsidR="0032559E" w:rsidRDefault="0029292D">
    <w:pPr>
      <w:pStyle w:val="Footer"/>
      <w:framePr w:wrap="aroun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684B" w14:textId="77777777" w:rsidR="0032559E" w:rsidRDefault="0029292D">
    <w:pPr>
      <w:pStyle w:val="Header"/>
      <w:framePr w:wrap="aroun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90AE" w14:textId="77777777" w:rsidR="00C9413C" w:rsidRDefault="0029292D">
    <w:pPr>
      <w:pStyle w:val="HeaderFooter"/>
      <w:framePr w:wrap="auto" w:yAlign="inli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F700" w14:textId="77777777" w:rsidR="0032559E" w:rsidRDefault="0029292D">
    <w:pPr>
      <w:pStyle w:val="Header"/>
      <w:framePr w:wrap="aroun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isplayBackgroundShape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5A"/>
    <w:rsid w:val="0029292D"/>
    <w:rsid w:val="0060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D12D7"/>
  <w15:chartTrackingRefBased/>
  <w15:docId w15:val="{AE123B47-2213-CD44-A57D-E86160AA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5A"/>
    <w:pPr>
      <w:framePr w:wrap="around" w:hAnchor="text" w:yAlign="top"/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606A5A"/>
    <w:pPr>
      <w:framePr w:wrap="around"/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06A5A"/>
    <w:rPr>
      <w:rFonts w:ascii="Calibri" w:eastAsia="Arial Unicode MS" w:hAnsi="Calibri" w:cs="Arial Unicode MS"/>
      <w:color w:val="000000"/>
      <w:sz w:val="22"/>
      <w:szCs w:val="22"/>
      <w:u w:color="000000"/>
      <w:lang w:val="en-US" w:eastAsia="en-GB"/>
    </w:rPr>
  </w:style>
  <w:style w:type="paragraph" w:styleId="Header">
    <w:name w:val="header"/>
    <w:basedOn w:val="Normal"/>
    <w:link w:val="HeaderChar"/>
    <w:qFormat/>
    <w:rsid w:val="00606A5A"/>
    <w:pPr>
      <w:framePr w:wrap="around"/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qFormat/>
    <w:rsid w:val="00606A5A"/>
    <w:rPr>
      <w:rFonts w:ascii="Calibri" w:eastAsia="Arial Unicode MS" w:hAnsi="Calibri" w:cs="Arial Unicode MS"/>
      <w:color w:val="000000"/>
      <w:sz w:val="22"/>
      <w:szCs w:val="22"/>
      <w:u w:color="000000"/>
      <w:lang w:val="en-US" w:eastAsia="en-GB"/>
    </w:rPr>
  </w:style>
  <w:style w:type="character" w:customStyle="1" w:styleId="None">
    <w:name w:val="None"/>
    <w:qFormat/>
    <w:rsid w:val="00606A5A"/>
  </w:style>
  <w:style w:type="paragraph" w:customStyle="1" w:styleId="HeaderFooter">
    <w:name w:val="Header &amp; Footer"/>
    <w:qFormat/>
    <w:rsid w:val="00606A5A"/>
    <w:pPr>
      <w:framePr w:wrap="around" w:hAnchor="text" w:yAlign="top"/>
      <w:tabs>
        <w:tab w:val="right" w:pos="9020"/>
      </w:tabs>
      <w:spacing w:after="160" w:line="259" w:lineRule="auto"/>
    </w:pPr>
    <w:rPr>
      <w:rFonts w:ascii="Helvetica Neue" w:eastAsia="Arial Unicode MS" w:hAnsi="Helvetica Neue" w:cs="Arial Unicode MS"/>
      <w:color w:val="000000"/>
      <w:lang w:eastAsia="en-GB"/>
    </w:rPr>
  </w:style>
  <w:style w:type="character" w:styleId="PageNumber">
    <w:name w:val="page number"/>
    <w:basedOn w:val="DefaultParagraphFont"/>
    <w:rsid w:val="0060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header" Target="header2.xml"/><Relationship Id="rId5" Type="http://schemas.openxmlformats.org/officeDocument/2006/relationships/oleObject" Target="embeddings/oleObject1.bin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Dhamgaye, Vishal (DLSLtd,RAL,SCI)</dc:creator>
  <cp:keywords/>
  <dc:description/>
  <cp:lastModifiedBy>Dhamgaye, Vishal (DLSLtd,RAL,SCI)</cp:lastModifiedBy>
  <cp:revision>2</cp:revision>
  <dcterms:created xsi:type="dcterms:W3CDTF">2022-06-30T18:21:00Z</dcterms:created>
  <dcterms:modified xsi:type="dcterms:W3CDTF">2022-06-30T18:38:00Z</dcterms:modified>
</cp:coreProperties>
</file>