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42C3" w14:textId="62DB3956" w:rsidR="00EA3737" w:rsidRPr="00EA3737" w:rsidRDefault="00EA3737" w:rsidP="00EA373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737">
        <w:rPr>
          <w:rFonts w:ascii="Times New Roman" w:hAnsi="Times New Roman" w:cs="Times New Roman"/>
          <w:sz w:val="24"/>
          <w:szCs w:val="24"/>
          <w:lang w:val="en-US"/>
        </w:rPr>
        <w:t>Supplementary materials</w:t>
      </w:r>
    </w:p>
    <w:p w14:paraId="6804B696" w14:textId="6ACCCBB6" w:rsidR="00EA3737" w:rsidRDefault="00081DAB" w:rsidP="00EA3737">
      <w:pPr>
        <w:spacing w:after="160" w:line="259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DB005C5" wp14:editId="026F5089">
            <wp:extent cx="3569408" cy="467536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727" cy="46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D9194" w14:textId="77777777" w:rsidR="00EA3737" w:rsidRPr="00D13C8F" w:rsidRDefault="00EA3737" w:rsidP="00C667C2">
      <w:pPr>
        <w:pStyle w:val="Contenutocornice"/>
        <w:spacing w:after="20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13C8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Fig. S1</w:t>
      </w:r>
      <w:r w:rsidRPr="00D13C8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Anti-proliferative activity of nanocomposites </w:t>
      </w:r>
      <w:r w:rsidRPr="00D13C8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on HaCaT cells, </w:t>
      </w:r>
      <w:r w:rsidRPr="00D13C8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 different concentrations (25-50-100 µg/mL, </w:t>
      </w:r>
      <w:r w:rsidRPr="00D13C8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after 24, 48, and 72 hours of treatment</w:t>
      </w:r>
      <w:r w:rsidRPr="00D13C8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Panel A:AP-1-NE0.1 Panel B: AP-11-NE0.2. Data are expressed as mean ± S.E.M. Mercaptopurine (1 µM) was used as a positive control. </w:t>
      </w:r>
      <w:r w:rsidRPr="00D13C8F">
        <w:rPr>
          <w:rFonts w:ascii="Times New Roman" w:eastAsia="Calibri" w:hAnsi="Times New Roman" w:cs="Times New Roman"/>
          <w:i/>
          <w:iCs/>
          <w:color w:val="000000" w:themeColor="text1"/>
          <w:kern w:val="2"/>
          <w:sz w:val="24"/>
          <w:szCs w:val="24"/>
          <w:lang w:val="en-GB"/>
        </w:rPr>
        <w:t>***, ** and * denote P&lt;0.001, P&lt;0.01 and P&lt;0.05 respectively formulations vs control</w:t>
      </w:r>
    </w:p>
    <w:p w14:paraId="2A26A2A0" w14:textId="77777777" w:rsidR="00EA3737" w:rsidRDefault="00EA3737" w:rsidP="00C667C2">
      <w:pPr>
        <w:spacing w:after="160" w:line="360" w:lineRule="auto"/>
        <w:jc w:val="center"/>
        <w:rPr>
          <w:lang w:val="en-US"/>
        </w:rPr>
      </w:pPr>
    </w:p>
    <w:p w14:paraId="1BB17A01" w14:textId="77777777" w:rsidR="00A22424" w:rsidRPr="00EA3737" w:rsidRDefault="00A22424" w:rsidP="00EA3737"/>
    <w:sectPr w:rsidR="00A22424" w:rsidRPr="00EA3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24"/>
    <w:rsid w:val="00081DAB"/>
    <w:rsid w:val="00A22424"/>
    <w:rsid w:val="00C667C2"/>
    <w:rsid w:val="00EA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B1A1"/>
  <w15:chartTrackingRefBased/>
  <w15:docId w15:val="{D3348C28-3ECE-4E6E-959B-C4AAE290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737"/>
    <w:pPr>
      <w:spacing w:after="120" w:line="264" w:lineRule="auto"/>
    </w:pPr>
    <w:rPr>
      <w:rFonts w:eastAsiaTheme="minorEastAsi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cornice">
    <w:name w:val="Contenuto cornice"/>
    <w:basedOn w:val="Normale"/>
    <w:qFormat/>
    <w:rsid w:val="00EA3737"/>
    <w:pPr>
      <w:suppressAutoHyphens/>
      <w:spacing w:after="160" w:line="256" w:lineRule="auto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Amante</dc:creator>
  <cp:keywords/>
  <dc:description/>
  <cp:lastModifiedBy>Chiara Amante</cp:lastModifiedBy>
  <cp:revision>6</cp:revision>
  <dcterms:created xsi:type="dcterms:W3CDTF">2022-06-29T08:46:00Z</dcterms:created>
  <dcterms:modified xsi:type="dcterms:W3CDTF">2022-06-30T13:09:00Z</dcterms:modified>
</cp:coreProperties>
</file>