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E203A" w14:textId="77777777" w:rsidR="008E4954" w:rsidRPr="00647011" w:rsidRDefault="008E4954" w:rsidP="008E4954">
      <w:pPr>
        <w:pStyle w:val="Heading1"/>
      </w:pPr>
      <w:r w:rsidRPr="00647011">
        <w:t>Supplementary Materials</w:t>
      </w:r>
    </w:p>
    <w:p w14:paraId="0671D913" w14:textId="77777777" w:rsidR="008E4954" w:rsidRDefault="008E4954" w:rsidP="009455B5">
      <w:pPr>
        <w:pStyle w:val="Heading2"/>
      </w:pPr>
    </w:p>
    <w:p w14:paraId="25749EA0" w14:textId="76F7407C" w:rsidR="009455B5" w:rsidRPr="00647011" w:rsidRDefault="009455B5" w:rsidP="009455B5">
      <w:pPr>
        <w:pStyle w:val="Heading2"/>
      </w:pPr>
      <w:r w:rsidRPr="00647011">
        <w:t>Models eliminating bias in treatment effect via inverse probability weighting (IPW)</w:t>
      </w:r>
    </w:p>
    <w:p w14:paraId="17B5E615" w14:textId="77777777" w:rsidR="00DB3C04" w:rsidRDefault="00DB3C04" w:rsidP="00916BA7"/>
    <w:p w14:paraId="05F616C0" w14:textId="77777777" w:rsidR="00916BA7" w:rsidRPr="00647011" w:rsidRDefault="00916BA7" w:rsidP="008B1BB0">
      <w:r w:rsidRPr="008B1BB0">
        <w:t xml:space="preserve">The effect estimation follows two steps as detailed in the following. Let </w:t>
      </w:r>
      <m:oMath>
        <m:r>
          <w:rPr>
            <w:rFonts w:ascii="Cambria Math" w:hAnsi="Cambria Math"/>
          </w:rPr>
          <m:t>L</m:t>
        </m:r>
      </m:oMath>
      <w:r w:rsidRPr="008B1BB0">
        <w:t xml:space="preserve"> be the set of</w:t>
      </w:r>
      <w:r w:rsidRPr="00647011">
        <w:t xml:space="preserve"> identified confounding factors and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0</m:t>
            </m:r>
          </m:sub>
        </m:sSub>
      </m:oMath>
      <w:r w:rsidRPr="00647011">
        <w:t xml:space="preserve"> be the set of baseline prognostic factors.</w:t>
      </w:r>
    </w:p>
    <w:p w14:paraId="4CD3872F" w14:textId="77777777" w:rsidR="00916BA7" w:rsidRPr="00647011" w:rsidRDefault="00916BA7" w:rsidP="00916BA7">
      <w:pPr>
        <w:rPr>
          <w:lang w:val="en-US"/>
        </w:rPr>
      </w:pPr>
    </w:p>
    <w:p w14:paraId="69F60232" w14:textId="77777777" w:rsidR="00916BA7" w:rsidRPr="00647011" w:rsidRDefault="00916BA7" w:rsidP="00916BA7">
      <w:pPr>
        <w:pStyle w:val="ListParagraph"/>
        <w:numPr>
          <w:ilvl w:val="0"/>
          <w:numId w:val="1"/>
        </w:numPr>
        <w:ind w:hanging="11"/>
      </w:pPr>
      <w:r w:rsidRPr="00647011">
        <w:t xml:space="preserve">We estimate the stabilised IP weight for </w:t>
      </w:r>
      <w:proofErr w:type="gramStart"/>
      <w:r w:rsidRPr="00647011">
        <w:t>each individual</w:t>
      </w:r>
      <w:proofErr w:type="gramEnd"/>
      <w:r w:rsidRPr="00647011">
        <w:t xml:space="preserve"> in the study population by fitting logistic models for the probability </w:t>
      </w:r>
      <m:oMath>
        <m:r>
          <m:rPr>
            <m:sty m:val="p"/>
          </m:rPr>
          <w:rPr>
            <w:rFonts w:ascii="Cambria Math" w:hAnsi="Cambria Math"/>
          </w:rPr>
          <m:t>Pr⁡</m:t>
        </m:r>
        <m:r>
          <w:rPr>
            <w:rFonts w:ascii="Cambria Math" w:hAnsi="Cambria Math"/>
          </w:rPr>
          <m:t>(A=1)</m:t>
        </m:r>
      </m:oMath>
      <w:r w:rsidRPr="00647011">
        <w:t xml:space="preserve"> of treatment (e.g., quitting smoking, taking BPLM or LLM) and the conditional probability </w:t>
      </w:r>
      <m:oMath>
        <m:r>
          <m:rPr>
            <m:sty m:val="p"/>
          </m:rPr>
          <w:rPr>
            <w:rFonts w:ascii="Cambria Math" w:hAnsi="Cambria Math"/>
          </w:rPr>
          <m:t>Pr⁡</m:t>
        </m:r>
        <m:r>
          <w:rPr>
            <w:rFonts w:ascii="Cambria Math" w:hAnsi="Cambria Math"/>
          </w:rPr>
          <m:t>(A=1|L)</m:t>
        </m:r>
      </m:oMath>
      <w:r w:rsidRPr="00647011">
        <w:t xml:space="preserve"> given the variables in </w:t>
      </w:r>
      <m:oMath>
        <m:r>
          <w:rPr>
            <w:rFonts w:ascii="Cambria Math" w:hAnsi="Cambria Math"/>
          </w:rPr>
          <m:t>L</m:t>
        </m:r>
      </m:oMath>
    </w:p>
    <w:p w14:paraId="1DBF1620" w14:textId="77777777" w:rsidR="00916BA7" w:rsidRPr="00647011" w:rsidRDefault="00000000" w:rsidP="00916BA7">
      <m:oMathPara>
        <m:oMath>
          <m:eqArr>
            <m:eqArrPr>
              <m:maxDist m:val="1"/>
              <m:ctrlPr>
                <w:rPr>
                  <w:rFonts w:ascii="Cambria Math" w:hAnsi="Cambria Math"/>
                  <w:i/>
                </w:rPr>
              </m:ctrlPr>
            </m:eqArrPr>
            <m:e>
              <m:r>
                <m:rPr>
                  <m:sty m:val="p"/>
                </m:rPr>
                <w:rPr>
                  <w:rFonts w:ascii="Cambria Math" w:hAnsi="Cambria Math"/>
                </w:rPr>
                <m:t>logit</m:t>
              </m:r>
              <m:func>
                <m:funcPr>
                  <m:ctrlPr>
                    <w:rPr>
                      <w:rFonts w:ascii="Cambria Math" w:hAnsi="Cambria Math"/>
                    </w:rPr>
                  </m:ctrlPr>
                </m:funcPr>
                <m:fName>
                  <m:r>
                    <m:rPr>
                      <m:sty m:val="p"/>
                    </m:rPr>
                    <w:rPr>
                      <w:rFonts w:ascii="Cambria Math" w:hAnsi="Cambria Math"/>
                    </w:rPr>
                    <m:t>Pr</m:t>
                  </m:r>
                </m:fName>
                <m:e>
                  <m:r>
                    <w:rPr>
                      <w:rFonts w:ascii="Cambria Math" w:hAnsi="Cambria Math"/>
                    </w:rPr>
                    <m:t>(A=1)</m:t>
                  </m:r>
                </m:e>
              </m:func>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 xml:space="preserve"> #(1)</m:t>
              </m:r>
              <m:ctrlPr>
                <w:rPr>
                  <w:rFonts w:ascii="Cambria Math" w:eastAsia="Cambria Math" w:hAnsi="Cambria Math" w:cs="Cambria Math"/>
                  <w:i/>
                </w:rPr>
              </m:ctrlPr>
            </m:e>
            <m:e>
              <m:r>
                <m:rPr>
                  <m:sty m:val="p"/>
                </m:rPr>
                <w:rPr>
                  <w:rFonts w:ascii="Cambria Math" w:hAnsi="Cambria Math"/>
                </w:rPr>
                <m:t>logit</m:t>
              </m:r>
              <m:func>
                <m:funcPr>
                  <m:ctrlPr>
                    <w:rPr>
                      <w:rFonts w:ascii="Cambria Math" w:hAnsi="Cambria Math"/>
                    </w:rPr>
                  </m:ctrlPr>
                </m:funcPr>
                <m:fName>
                  <m:r>
                    <m:rPr>
                      <m:sty m:val="p"/>
                    </m:rPr>
                    <w:rPr>
                      <w:rFonts w:ascii="Cambria Math" w:hAnsi="Cambria Math"/>
                    </w:rPr>
                    <m:t>Pr</m:t>
                  </m:r>
                </m:fName>
                <m:e>
                  <m:d>
                    <m:dPr>
                      <m:ctrlPr>
                        <w:rPr>
                          <w:rFonts w:ascii="Cambria Math" w:hAnsi="Cambria Math"/>
                          <w:i/>
                        </w:rPr>
                      </m:ctrlPr>
                    </m:dPr>
                    <m:e>
                      <m:r>
                        <w:rPr>
                          <w:rFonts w:ascii="Cambria Math" w:hAnsi="Cambria Math"/>
                        </w:rPr>
                        <m:t>A=1</m:t>
                      </m:r>
                    </m:e>
                    <m:e>
                      <m:r>
                        <w:rPr>
                          <w:rFonts w:ascii="Cambria Math" w:hAnsi="Cambria Math"/>
                        </w:rPr>
                        <m:t>L</m:t>
                      </m:r>
                    </m:e>
                  </m:d>
                </m:e>
              </m:func>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l</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d</m:t>
                  </m:r>
                </m:sub>
              </m:sSub>
              <m:sSub>
                <m:sSubPr>
                  <m:ctrlPr>
                    <w:rPr>
                      <w:rFonts w:ascii="Cambria Math" w:hAnsi="Cambria Math"/>
                      <w:i/>
                    </w:rPr>
                  </m:ctrlPr>
                </m:sSubPr>
                <m:e>
                  <m:r>
                    <w:rPr>
                      <w:rFonts w:ascii="Cambria Math" w:hAnsi="Cambria Math"/>
                    </w:rPr>
                    <m:t>l</m:t>
                  </m:r>
                </m:e>
                <m:sub>
                  <m:r>
                    <w:rPr>
                      <w:rFonts w:ascii="Cambria Math" w:hAnsi="Cambria Math"/>
                    </w:rPr>
                    <m:t>d</m:t>
                  </m:r>
                </m:sub>
              </m:sSub>
              <m:r>
                <w:rPr>
                  <w:rFonts w:ascii="Cambria Math" w:hAnsi="Cambria Math"/>
                </w:rPr>
                <m:t>.#(2)</m:t>
              </m:r>
            </m:e>
          </m:eqArr>
        </m:oMath>
      </m:oMathPara>
    </w:p>
    <w:p w14:paraId="46C09AEC" w14:textId="77777777" w:rsidR="00916BA7" w:rsidRPr="00647011" w:rsidRDefault="00916BA7" w:rsidP="00916BA7">
      <w:pPr>
        <w:ind w:left="720"/>
      </w:pPr>
      <w:r w:rsidRPr="00647011">
        <w:t xml:space="preserve">The estimated stabilised IP weight is then </w:t>
      </w:r>
      <m:oMath>
        <m:sSup>
          <m:sSupPr>
            <m:ctrlPr>
              <w:rPr>
                <w:rFonts w:ascii="Cambria Math" w:hAnsi="Cambria Math"/>
                <w:i/>
              </w:rPr>
            </m:ctrlPr>
          </m:sSupPr>
          <m:e>
            <m:r>
              <w:rPr>
                <w:rFonts w:ascii="Cambria Math" w:hAnsi="Cambria Math"/>
              </w:rPr>
              <m:t>W</m:t>
            </m:r>
          </m:e>
          <m:sup>
            <m:r>
              <w:rPr>
                <w:rFonts w:ascii="Cambria Math" w:hAnsi="Cambria Math"/>
              </w:rPr>
              <m:t>A</m:t>
            </m:r>
          </m:sup>
        </m:sSup>
        <m:r>
          <w:rPr>
            <w:rFonts w:ascii="Cambria Math" w:hAnsi="Cambria Math"/>
          </w:rPr>
          <m:t xml:space="preserve">= </m:t>
        </m:r>
        <m:func>
          <m:funcPr>
            <m:ctrlPr>
              <w:rPr>
                <w:rFonts w:ascii="Cambria Math" w:hAnsi="Cambria Math"/>
              </w:rPr>
            </m:ctrlPr>
          </m:funcPr>
          <m:fName>
            <m:r>
              <m:rPr>
                <m:sty m:val="p"/>
              </m:rPr>
              <w:rPr>
                <w:rFonts w:ascii="Cambria Math" w:hAnsi="Cambria Math"/>
              </w:rPr>
              <m:t>Pr</m:t>
            </m:r>
          </m:fName>
          <m:e>
            <m:d>
              <m:dPr>
                <m:ctrlPr>
                  <w:rPr>
                    <w:rFonts w:ascii="Cambria Math" w:hAnsi="Cambria Math"/>
                    <w:i/>
                  </w:rPr>
                </m:ctrlPr>
              </m:dPr>
              <m:e>
                <m:r>
                  <w:rPr>
                    <w:rFonts w:ascii="Cambria Math" w:hAnsi="Cambria Math"/>
                  </w:rPr>
                  <m:t>A=1</m:t>
                </m:r>
              </m:e>
            </m:d>
          </m:e>
        </m:func>
        <m:r>
          <w:rPr>
            <w:rFonts w:ascii="Cambria Math" w:hAnsi="Cambria Math"/>
          </w:rPr>
          <m:t>/</m:t>
        </m:r>
        <m:func>
          <m:funcPr>
            <m:ctrlPr>
              <w:rPr>
                <w:rFonts w:ascii="Cambria Math" w:hAnsi="Cambria Math"/>
              </w:rPr>
            </m:ctrlPr>
          </m:funcPr>
          <m:fName>
            <m:r>
              <m:rPr>
                <m:sty m:val="p"/>
              </m:rPr>
              <w:rPr>
                <w:rFonts w:ascii="Cambria Math" w:hAnsi="Cambria Math"/>
              </w:rPr>
              <m:t>Pr</m:t>
            </m:r>
          </m:fName>
          <m:e>
            <m:d>
              <m:dPr>
                <m:ctrlPr>
                  <w:rPr>
                    <w:rFonts w:ascii="Cambria Math" w:hAnsi="Cambria Math"/>
                    <w:i/>
                  </w:rPr>
                </m:ctrlPr>
              </m:dPr>
              <m:e>
                <m:r>
                  <w:rPr>
                    <w:rFonts w:ascii="Cambria Math" w:hAnsi="Cambria Math"/>
                  </w:rPr>
                  <m:t>A=1|L</m:t>
                </m:r>
              </m:e>
            </m:d>
          </m:e>
        </m:func>
      </m:oMath>
      <w:r w:rsidRPr="00647011">
        <w:t xml:space="preserve"> for the treated and </w:t>
      </w:r>
      <m:oMath>
        <m:func>
          <m:funcPr>
            <m:ctrlPr>
              <w:rPr>
                <w:rFonts w:ascii="Cambria Math" w:hAnsi="Cambria Math"/>
              </w:rPr>
            </m:ctrlPr>
          </m:funcPr>
          <m:fName>
            <m:r>
              <m:rPr>
                <m:sty m:val="p"/>
              </m:rPr>
              <w:rPr>
                <w:rFonts w:ascii="Cambria Math" w:hAnsi="Cambria Math"/>
              </w:rPr>
              <m:t>(1-Pr</m:t>
            </m:r>
          </m:fName>
          <m:e>
            <m:d>
              <m:dPr>
                <m:ctrlPr>
                  <w:rPr>
                    <w:rFonts w:ascii="Cambria Math" w:hAnsi="Cambria Math"/>
                    <w:i/>
                  </w:rPr>
                </m:ctrlPr>
              </m:dPr>
              <m:e>
                <m:r>
                  <w:rPr>
                    <w:rFonts w:ascii="Cambria Math" w:hAnsi="Cambria Math"/>
                  </w:rPr>
                  <m:t>A=1</m:t>
                </m:r>
              </m:e>
            </m:d>
            <m:r>
              <w:rPr>
                <w:rFonts w:ascii="Cambria Math" w:hAnsi="Cambria Math"/>
              </w:rPr>
              <m:t>)</m:t>
            </m:r>
          </m:e>
        </m:func>
        <m:r>
          <w:rPr>
            <w:rFonts w:ascii="Cambria Math" w:hAnsi="Cambria Math"/>
          </w:rPr>
          <m:t>/(1-</m:t>
        </m:r>
        <m:func>
          <m:funcPr>
            <m:ctrlPr>
              <w:rPr>
                <w:rFonts w:ascii="Cambria Math" w:hAnsi="Cambria Math"/>
              </w:rPr>
            </m:ctrlPr>
          </m:funcPr>
          <m:fName>
            <m:r>
              <m:rPr>
                <m:sty m:val="p"/>
              </m:rPr>
              <w:rPr>
                <w:rFonts w:ascii="Cambria Math" w:hAnsi="Cambria Math"/>
              </w:rPr>
              <m:t>Pr</m:t>
            </m:r>
          </m:fName>
          <m:e>
            <m:d>
              <m:dPr>
                <m:ctrlPr>
                  <w:rPr>
                    <w:rFonts w:ascii="Cambria Math" w:hAnsi="Cambria Math"/>
                    <w:i/>
                  </w:rPr>
                </m:ctrlPr>
              </m:dPr>
              <m:e>
                <m:r>
                  <w:rPr>
                    <w:rFonts w:ascii="Cambria Math" w:hAnsi="Cambria Math"/>
                  </w:rPr>
                  <m:t>A=1|L</m:t>
                </m:r>
              </m:e>
            </m:d>
            <m:r>
              <w:rPr>
                <w:rFonts w:ascii="Cambria Math" w:hAnsi="Cambria Math"/>
              </w:rPr>
              <m:t>)</m:t>
            </m:r>
          </m:e>
        </m:func>
      </m:oMath>
      <w:r w:rsidRPr="00647011">
        <w:t xml:space="preserve"> for the untreated.</w:t>
      </w:r>
    </w:p>
    <w:p w14:paraId="66042CA5" w14:textId="77777777" w:rsidR="00916BA7" w:rsidRPr="00647011" w:rsidRDefault="00916BA7" w:rsidP="00916BA7">
      <w:pPr>
        <w:ind w:left="720"/>
      </w:pPr>
    </w:p>
    <w:p w14:paraId="493198C6" w14:textId="77777777" w:rsidR="00916BA7" w:rsidRPr="00647011" w:rsidRDefault="00916BA7" w:rsidP="00916BA7">
      <w:pPr>
        <w:ind w:left="720"/>
      </w:pPr>
      <w:r w:rsidRPr="00647011">
        <w:t>There exists selection bias due to administrative censoring and loss of follow-up (including competing events). This will</w:t>
      </w:r>
      <w:r w:rsidRPr="00647011">
        <w:rPr>
          <w:rFonts w:hint="eastAsia"/>
        </w:rPr>
        <w:t xml:space="preserve"> </w:t>
      </w:r>
      <w:r w:rsidRPr="00647011">
        <w:t xml:space="preserve">be adjusted for by conceptualizing the censoring as a time-varying treatment  </w:t>
      </w:r>
      <m:oMath>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 xml:space="preserve">, …, </m:t>
        </m:r>
        <m:sSub>
          <m:sSubPr>
            <m:ctrlPr>
              <w:rPr>
                <w:rFonts w:ascii="Cambria Math" w:hAnsi="Cambria Math"/>
                <w:i/>
              </w:rPr>
            </m:ctrlPr>
          </m:sSubPr>
          <m:e>
            <m:r>
              <w:rPr>
                <w:rFonts w:ascii="Cambria Math" w:hAnsi="Cambria Math"/>
              </w:rPr>
              <m:t>C</m:t>
            </m:r>
          </m:e>
          <m:sub>
            <m:r>
              <w:rPr>
                <w:rFonts w:ascii="Cambria Math" w:hAnsi="Cambria Math"/>
              </w:rPr>
              <m:t>K</m:t>
            </m:r>
          </m:sub>
        </m:sSub>
      </m:oMath>
      <w:r w:rsidRPr="00647011">
        <w:t xml:space="preserve">, where </w:t>
      </w:r>
      <m:oMath>
        <m:sSub>
          <m:sSubPr>
            <m:ctrlPr>
              <w:rPr>
                <w:rFonts w:ascii="Cambria Math" w:hAnsi="Cambria Math"/>
                <w:i/>
              </w:rPr>
            </m:ctrlPr>
          </m:sSubPr>
          <m:e>
            <m:r>
              <w:rPr>
                <w:rFonts w:ascii="Cambria Math" w:hAnsi="Cambria Math"/>
              </w:rPr>
              <m:t>C</m:t>
            </m:r>
          </m:e>
          <m:sub>
            <m:r>
              <w:rPr>
                <w:rFonts w:ascii="Cambria Math" w:hAnsi="Cambria Math"/>
              </w:rPr>
              <m:t>k</m:t>
            </m:r>
          </m:sub>
        </m:sSub>
      </m:oMath>
      <w:r w:rsidRPr="00647011">
        <w:t xml:space="preserve"> is an indicator that takes value 0 if the individual remains uncensored at time </w:t>
      </w:r>
      <m:oMath>
        <m:r>
          <w:rPr>
            <w:rFonts w:ascii="Cambria Math" w:hAnsi="Cambria Math"/>
          </w:rPr>
          <m:t>k</m:t>
        </m:r>
      </m:oMath>
      <w:r w:rsidRPr="00647011">
        <w:t xml:space="preserve"> and takes value 1 otherwise; by definition </w:t>
      </w:r>
      <m:oMath>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=0</m:t>
        </m:r>
      </m:oMath>
      <w:r w:rsidRPr="00647011">
        <w:t xml:space="preserve"> for all individuals in the study. A pseudo-population if no individuals had been lost to follow-up can be created using the stabilized IP weights </w:t>
      </w:r>
    </w:p>
    <w:p w14:paraId="0EBEADD0" w14:textId="211363AF" w:rsidR="00916BA7" w:rsidRPr="00647011" w:rsidRDefault="00000000" w:rsidP="00916BA7">
      <w:pPr>
        <w:ind w:left="720"/>
      </w:pPr>
      <m:oMathPara>
        <m:oMath>
          <m:eqArr>
            <m:eqArrPr>
              <m:maxDist m:val="1"/>
              <m:ctrlPr>
                <w:rPr>
                  <w:rFonts w:ascii="Cambria Math" w:hAnsi="Cambria Math"/>
                  <w:i/>
                </w:rPr>
              </m:ctrlPr>
            </m:eqArrPr>
            <m:e>
              <m:sSup>
                <m:sSupPr>
                  <m:ctrlPr>
                    <w:rPr>
                      <w:rFonts w:ascii="Cambria Math" w:hAnsi="Cambria Math"/>
                      <w:i/>
                    </w:rPr>
                  </m:ctrlPr>
                </m:sSupPr>
                <m:e>
                  <m:r>
                    <w:rPr>
                      <w:rFonts w:ascii="Cambria Math" w:hAnsi="Cambria Math"/>
                    </w:rPr>
                    <m:t>W</m:t>
                  </m:r>
                </m:e>
                <m:sup>
                  <m:r>
                    <w:rPr>
                      <w:rFonts w:ascii="Cambria Math" w:hAnsi="Cambria Math"/>
                    </w:rPr>
                    <m:t>C</m:t>
                  </m:r>
                </m:sup>
              </m:sSup>
              <m:r>
                <w:rPr>
                  <w:rFonts w:ascii="Cambria Math" w:hAnsi="Cambria Math"/>
                </w:rPr>
                <m:t>=</m:t>
              </m:r>
              <m:nary>
                <m:naryPr>
                  <m:chr m:val="∏"/>
                  <m:ctrlPr>
                    <w:rPr>
                      <w:rFonts w:ascii="Cambria Math" w:hAnsi="Cambria Math"/>
                      <w:i/>
                    </w:rPr>
                  </m:ctrlPr>
                </m:naryPr>
                <m:sub>
                  <m:r>
                    <w:rPr>
                      <w:rFonts w:ascii="Cambria Math" w:hAnsi="Cambria Math"/>
                    </w:rPr>
                    <m:t>k=1</m:t>
                  </m:r>
                </m:sub>
                <m:sup>
                  <m:r>
                    <w:rPr>
                      <w:rFonts w:ascii="Cambria Math" w:hAnsi="Cambria Math"/>
                    </w:rPr>
                    <m:t>K</m:t>
                  </m:r>
                </m:sup>
                <m:e>
                  <m:f>
                    <m:fPr>
                      <m:ctrlPr>
                        <w:rPr>
                          <w:rFonts w:ascii="Cambria Math" w:hAnsi="Cambria Math"/>
                          <w:i/>
                        </w:rPr>
                      </m:ctrlPr>
                    </m:fPr>
                    <m:num>
                      <m:r>
                        <m:rPr>
                          <m:nor/>
                        </m: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k</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k-1</m:t>
                              </m:r>
                            </m:sub>
                          </m:sSub>
                          <m:r>
                            <w:rPr>
                              <w:rFonts w:ascii="Cambria Math" w:hAnsi="Cambria Math"/>
                            </w:rPr>
                            <m:t>=0, A</m:t>
                          </m:r>
                          <m:ctrlPr>
                            <w:rPr>
                              <w:rFonts w:ascii="Cambria Math" w:hAnsi="Cambria Math" w:hint="eastAsia"/>
                              <w:i/>
                            </w:rPr>
                          </m:ctrlPr>
                        </m:e>
                      </m:d>
                    </m:num>
                    <m:den>
                      <m:r>
                        <m:rPr>
                          <m:nor/>
                        </m: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k</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k-1</m:t>
                              </m:r>
                            </m:sub>
                          </m:sSub>
                          <m:r>
                            <w:rPr>
                              <w:rFonts w:ascii="Cambria Math" w:hAnsi="Cambria Math"/>
                            </w:rPr>
                            <m:t>=0, A</m:t>
                          </m:r>
                          <m:r>
                            <w:rPr>
                              <w:rFonts w:ascii="Cambria Math" w:hAnsi="Cambria Math"/>
                              <w:lang w:val="en-US"/>
                            </w:rPr>
                            <m:t>,L,</m:t>
                          </m:r>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0</m:t>
                              </m:r>
                            </m:sub>
                          </m:sSub>
                          <m:ctrlPr>
                            <w:rPr>
                              <w:rFonts w:ascii="Cambria Math" w:hAnsi="Cambria Math" w:hint="eastAsia"/>
                              <w:i/>
                            </w:rPr>
                          </m:ctrlPr>
                        </m:e>
                      </m:d>
                    </m:den>
                  </m:f>
                  <m:r>
                    <w:rPr>
                      <w:rFonts w:ascii="Cambria Math" w:hAnsi="Cambria Math"/>
                    </w:rPr>
                    <m:t xml:space="preserve">, </m:t>
                  </m:r>
                </m:e>
              </m:nary>
              <m:r>
                <w:rPr>
                  <w:rFonts w:ascii="Cambria Math" w:hAnsi="Cambria Math"/>
                </w:rPr>
                <m:t xml:space="preserve"> #</m:t>
              </m:r>
              <m:d>
                <m:dPr>
                  <m:ctrlPr>
                    <w:rPr>
                      <w:rFonts w:ascii="Cambria Math" w:hAnsi="Cambria Math"/>
                      <w:i/>
                    </w:rPr>
                  </m:ctrlPr>
                </m:dPr>
                <m:e>
                  <m:r>
                    <w:rPr>
                      <w:rFonts w:ascii="Cambria Math" w:hAnsi="Cambria Math"/>
                    </w:rPr>
                    <m:t>3</m:t>
                  </m:r>
                </m:e>
              </m:d>
            </m:e>
          </m:eqArr>
        </m:oMath>
      </m:oMathPara>
    </w:p>
    <w:p w14:paraId="441EBBC9" w14:textId="77777777" w:rsidR="00916BA7" w:rsidRPr="00647011" w:rsidRDefault="00916BA7" w:rsidP="00916BA7">
      <w:pPr>
        <w:ind w:left="720"/>
        <w:rPr>
          <w:lang w:val="en-US"/>
        </w:rPr>
      </w:pPr>
      <w:r w:rsidRPr="00647011">
        <w:t>where the numerator and denominator of weights are estimated via two separate pooled logistic models, respectively, as follows</w:t>
      </w:r>
    </w:p>
    <w:p w14:paraId="6A16E2D6" w14:textId="77777777" w:rsidR="00916BA7" w:rsidRPr="00647011" w:rsidRDefault="00000000" w:rsidP="00916BA7">
      <w:pPr>
        <w:ind w:left="720"/>
      </w:pPr>
      <m:oMathPara>
        <m:oMath>
          <m:eqArr>
            <m:eqArrPr>
              <m:maxDist m:val="1"/>
              <m:ctrlPr>
                <w:rPr>
                  <w:rFonts w:ascii="Cambria Math" w:hAnsi="Cambria Math"/>
                  <w:i/>
                </w:rPr>
              </m:ctrlPr>
            </m:eqArrPr>
            <m:e>
              <m:r>
                <m:rPr>
                  <m:sty m:val="p"/>
                </m:rPr>
                <w:rPr>
                  <w:rFonts w:ascii="Cambria Math" w:hAnsi="Cambria Math"/>
                </w:rPr>
                <m:t>logit</m:t>
              </m:r>
              <m:func>
                <m:funcPr>
                  <m:ctrlPr>
                    <w:rPr>
                      <w:rFonts w:ascii="Cambria Math" w:hAnsi="Cambria Math"/>
                    </w:rPr>
                  </m:ctrlPr>
                </m:funcPr>
                <m:fName>
                  <m:r>
                    <m:rPr>
                      <m:sty m:val="p"/>
                    </m:rPr>
                    <w:rPr>
                      <w:rFonts w:ascii="Cambria Math" w:hAnsi="Cambria Math"/>
                    </w:rPr>
                    <m:t>Pr</m:t>
                  </m:r>
                </m:fName>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k</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k-1</m:t>
                          </m:r>
                        </m:sub>
                      </m:sSub>
                      <m:r>
                        <w:rPr>
                          <w:rFonts w:ascii="Cambria Math" w:hAnsi="Cambria Math"/>
                        </w:rPr>
                        <m:t>=0, A</m:t>
                      </m:r>
                      <m:ctrlPr>
                        <w:rPr>
                          <w:rFonts w:ascii="Cambria Math" w:hAnsi="Cambria Math" w:hint="eastAsia"/>
                          <w:i/>
                        </w:rPr>
                      </m:ctrlPr>
                    </m:e>
                  </m:d>
                </m:e>
              </m:func>
              <m:r>
                <w:rPr>
                  <w:rFonts w:ascii="Cambria Math" w:hAnsi="Cambria Math"/>
                </w:rPr>
                <m:t>=</m:t>
              </m:r>
              <m:sSubSup>
                <m:sSubSupPr>
                  <m:ctrlPr>
                    <w:rPr>
                      <w:rFonts w:ascii="Cambria Math" w:hAnsi="Cambria Math"/>
                      <w:i/>
                    </w:rPr>
                  </m:ctrlPr>
                </m:sSubSupPr>
                <m:e>
                  <m:r>
                    <w:rPr>
                      <w:rFonts w:ascii="Cambria Math" w:hAnsi="Cambria Math"/>
                    </w:rPr>
                    <m:t>γ</m:t>
                  </m:r>
                </m:e>
                <m:sub>
                  <m:r>
                    <w:rPr>
                      <w:rFonts w:ascii="Cambria Math" w:hAnsi="Cambria Math"/>
                    </w:rPr>
                    <m:t>0</m:t>
                  </m:r>
                </m:sub>
                <m:sup>
                  <m:r>
                    <w:rPr>
                      <w:rFonts w:ascii="Cambria Math" w:hAnsi="Cambria Math"/>
                    </w:rPr>
                    <m:t>*</m:t>
                  </m:r>
                </m:sup>
              </m:sSubSup>
              <m:r>
                <w:rPr>
                  <w:rFonts w:ascii="Cambria Math" w:hAnsi="Cambria Math"/>
                </w:rPr>
                <m:t>+</m:t>
              </m:r>
              <m:sSubSup>
                <m:sSubSupPr>
                  <m:ctrlPr>
                    <w:rPr>
                      <w:rFonts w:ascii="Cambria Math" w:hAnsi="Cambria Math"/>
                      <w:i/>
                    </w:rPr>
                  </m:ctrlPr>
                </m:sSubSupPr>
                <m:e>
                  <m:r>
                    <w:rPr>
                      <w:rFonts w:ascii="Cambria Math" w:hAnsi="Cambria Math"/>
                    </w:rPr>
                    <m:t>γ</m:t>
                  </m:r>
                </m:e>
                <m:sub>
                  <m:r>
                    <w:rPr>
                      <w:rFonts w:ascii="Cambria Math" w:hAnsi="Cambria Math"/>
                    </w:rPr>
                    <m:t>1</m:t>
                  </m:r>
                </m:sub>
                <m:sup>
                  <m:r>
                    <w:rPr>
                      <w:rFonts w:ascii="Cambria Math" w:hAnsi="Cambria Math"/>
                    </w:rPr>
                    <m:t>*</m:t>
                  </m:r>
                </m:sup>
              </m:sSubSup>
              <m:r>
                <w:rPr>
                  <w:rFonts w:ascii="Cambria Math" w:hAnsi="Cambria Math"/>
                </w:rPr>
                <m:t>a +</m:t>
              </m:r>
              <m:sSubSup>
                <m:sSubSupPr>
                  <m:ctrlPr>
                    <w:rPr>
                      <w:rFonts w:ascii="Cambria Math" w:hAnsi="Cambria Math"/>
                      <w:i/>
                    </w:rPr>
                  </m:ctrlPr>
                </m:sSubSupPr>
                <m:e>
                  <m:r>
                    <w:rPr>
                      <w:rFonts w:ascii="Cambria Math" w:hAnsi="Cambria Math"/>
                    </w:rPr>
                    <m:t>γ</m:t>
                  </m:r>
                </m:e>
                <m:sub>
                  <m:r>
                    <w:rPr>
                      <w:rFonts w:ascii="Cambria Math" w:hAnsi="Cambria Math"/>
                    </w:rPr>
                    <m:t>2</m:t>
                  </m:r>
                </m:sub>
                <m:sup>
                  <m:r>
                    <w:rPr>
                      <w:rFonts w:ascii="Cambria Math" w:hAnsi="Cambria Math"/>
                    </w:rPr>
                    <m:t>*</m:t>
                  </m:r>
                </m:sup>
              </m:sSubSup>
              <m:r>
                <w:rPr>
                  <w:rFonts w:ascii="Cambria Math" w:hAnsi="Cambria Math"/>
                </w:rPr>
                <m:t>k.#(4)</m:t>
              </m:r>
            </m:e>
            <m:e>
              <m:r>
                <m:rPr>
                  <m:sty m:val="p"/>
                </m:rPr>
                <w:rPr>
                  <w:rFonts w:ascii="Cambria Math" w:hAnsi="Cambria Math"/>
                </w:rPr>
                <m:t>logit</m:t>
              </m:r>
              <m:func>
                <m:funcPr>
                  <m:ctrlPr>
                    <w:rPr>
                      <w:rFonts w:ascii="Cambria Math" w:hAnsi="Cambria Math"/>
                    </w:rPr>
                  </m:ctrlPr>
                </m:funcPr>
                <m:fName>
                  <m:r>
                    <m:rPr>
                      <m:sty m:val="p"/>
                    </m:rPr>
                    <w:rPr>
                      <w:rFonts w:ascii="Cambria Math" w:hAnsi="Cambria Math"/>
                    </w:rPr>
                    <m:t>Pr</m:t>
                  </m:r>
                </m:fName>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k</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k-1</m:t>
                          </m:r>
                        </m:sub>
                      </m:sSub>
                      <m:r>
                        <w:rPr>
                          <w:rFonts w:ascii="Cambria Math" w:hAnsi="Cambria Math"/>
                        </w:rPr>
                        <m:t>=0, A, L,</m:t>
                      </m:r>
                      <m:sSub>
                        <m:sSubPr>
                          <m:ctrlPr>
                            <w:rPr>
                              <w:rFonts w:ascii="Cambria Math" w:hAnsi="Cambria Math"/>
                              <w:i/>
                            </w:rPr>
                          </m:ctrlPr>
                        </m:sSubPr>
                        <m:e>
                          <m:r>
                            <w:rPr>
                              <w:rFonts w:ascii="Cambria Math" w:hAnsi="Cambria Math"/>
                            </w:rPr>
                            <m:t>X</m:t>
                          </m:r>
                        </m:e>
                        <m:sub>
                          <m:r>
                            <w:rPr>
                              <w:rFonts w:ascii="Cambria Math" w:hAnsi="Cambria Math"/>
                            </w:rPr>
                            <m:t>0</m:t>
                          </m:r>
                        </m:sub>
                      </m:sSub>
                      <m:ctrlPr>
                        <w:rPr>
                          <w:rFonts w:ascii="Cambria Math" w:hAnsi="Cambria Math" w:hint="eastAsia"/>
                          <w:i/>
                        </w:rPr>
                      </m:ctrlPr>
                    </m:e>
                  </m:d>
                </m:e>
              </m:func>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01</m:t>
                  </m:r>
                </m:sub>
              </m:sSub>
              <m:r>
                <w:rPr>
                  <w:rFonts w:ascii="Cambria Math" w:hAnsi="Cambria Math"/>
                </w:rPr>
                <m:t>a +</m:t>
              </m:r>
              <m:sSub>
                <m:sSubPr>
                  <m:ctrlPr>
                    <w:rPr>
                      <w:rFonts w:ascii="Cambria Math" w:hAnsi="Cambria Math"/>
                      <w:i/>
                    </w:rPr>
                  </m:ctrlPr>
                </m:sSubPr>
                <m:e>
                  <m:r>
                    <w:rPr>
                      <w:rFonts w:ascii="Cambria Math" w:hAnsi="Cambria Math"/>
                    </w:rPr>
                    <m:t>γ</m:t>
                  </m:r>
                </m:e>
                <m:sub>
                  <m:r>
                    <w:rPr>
                      <w:rFonts w:ascii="Cambria Math" w:hAnsi="Cambria Math"/>
                    </w:rPr>
                    <m:t>02</m:t>
                  </m:r>
                </m:sub>
              </m:sSub>
              <m:r>
                <w:rPr>
                  <w:rFonts w:ascii="Cambria Math" w:hAnsi="Cambria Math"/>
                </w:rPr>
                <m:t>k+</m:t>
              </m:r>
              <m:ctrlPr>
                <w:rPr>
                  <w:rFonts w:ascii="Cambria Math" w:eastAsia="Cambria Math" w:hAnsi="Cambria Math" w:cs="Cambria Math"/>
                  <w:i/>
                </w:rPr>
              </m:ctrlPr>
            </m:e>
            <m:e>
              <m:r>
                <w:rPr>
                  <w:rFonts w:ascii="Cambria Math" w:hAnsi="Cambria Math"/>
                </w:rPr>
                <m:t xml:space="preserve"> </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d</m:t>
                  </m:r>
                </m:sub>
              </m:sSub>
              <m:sSub>
                <m:sSubPr>
                  <m:ctrlPr>
                    <w:rPr>
                      <w:rFonts w:ascii="Cambria Math" w:hAnsi="Cambria Math"/>
                      <w:i/>
                    </w:rPr>
                  </m:ctrlPr>
                </m:sSubPr>
                <m:e>
                  <m:r>
                    <w:rPr>
                      <w:rFonts w:ascii="Cambria Math" w:hAnsi="Cambria Math"/>
                    </w:rPr>
                    <m:t>l</m:t>
                  </m:r>
                </m:e>
                <m:sub>
                  <m:r>
                    <w:rPr>
                      <w:rFonts w:ascii="Cambria Math" w:hAnsi="Cambria Math"/>
                    </w:rPr>
                    <m:t>d</m:t>
                  </m:r>
                </m:sub>
              </m:sSub>
              <m:r>
                <w:rPr>
                  <w:rFonts w:ascii="Cambria Math" w:hAnsi="Cambria Math"/>
                </w:rPr>
                <m:t xml:space="preserve">+ </m:t>
              </m:r>
              <m:sSub>
                <m:sSubPr>
                  <m:ctrlPr>
                    <w:rPr>
                      <w:rFonts w:ascii="Cambria Math" w:hAnsi="Cambria Math"/>
                      <w:i/>
                    </w:rPr>
                  </m:ctrlPr>
                </m:sSubPr>
                <m:e>
                  <m:r>
                    <w:rPr>
                      <w:rFonts w:ascii="Cambria Math" w:hAnsi="Cambria Math"/>
                    </w:rPr>
                    <m:t>γ</m:t>
                  </m:r>
                </m:e>
                <m:sub>
                  <m:r>
                    <w:rPr>
                      <w:rFonts w:ascii="Cambria Math" w:hAnsi="Cambria Math"/>
                    </w:rPr>
                    <m:t>d+1</m:t>
                  </m:r>
                </m:sub>
              </m:sSub>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d+s</m:t>
                  </m:r>
                </m:sub>
              </m:sSub>
              <m:sSub>
                <m:sSubPr>
                  <m:ctrlPr>
                    <w:rPr>
                      <w:rFonts w:ascii="Cambria Math" w:hAnsi="Cambria Math"/>
                      <w:i/>
                    </w:rPr>
                  </m:ctrlPr>
                </m:sSubPr>
                <m:e>
                  <m:r>
                    <w:rPr>
                      <w:rFonts w:ascii="Cambria Math" w:hAnsi="Cambria Math"/>
                    </w:rPr>
                    <m:t>x</m:t>
                  </m:r>
                </m:e>
                <m:sub>
                  <m:r>
                    <w:rPr>
                      <w:rFonts w:ascii="Cambria Math" w:hAnsi="Cambria Math"/>
                    </w:rPr>
                    <m:t>s</m:t>
                  </m:r>
                </m:sub>
              </m:sSub>
              <m:r>
                <w:rPr>
                  <w:rFonts w:ascii="Cambria Math" w:hAnsi="Cambria Math"/>
                </w:rPr>
                <m:t>.#(5)</m:t>
              </m:r>
            </m:e>
          </m:eqArr>
        </m:oMath>
      </m:oMathPara>
    </w:p>
    <w:p w14:paraId="0B091D43" w14:textId="77777777" w:rsidR="00916BA7" w:rsidRPr="00647011" w:rsidRDefault="00916BA7" w:rsidP="00916BA7">
      <w:pPr>
        <w:ind w:left="720"/>
      </w:pPr>
      <w:r w:rsidRPr="00647011">
        <w:t xml:space="preserve"> </w:t>
      </w:r>
    </w:p>
    <w:p w14:paraId="77B44DEE" w14:textId="77777777" w:rsidR="00916BA7" w:rsidRPr="00647011" w:rsidRDefault="00916BA7" w:rsidP="00916BA7">
      <w:pPr>
        <w:ind w:left="720"/>
        <w:rPr>
          <w:lang w:val="en-US"/>
        </w:rPr>
      </w:pPr>
      <w:r w:rsidRPr="00647011">
        <w:rPr>
          <w:lang w:val="en-US"/>
        </w:rPr>
        <w:t xml:space="preserve">Note here we include baseline measurements </w:t>
      </w:r>
      <m:oMath>
        <m:sSub>
          <m:sSubPr>
            <m:ctrlPr>
              <w:rPr>
                <w:rFonts w:ascii="Cambria Math" w:hAnsi="Cambria Math"/>
                <w:i/>
                <w:lang w:val="en-US"/>
              </w:rPr>
            </m:ctrlPr>
          </m:sSubPr>
          <m:e>
            <m:r>
              <w:rPr>
                <w:rFonts w:ascii="Cambria Math" w:hAnsi="Cambria Math"/>
                <w:lang w:val="en-US"/>
              </w:rPr>
              <m:t>X</m:t>
            </m:r>
          </m:e>
          <m:sub>
            <m:r>
              <w:rPr>
                <w:rFonts w:ascii="Cambria Math" w:hAnsi="Cambria Math"/>
                <w:lang w:val="en-US"/>
              </w:rPr>
              <m:t>0</m:t>
            </m:r>
          </m:sub>
        </m:sSub>
      </m:oMath>
      <w:r w:rsidRPr="00647011">
        <w:rPr>
          <w:lang w:val="en-US"/>
        </w:rPr>
        <w:t xml:space="preserve"> which are associated with both censoring and the outcome in the predictive model for denominator.</w:t>
      </w:r>
      <w:r w:rsidRPr="00647011" w:rsidDel="00483530">
        <w:t xml:space="preserve"> </w:t>
      </w:r>
      <w:r w:rsidRPr="00647011">
        <w:t xml:space="preserve">The effects can then be estimated with IP weighting </w:t>
      </w:r>
      <m:oMath>
        <m:sSup>
          <m:sSupPr>
            <m:ctrlPr>
              <w:rPr>
                <w:rFonts w:ascii="Cambria Math" w:hAnsi="Cambria Math"/>
                <w:i/>
              </w:rPr>
            </m:ctrlPr>
          </m:sSupPr>
          <m:e>
            <m:r>
              <w:rPr>
                <w:rFonts w:ascii="Cambria Math" w:hAnsi="Cambria Math"/>
              </w:rPr>
              <m:t>W</m:t>
            </m:r>
          </m:e>
          <m:sup>
            <m:r>
              <w:rPr>
                <w:rFonts w:ascii="Cambria Math" w:hAnsi="Cambria Math"/>
              </w:rPr>
              <m:t>A</m:t>
            </m:r>
          </m:sup>
        </m:sSup>
        <m:r>
          <w:rPr>
            <w:rFonts w:ascii="Cambria Math" w:hAnsi="Cambria Math"/>
          </w:rPr>
          <m:t>×</m:t>
        </m:r>
        <m:sSup>
          <m:sSupPr>
            <m:ctrlPr>
              <w:rPr>
                <w:rFonts w:ascii="Cambria Math" w:hAnsi="Cambria Math"/>
                <w:i/>
              </w:rPr>
            </m:ctrlPr>
          </m:sSupPr>
          <m:e>
            <m:r>
              <w:rPr>
                <w:rFonts w:ascii="Cambria Math" w:hAnsi="Cambria Math"/>
              </w:rPr>
              <m:t>W</m:t>
            </m:r>
          </m:e>
          <m:sup>
            <m:r>
              <w:rPr>
                <w:rFonts w:ascii="Cambria Math" w:hAnsi="Cambria Math"/>
              </w:rPr>
              <m:t>C</m:t>
            </m:r>
          </m:sup>
        </m:sSup>
      </m:oMath>
      <w:r w:rsidRPr="00647011">
        <w:t xml:space="preserve"> as in Step 2. </w:t>
      </w:r>
      <w:r w:rsidRPr="00647011">
        <w:br/>
        <w:t xml:space="preserve"> </w:t>
      </w:r>
    </w:p>
    <w:p w14:paraId="5B1EA54F" w14:textId="68624DD8" w:rsidR="00916BA7" w:rsidRPr="00647011" w:rsidRDefault="00916BA7" w:rsidP="00916BA7">
      <w:pPr>
        <w:pStyle w:val="ListParagraph"/>
        <w:numPr>
          <w:ilvl w:val="0"/>
          <w:numId w:val="1"/>
        </w:numPr>
        <w:ind w:hanging="11"/>
      </w:pPr>
      <w:r w:rsidRPr="00116849">
        <w:rPr>
          <w:rFonts w:asciiTheme="minorHAnsi" w:hAnsiTheme="minorHAnsi"/>
        </w:rPr>
        <w:t>We fit a hazards model with individuals that are weighted by their estimated stabilised IP weights using</w:t>
      </w:r>
      <w:r w:rsidRPr="00116849">
        <w:rPr>
          <w:rFonts w:asciiTheme="minorHAnsi" w:hAnsiTheme="minorHAnsi"/>
          <w:lang w:val="en-US"/>
        </w:rPr>
        <w:t xml:space="preserve"> </w:t>
      </w:r>
      <w:r w:rsidRPr="00116849">
        <w:rPr>
          <w:rFonts w:asciiTheme="minorHAnsi" w:hAnsiTheme="minorHAnsi"/>
        </w:rPr>
        <w:t xml:space="preserve">each person-year prior to either a CVD event, censoring, or end of 5-year follow-up (which ever occurred first) as an observation. Let </w:t>
      </w:r>
      <m:oMath>
        <m:sSub>
          <m:sSubPr>
            <m:ctrlPr>
              <w:rPr>
                <w:rFonts w:ascii="Cambria Math" w:hAnsi="Cambria Math"/>
              </w:rPr>
            </m:ctrlPr>
          </m:sSubPr>
          <m:e>
            <m:r>
              <w:rPr>
                <w:rFonts w:ascii="Cambria Math" w:hAnsi="Cambria Math"/>
              </w:rPr>
              <m:t>D</m:t>
            </m:r>
          </m:e>
          <m:sub>
            <m:r>
              <w:rPr>
                <w:rFonts w:ascii="Cambria Math" w:hAnsi="Cambria Math"/>
              </w:rPr>
              <m:t>k</m:t>
            </m:r>
          </m:sub>
        </m:sSub>
      </m:oMath>
      <w:r w:rsidRPr="00116849">
        <w:rPr>
          <w:rFonts w:asciiTheme="minorHAnsi" w:hAnsiTheme="minorHAnsi"/>
        </w:rPr>
        <w:t xml:space="preserve"> indicate CVD status at time </w:t>
      </w:r>
      <m:oMath>
        <m:r>
          <w:rPr>
            <w:rFonts w:ascii="Cambria Math" w:hAnsi="Cambria Math"/>
          </w:rPr>
          <m:t>k</m:t>
        </m:r>
      </m:oMath>
      <w:r w:rsidRPr="00116849">
        <w:rPr>
          <w:rFonts w:asciiTheme="minorHAnsi" w:hAnsiTheme="minorHAnsi"/>
        </w:rPr>
        <w:t xml:space="preserve"> (months of follow-up). This IP weighted pooled logi</w:t>
      </w:r>
      <w:proofErr w:type="spellStart"/>
      <w:r w:rsidRPr="00116849">
        <w:rPr>
          <w:rFonts w:asciiTheme="minorHAnsi" w:hAnsiTheme="minorHAnsi"/>
        </w:rPr>
        <w:t>stic</w:t>
      </w:r>
      <w:proofErr w:type="spellEnd"/>
      <w:r w:rsidRPr="00116849">
        <w:rPr>
          <w:rFonts w:asciiTheme="minorHAnsi" w:hAnsiTheme="minorHAnsi"/>
        </w:rPr>
        <w:t xml:space="preserve"> model estimates the parameters of the marginal structural logistic model</w:t>
      </w:r>
      <w:r w:rsidRPr="00116849">
        <w:rPr>
          <w:rFonts w:asciiTheme="minorHAnsi" w:hAnsiTheme="minorHAnsi"/>
        </w:rPr>
        <w:br/>
      </w:r>
      <m:oMathPara>
        <m:oMath>
          <m:eqArr>
            <m:eqArrPr>
              <m:maxDist m:val="1"/>
              <m:ctrlPr>
                <w:rPr>
                  <w:rFonts w:ascii="Cambria Math" w:hAnsi="Cambria Math"/>
                </w:rPr>
              </m:ctrlPr>
            </m:eqArrPr>
            <m:e>
              <m:r>
                <m:rPr>
                  <m:sty m:val="p"/>
                </m:rPr>
                <w:rPr>
                  <w:rFonts w:ascii="Cambria Math" w:hAnsi="Cambria Math"/>
                </w:rPr>
                <m:t xml:space="preserve"> logit</m:t>
              </m:r>
              <m:func>
                <m:funcPr>
                  <m:ctrlPr>
                    <w:rPr>
                      <w:rFonts w:ascii="Cambria Math" w:hAnsi="Cambria Math"/>
                    </w:rPr>
                  </m:ctrlPr>
                </m:funcPr>
                <m:fName>
                  <m:r>
                    <m:rPr>
                      <m:sty m:val="p"/>
                    </m:rPr>
                    <w:rPr>
                      <w:rFonts w:ascii="Cambria Math" w:hAnsi="Cambria Math"/>
                    </w:rPr>
                    <m:t>Pr</m:t>
                  </m:r>
                </m:fName>
                <m:e>
                  <m:d>
                    <m:dPr>
                      <m:ctrlPr>
                        <w:rPr>
                          <w:rFonts w:ascii="Cambria Math" w:hAnsi="Cambria Math"/>
                          <w:i/>
                        </w:rPr>
                      </m:ctrlPr>
                    </m:dPr>
                    <m:e>
                      <m:sSubSup>
                        <m:sSubSupPr>
                          <m:ctrlPr>
                            <w:rPr>
                              <w:rFonts w:ascii="Cambria Math" w:hAnsi="Cambria Math"/>
                              <w:i/>
                            </w:rPr>
                          </m:ctrlPr>
                        </m:sSubSupPr>
                        <m:e>
                          <m:r>
                            <w:rPr>
                              <w:rFonts w:ascii="Cambria Math" w:hAnsi="Cambria Math"/>
                            </w:rPr>
                            <m:t>D</m:t>
                          </m:r>
                        </m:e>
                        <m:sub>
                          <m:r>
                            <w:rPr>
                              <w:rFonts w:ascii="Cambria Math" w:hAnsi="Cambria Math"/>
                            </w:rPr>
                            <m:t>k+1</m:t>
                          </m:r>
                        </m:sub>
                        <m:sup>
                          <m:r>
                            <w:rPr>
                              <w:rFonts w:ascii="Cambria Math" w:hAnsi="Cambria Math"/>
                            </w:rPr>
                            <m:t>a</m:t>
                          </m:r>
                        </m:sup>
                      </m:sSubSup>
                      <m:r>
                        <w:rPr>
                          <w:rFonts w:ascii="Cambria Math" w:hAnsi="Cambria Math"/>
                        </w:rPr>
                        <m:t>=1</m:t>
                      </m:r>
                    </m:e>
                    <m:e>
                      <m:sSubSup>
                        <m:sSubSupPr>
                          <m:ctrlPr>
                            <w:rPr>
                              <w:rFonts w:ascii="Cambria Math" w:hAnsi="Cambria Math"/>
                              <w:i/>
                            </w:rPr>
                          </m:ctrlPr>
                        </m:sSubSupPr>
                        <m:e>
                          <m:r>
                            <w:rPr>
                              <w:rFonts w:ascii="Cambria Math" w:hAnsi="Cambria Math"/>
                            </w:rPr>
                            <m:t>D</m:t>
                          </m:r>
                        </m:e>
                        <m:sub>
                          <m:r>
                            <w:rPr>
                              <w:rFonts w:ascii="Cambria Math" w:hAnsi="Cambria Math"/>
                            </w:rPr>
                            <m:t>k</m:t>
                          </m:r>
                        </m:sub>
                        <m:sup>
                          <m:r>
                            <w:rPr>
                              <w:rFonts w:ascii="Cambria Math" w:hAnsi="Cambria Math"/>
                            </w:rPr>
                            <m:t>a</m:t>
                          </m:r>
                        </m:sup>
                      </m:sSubSup>
                      <m:r>
                        <w:rPr>
                          <w:rFonts w:ascii="Cambria Math" w:hAnsi="Cambria Math"/>
                        </w:rPr>
                        <m:t>=0</m:t>
                      </m:r>
                    </m:e>
                  </m:d>
                </m:e>
              </m:func>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1</m:t>
                  </m:r>
                </m:sub>
              </m:sSub>
              <m:r>
                <w:rPr>
                  <w:rFonts w:ascii="Cambria Math" w:hAnsi="Cambria Math" w:hint="eastAsia"/>
                </w:rPr>
                <m:t>k</m:t>
              </m:r>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 xml:space="preserve">a+ </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a×k.#(</m:t>
              </m:r>
              <m:r>
                <m:rPr>
                  <m:sty m:val="p"/>
                </m:rPr>
                <w:rPr>
                  <w:rFonts w:ascii="Cambria Math" w:hAnsi="Cambria Math"/>
                </w:rPr>
                <m:t>6)</m:t>
              </m:r>
            </m:e>
          </m:eqArr>
        </m:oMath>
      </m:oMathPara>
    </w:p>
    <w:p w14:paraId="41B8BFA9" w14:textId="77777777" w:rsidR="00916BA7" w:rsidRPr="00647011" w:rsidRDefault="00916BA7" w:rsidP="00916BA7">
      <w:pPr>
        <w:pStyle w:val="ListParagraph"/>
        <w:ind w:firstLine="0"/>
      </w:pPr>
    </w:p>
    <w:p w14:paraId="679D88D0" w14:textId="2F97CA70" w:rsidR="00916BA7" w:rsidRPr="00647011" w:rsidRDefault="000073F0" w:rsidP="00916BA7">
      <w:pPr>
        <w:ind w:left="720"/>
      </w:pPr>
      <w:r>
        <w:t>One minus t</w:t>
      </w:r>
      <w:r w:rsidRPr="00647011">
        <w:t xml:space="preserve">he </w:t>
      </w:r>
      <w:r w:rsidR="00916BA7" w:rsidRPr="00647011">
        <w:t xml:space="preserve">estimates of </w:t>
      </w:r>
      <m:oMath>
        <m:func>
          <m:funcPr>
            <m:ctrlPr>
              <w:rPr>
                <w:rFonts w:ascii="Cambria Math" w:hAnsi="Cambria Math"/>
              </w:rPr>
            </m:ctrlPr>
          </m:funcPr>
          <m:fName>
            <m:r>
              <m:rPr>
                <m:sty m:val="p"/>
              </m:rPr>
              <w:rPr>
                <w:rFonts w:ascii="Cambria Math" w:hAnsi="Cambria Math"/>
              </w:rPr>
              <m:t>Pr</m:t>
            </m:r>
          </m:fName>
          <m:e>
            <m:d>
              <m:dPr>
                <m:ctrlPr>
                  <w:rPr>
                    <w:rFonts w:ascii="Cambria Math" w:hAnsi="Cambria Math"/>
                    <w:i/>
                  </w:rPr>
                </m:ctrlPr>
              </m:dPr>
              <m:e>
                <m:sSubSup>
                  <m:sSubSupPr>
                    <m:ctrlPr>
                      <w:rPr>
                        <w:rFonts w:ascii="Cambria Math" w:hAnsi="Cambria Math"/>
                        <w:i/>
                      </w:rPr>
                    </m:ctrlPr>
                  </m:sSubSupPr>
                  <m:e>
                    <m:r>
                      <w:rPr>
                        <w:rFonts w:ascii="Cambria Math" w:hAnsi="Cambria Math"/>
                      </w:rPr>
                      <m:t>D</m:t>
                    </m:r>
                  </m:e>
                  <m:sub>
                    <m:r>
                      <w:rPr>
                        <w:rFonts w:ascii="Cambria Math" w:hAnsi="Cambria Math"/>
                      </w:rPr>
                      <m:t>k+1</m:t>
                    </m:r>
                  </m:sub>
                  <m:sup>
                    <m:r>
                      <w:rPr>
                        <w:rFonts w:ascii="Cambria Math" w:hAnsi="Cambria Math"/>
                      </w:rPr>
                      <m:t>a</m:t>
                    </m:r>
                  </m:sup>
                </m:sSubSup>
                <m:r>
                  <w:rPr>
                    <w:rFonts w:ascii="Cambria Math" w:hAnsi="Cambria Math"/>
                  </w:rPr>
                  <m:t>=1</m:t>
                </m:r>
              </m:e>
              <m:e>
                <m:sSubSup>
                  <m:sSubSupPr>
                    <m:ctrlPr>
                      <w:rPr>
                        <w:rFonts w:ascii="Cambria Math" w:hAnsi="Cambria Math"/>
                        <w:i/>
                      </w:rPr>
                    </m:ctrlPr>
                  </m:sSubSupPr>
                  <m:e>
                    <m:r>
                      <w:rPr>
                        <w:rFonts w:ascii="Cambria Math" w:hAnsi="Cambria Math"/>
                      </w:rPr>
                      <m:t>D</m:t>
                    </m:r>
                  </m:e>
                  <m:sub>
                    <m:r>
                      <w:rPr>
                        <w:rFonts w:ascii="Cambria Math" w:hAnsi="Cambria Math"/>
                      </w:rPr>
                      <m:t>k</m:t>
                    </m:r>
                  </m:sub>
                  <m:sup>
                    <m:r>
                      <w:rPr>
                        <w:rFonts w:ascii="Cambria Math" w:hAnsi="Cambria Math"/>
                      </w:rPr>
                      <m:t>a</m:t>
                    </m:r>
                  </m:sup>
                </m:sSubSup>
                <m:r>
                  <w:rPr>
                    <w:rFonts w:ascii="Cambria Math" w:hAnsi="Cambria Math"/>
                  </w:rPr>
                  <m:t>=0</m:t>
                </m:r>
              </m:e>
            </m:d>
          </m:e>
        </m:func>
      </m:oMath>
      <w:r w:rsidR="00916BA7" w:rsidRPr="00647011">
        <w:t xml:space="preserve"> from the IP weighted hazards model can then be multiplied overtime to </w:t>
      </w:r>
      <w:proofErr w:type="gramStart"/>
      <w:r w:rsidR="00916BA7" w:rsidRPr="00647011">
        <w:t>obtained</w:t>
      </w:r>
      <w:proofErr w:type="gramEnd"/>
      <w:r w:rsidR="00916BA7" w:rsidRPr="00647011">
        <w:t xml:space="preserve"> an estimate of the survival </w:t>
      </w:r>
      <m:oMath>
        <m:func>
          <m:funcPr>
            <m:ctrlPr>
              <w:rPr>
                <w:rFonts w:ascii="Cambria Math" w:hAnsi="Cambria Math"/>
              </w:rPr>
            </m:ctrlPr>
          </m:funcPr>
          <m:fName>
            <m:r>
              <m:rPr>
                <m:sty m:val="p"/>
              </m:rPr>
              <w:rPr>
                <w:rFonts w:ascii="Cambria Math" w:hAnsi="Cambria Math"/>
              </w:rPr>
              <m:t>Pr</m:t>
            </m:r>
          </m:fName>
          <m:e>
            <m:r>
              <w:rPr>
                <w:rFonts w:ascii="Cambria Math" w:hAnsi="Cambria Math"/>
              </w:rPr>
              <m:t>(</m:t>
            </m:r>
            <m:sSubSup>
              <m:sSubSupPr>
                <m:ctrlPr>
                  <w:rPr>
                    <w:rFonts w:ascii="Cambria Math" w:hAnsi="Cambria Math"/>
                    <w:i/>
                  </w:rPr>
                </m:ctrlPr>
              </m:sSubSupPr>
              <m:e>
                <m:r>
                  <w:rPr>
                    <w:rFonts w:ascii="Cambria Math" w:hAnsi="Cambria Math"/>
                  </w:rPr>
                  <m:t>D</m:t>
                </m:r>
              </m:e>
              <m:sub>
                <m:r>
                  <w:rPr>
                    <w:rFonts w:ascii="Cambria Math" w:hAnsi="Cambria Math"/>
                  </w:rPr>
                  <m:t>k+1</m:t>
                </m:r>
              </m:sub>
              <m:sup>
                <m:r>
                  <w:rPr>
                    <w:rFonts w:ascii="Cambria Math" w:hAnsi="Cambria Math"/>
                  </w:rPr>
                  <m:t>a</m:t>
                </m:r>
              </m:sup>
            </m:sSubSup>
            <m:r>
              <w:rPr>
                <w:rFonts w:ascii="Cambria Math" w:hAnsi="Cambria Math"/>
              </w:rPr>
              <m:t>=0)</m:t>
            </m:r>
          </m:e>
        </m:func>
      </m:oMath>
      <w:r w:rsidR="00916BA7" w:rsidRPr="00647011">
        <w:t xml:space="preserve"> that would have been observed under treatment and under no treatment. </w:t>
      </w:r>
    </w:p>
    <w:p w14:paraId="75978E8F" w14:textId="79EB463E" w:rsidR="008B1BB0" w:rsidRPr="008B1BB0" w:rsidRDefault="00D82906" w:rsidP="00B604F8">
      <w:pPr>
        <w:pStyle w:val="Heading2"/>
      </w:pPr>
      <w:r>
        <w:br w:type="page"/>
      </w:r>
      <w:r w:rsidR="00063245">
        <w:lastRenderedPageBreak/>
        <w:t xml:space="preserve">Identify </w:t>
      </w:r>
      <w:r w:rsidR="00063245" w:rsidRPr="00063245">
        <w:t>confounders</w:t>
      </w:r>
      <w:r w:rsidR="00063245">
        <w:t xml:space="preserve"> in IPW approaches</w:t>
      </w:r>
    </w:p>
    <w:p w14:paraId="33109547" w14:textId="73538065" w:rsidR="00D63A56" w:rsidRDefault="009374AE" w:rsidP="009A5290">
      <w:r w:rsidRPr="00BB53F7">
        <w:rPr>
          <w:shd w:val="clear" w:color="auto" w:fill="FFFFFF"/>
        </w:rPr>
        <w:t>There are two general approaches to selecting variables in order to control confounding</w:t>
      </w:r>
      <w:r w:rsidR="00136139" w:rsidRPr="00BB53F7">
        <w:rPr>
          <w:shd w:val="clear" w:color="auto" w:fill="FFFFFF"/>
        </w:rPr>
        <w:t xml:space="preserve"> in estimating causal effects with observational data</w:t>
      </w:r>
      <w:r w:rsidRPr="00BB53F7">
        <w:rPr>
          <w:shd w:val="clear" w:color="auto" w:fill="FFFFFF"/>
        </w:rPr>
        <w:t xml:space="preserve"> </w:t>
      </w:r>
      <w:r w:rsidRPr="00BB53F7">
        <w:rPr>
          <w:shd w:val="clear" w:color="auto" w:fill="FFFFFF"/>
        </w:rPr>
        <w:fldChar w:fldCharType="begin"/>
      </w:r>
      <w:r w:rsidRPr="00BB53F7">
        <w:rPr>
          <w:shd w:val="clear" w:color="auto" w:fill="FFFFFF"/>
        </w:rPr>
        <w:instrText xml:space="preserve"> ADDIN ZOTERO_ITEM CSL_CITATION {"citationID":"f3On9Poc","properties":{"formattedCitation":"(1)","plainCitation":"(1)","noteIndex":0},"citationItems":[{"id":92,"uris":["http://zotero.org/users/local/Qg3ifaKf/items/RS2I5A57"],"uri":["http://zotero.org/users/local/Qg3ifaKf/items/RS2I5A57"],"itemData":{"id":92,"type":"book","abstract":"The Observational CER User's Guide serves as a resource for investigators and stakeholders when designing observational comparative effectiveness research (CER) studies, particularly those with findings that are intended to translate into decisions or actions. The User's Guide provides principles for designing research that will inform health care decisions of patients and other stakeholders. Furthermore, it serves as a reference for increasing the transparency of the methods used in a study and standardizing the review of protocols through checklists provided in every chapter.","call-number":"NBK126190","collection-title":"AHRQ Methods for Effective Health Care","event-place":"Rockville (MD)","language":"eng","note":"PMID: 23469377","publisher":"Agency for Healthcare Research and Quality (US)","publisher-place":"Rockville (MD)","source":"PubMed","title":"Developing a Protocol for Observational Comparative Effectiveness Research: A User's Guide","title-short":"Developing a Protocol for Observational Comparative Effectiveness Research","URL":"http://www.ncbi.nlm.nih.gov/books/NBK126190/","editor":[{"family":"Velentgas","given":"Priscilla"},{"family":"Dreyer","given":"Nancy A."},{"family":"Nourjah","given":"Parivash"},{"family":"Smith","given":"Scott R."},{"family":"Torchia","given":"Marion M."}],"accessed":{"date-parts":[["2022",3,11]]},"issued":{"date-parts":[["2013"]]}}}],"schema":"https://github.com/citation-style-language/schema/raw/master/csl-citation.json"} </w:instrText>
      </w:r>
      <w:r w:rsidRPr="00BB53F7">
        <w:rPr>
          <w:shd w:val="clear" w:color="auto" w:fill="FFFFFF"/>
        </w:rPr>
        <w:fldChar w:fldCharType="separate"/>
      </w:r>
      <w:r w:rsidRPr="00BB53F7">
        <w:rPr>
          <w:noProof/>
          <w:shd w:val="clear" w:color="auto" w:fill="FFFFFF"/>
        </w:rPr>
        <w:t>(1)</w:t>
      </w:r>
      <w:r w:rsidRPr="00BB53F7">
        <w:rPr>
          <w:shd w:val="clear" w:color="auto" w:fill="FFFFFF"/>
        </w:rPr>
        <w:fldChar w:fldCharType="end"/>
      </w:r>
      <w:r w:rsidRPr="00BB53F7">
        <w:rPr>
          <w:shd w:val="clear" w:color="auto" w:fill="FFFFFF"/>
        </w:rPr>
        <w:t>:</w:t>
      </w:r>
      <w:r w:rsidR="00A64A07" w:rsidRPr="00BB53F7">
        <w:rPr>
          <w:shd w:val="clear" w:color="auto" w:fill="FFFFFF"/>
        </w:rPr>
        <w:t xml:space="preserve"> (a) use of background knowledge and causal graph theory, and (b) </w:t>
      </w:r>
      <w:r w:rsidR="00130B68" w:rsidRPr="00BB53F7">
        <w:rPr>
          <w:shd w:val="clear" w:color="auto" w:fill="FFFFFF"/>
        </w:rPr>
        <w:t xml:space="preserve">empirical approaches that select variables on the basis of statistical associations. </w:t>
      </w:r>
      <w:r w:rsidR="002C4CC5" w:rsidRPr="00BB53F7">
        <w:rPr>
          <w:shd w:val="clear" w:color="auto" w:fill="FFFFFF"/>
        </w:rPr>
        <w:t>A</w:t>
      </w:r>
      <w:r w:rsidR="00A90A93" w:rsidRPr="00BB53F7">
        <w:rPr>
          <w:shd w:val="clear" w:color="auto" w:fill="FFFFFF"/>
        </w:rPr>
        <w:t xml:space="preserve"> graphical analysis of the structural basis for evaluating confounding is known to be the most robust approach to selecting variables for adjustment</w:t>
      </w:r>
      <w:r w:rsidR="002C4CC5" w:rsidRPr="00BB53F7">
        <w:rPr>
          <w:shd w:val="clear" w:color="auto" w:fill="FFFFFF"/>
        </w:rPr>
        <w:t>; however,</w:t>
      </w:r>
      <w:r w:rsidR="00A90A93" w:rsidRPr="00BB53F7">
        <w:rPr>
          <w:shd w:val="clear" w:color="auto" w:fill="FFFFFF"/>
        </w:rPr>
        <w:t xml:space="preserve"> </w:t>
      </w:r>
      <w:r w:rsidR="002C4CC5" w:rsidRPr="00BB53F7">
        <w:rPr>
          <w:shd w:val="clear" w:color="auto" w:fill="FFFFFF"/>
        </w:rPr>
        <w:t xml:space="preserve">construction </w:t>
      </w:r>
      <w:r w:rsidR="00F233D2" w:rsidRPr="00BB53F7">
        <w:rPr>
          <w:shd w:val="clear" w:color="auto" w:fill="FFFFFF"/>
        </w:rPr>
        <w:t xml:space="preserve">of a </w:t>
      </w:r>
      <w:r w:rsidR="002C4CC5" w:rsidRPr="00BB53F7">
        <w:rPr>
          <w:shd w:val="clear" w:color="auto" w:fill="FFFFFF"/>
        </w:rPr>
        <w:t>relevant</w:t>
      </w:r>
      <w:r w:rsidR="00F233D2" w:rsidRPr="00BB53F7">
        <w:rPr>
          <w:shd w:val="clear" w:color="auto" w:fill="FFFFFF"/>
        </w:rPr>
        <w:t xml:space="preserve"> causal structure </w:t>
      </w:r>
      <w:r w:rsidR="002C4CC5" w:rsidRPr="00BB53F7">
        <w:rPr>
          <w:shd w:val="clear" w:color="auto" w:fill="FFFFFF"/>
        </w:rPr>
        <w:t xml:space="preserve">that is comprehensive and accurate for us to use here </w:t>
      </w:r>
      <w:r w:rsidR="00F233D2" w:rsidRPr="00BB53F7">
        <w:rPr>
          <w:shd w:val="clear" w:color="auto" w:fill="FFFFFF"/>
        </w:rPr>
        <w:t>is beyond the scope of this paper. We therefore adopt</w:t>
      </w:r>
      <w:r w:rsidR="00705640" w:rsidRPr="00BB53F7">
        <w:rPr>
          <w:shd w:val="clear" w:color="auto" w:fill="FFFFFF"/>
        </w:rPr>
        <w:t xml:space="preserve"> more practical variable selection approaches based on background knowledge when the causal structure is only partially known</w:t>
      </w:r>
      <w:r w:rsidR="00192174" w:rsidRPr="00BB53F7">
        <w:rPr>
          <w:shd w:val="clear" w:color="auto" w:fill="FFFFFF"/>
        </w:rPr>
        <w:t>,</w:t>
      </w:r>
      <w:r w:rsidR="00705640" w:rsidRPr="00BB53F7">
        <w:rPr>
          <w:shd w:val="clear" w:color="auto" w:fill="FFFFFF"/>
        </w:rPr>
        <w:t xml:space="preserve"> as </w:t>
      </w:r>
      <w:r w:rsidR="009677A7" w:rsidRPr="00BB53F7">
        <w:rPr>
          <w:shd w:val="clear" w:color="auto" w:fill="FFFFFF"/>
        </w:rPr>
        <w:t>recommended</w:t>
      </w:r>
      <w:r w:rsidR="00705640" w:rsidRPr="00BB53F7">
        <w:rPr>
          <w:shd w:val="clear" w:color="auto" w:fill="FFFFFF"/>
        </w:rPr>
        <w:t xml:space="preserve"> in </w:t>
      </w:r>
      <w:r w:rsidR="009677A7" w:rsidRPr="00BB53F7">
        <w:rPr>
          <w:shd w:val="clear" w:color="auto" w:fill="FFFFFF"/>
        </w:rPr>
        <w:fldChar w:fldCharType="begin"/>
      </w:r>
      <w:r w:rsidR="009677A7" w:rsidRPr="00BB53F7">
        <w:rPr>
          <w:shd w:val="clear" w:color="auto" w:fill="FFFFFF"/>
        </w:rPr>
        <w:instrText xml:space="preserve"> ADDIN ZOTERO_ITEM CSL_CITATION {"citationID":"pY9MLmIV","properties":{"formattedCitation":"(1)","plainCitation":"(1)","noteIndex":0},"citationItems":[{"id":92,"uris":["http://zotero.org/users/local/Qg3ifaKf/items/RS2I5A57"],"uri":["http://zotero.org/users/local/Qg3ifaKf/items/RS2I5A57"],"itemData":{"id":92,"type":"book","abstract":"The Observational CER User's Guide serves as a resource for investigators and stakeholders when designing observational comparative effectiveness research (CER) studies, particularly those with findings that are intended to translate into decisions or actions. The User's Guide provides principles for designing research that will inform health care decisions of patients and other stakeholders. Furthermore, it serves as a reference for increasing the transparency of the methods used in a study and standardizing the review of protocols through checklists provided in every chapter.","call-number":"NBK126190","collection-title":"AHRQ Methods for Effective Health Care","event-place":"Rockville (MD)","language":"eng","note":"PMID: 23469377","publisher":"Agency for Healthcare Research and Quality (US)","publisher-place":"Rockville (MD)","source":"PubMed","title":"Developing a Protocol for Observational Comparative Effectiveness Research: A User's Guide","title-short":"Developing a Protocol for Observational Comparative Effectiveness Research","URL":"http://www.ncbi.nlm.nih.gov/books/NBK126190/","editor":[{"family":"Velentgas","given":"Priscilla"},{"family":"Dreyer","given":"Nancy A."},{"family":"Nourjah","given":"Parivash"},{"family":"Smith","given":"Scott R."},{"family":"Torchia","given":"Marion M."}],"accessed":{"date-parts":[["2022",3,11]]},"issued":{"date-parts":[["2013"]]}}}],"schema":"https://github.com/citation-style-language/schema/raw/master/csl-citation.json"} </w:instrText>
      </w:r>
      <w:r w:rsidR="009677A7" w:rsidRPr="00BB53F7">
        <w:rPr>
          <w:shd w:val="clear" w:color="auto" w:fill="FFFFFF"/>
        </w:rPr>
        <w:fldChar w:fldCharType="separate"/>
      </w:r>
      <w:r w:rsidR="009677A7" w:rsidRPr="00BB53F7">
        <w:rPr>
          <w:noProof/>
          <w:shd w:val="clear" w:color="auto" w:fill="FFFFFF"/>
        </w:rPr>
        <w:t>(1)</w:t>
      </w:r>
      <w:r w:rsidR="009677A7" w:rsidRPr="00BB53F7">
        <w:rPr>
          <w:shd w:val="clear" w:color="auto" w:fill="FFFFFF"/>
        </w:rPr>
        <w:fldChar w:fldCharType="end"/>
      </w:r>
      <w:r w:rsidR="00D63A56" w:rsidRPr="00BB53F7">
        <w:rPr>
          <w:shd w:val="clear" w:color="auto" w:fill="FFFFFF"/>
        </w:rPr>
        <w:t>. These strategies include: (a)</w:t>
      </w:r>
      <w:r w:rsidR="009677A7" w:rsidRPr="00BB53F7">
        <w:rPr>
          <w:shd w:val="clear" w:color="auto" w:fill="FFFFFF"/>
        </w:rPr>
        <w:t xml:space="preserve"> adjusting for all observed </w:t>
      </w:r>
      <w:r w:rsidR="00D63A56" w:rsidRPr="00BB53F7">
        <w:rPr>
          <w:shd w:val="clear" w:color="auto" w:fill="FFFFFF"/>
        </w:rPr>
        <w:t>pre-treatment</w:t>
      </w:r>
      <w:r w:rsidR="009677A7" w:rsidRPr="00BB53F7">
        <w:rPr>
          <w:shd w:val="clear" w:color="auto" w:fill="FFFFFF"/>
        </w:rPr>
        <w:t xml:space="preserve"> variables </w:t>
      </w:r>
      <w:r w:rsidR="00CB18E6">
        <w:rPr>
          <w:shd w:val="clear" w:color="auto" w:fill="FFFFFF"/>
        </w:rPr>
        <w:t>that</w:t>
      </w:r>
      <w:r w:rsidR="009677A7" w:rsidRPr="00BB53F7">
        <w:rPr>
          <w:shd w:val="clear" w:color="auto" w:fill="FFFFFF"/>
        </w:rPr>
        <w:t xml:space="preserve"> have some connection to the outcome</w:t>
      </w:r>
      <w:r w:rsidR="005C61E4">
        <w:rPr>
          <w:shd w:val="clear" w:color="auto" w:fill="FFFFFF"/>
        </w:rPr>
        <w:t xml:space="preserve"> </w:t>
      </w:r>
      <w:r w:rsidR="005C61E4">
        <w:rPr>
          <w:shd w:val="clear" w:color="auto" w:fill="FFFFFF"/>
        </w:rPr>
        <w:fldChar w:fldCharType="begin"/>
      </w:r>
      <w:r w:rsidR="005C61E4">
        <w:rPr>
          <w:shd w:val="clear" w:color="auto" w:fill="FFFFFF"/>
        </w:rPr>
        <w:instrText xml:space="preserve"> ADDIN ZOTERO_ITEM CSL_CITATION {"citationID":"jWXRh2po","properties":{"formattedCitation":"(2)","plainCitation":"(2)","noteIndex":0},"citationItems":[{"id":111,"uris":["http://zotero.org/users/local/Qg3ifaKf/items/STTGP2QX"],"uri":["http://zotero.org/users/local/Qg3ifaKf/items/STTGP2QX"],"itemData":{"id":111,"type":"article-journal","abstract":"For estimating causal effects of treatments, randomized experiments are generally considered the gold standard. Nevertheless, they are often infeasible to conduct for a variety of reasons, such as ethical concerns, excessive expense, or timeliness. Consequently, much of our knowledge of causal effects must come from non-randomized observational studies. This article will advocate the position that observational studies can and should be designed to approximate randomized experiments as closely as possible. In particular, observational studies should be designed using only background information to create subgroups of similar treated and control units, where 'similar' here refers to their distributions of background variables. Of great importance, this activity should be conducted without any access to any outcome data, thereby assuring the objectivity of the design. In many situations, this objective creation of subgroups of similar treated and control units, which are balanced with respect to covariates, can be accomplished using propensity score methods. The theoretical perspective underlying this position will be presented followed by a particular application in the context of the US tobacco litigation. This application uses propensity score methods to create subgroups of treated units (male current smokers) and control units (male never smokers) who are at least as similar with respect to their distributions of observed background characteristics as if they had been randomized. The collection of these subgroups then 'approximate' a randomized block experiment with respect to the observed covariates.","container-title":"Statistics in Medicine","DOI":"10.1002/sim.2739","ISSN":"0277-6715","issue":"1","journalAbbreviation":"Stat Med","language":"eng","note":"PMID: 17072897","page":"20-36","source":"PubMed","title":"The design versus the analysis of observational studies for causal effects: parallels with the design of randomized trials","title-short":"The design versus the analysis of observational studies for causal effects","volume":"26","author":[{"family":"Rubin","given":"Donald B."}],"issued":{"date-parts":[["2007",1,15]]}}}],"schema":"https://github.com/citation-style-language/schema/raw/master/csl-citation.json"} </w:instrText>
      </w:r>
      <w:r w:rsidR="005C61E4">
        <w:rPr>
          <w:shd w:val="clear" w:color="auto" w:fill="FFFFFF"/>
        </w:rPr>
        <w:fldChar w:fldCharType="separate"/>
      </w:r>
      <w:r w:rsidR="005C61E4">
        <w:rPr>
          <w:noProof/>
          <w:shd w:val="clear" w:color="auto" w:fill="FFFFFF"/>
        </w:rPr>
        <w:t>(2)</w:t>
      </w:r>
      <w:r w:rsidR="005C61E4">
        <w:rPr>
          <w:shd w:val="clear" w:color="auto" w:fill="FFFFFF"/>
        </w:rPr>
        <w:fldChar w:fldCharType="end"/>
      </w:r>
      <w:r w:rsidR="00D63A56" w:rsidRPr="00BB53F7">
        <w:rPr>
          <w:shd w:val="clear" w:color="auto" w:fill="FFFFFF"/>
        </w:rPr>
        <w:t>, (b)</w:t>
      </w:r>
      <w:r w:rsidR="00D63A56" w:rsidRPr="00BB53F7">
        <w:rPr>
          <w:sz w:val="22"/>
          <w:szCs w:val="22"/>
        </w:rPr>
        <w:t xml:space="preserve"> all known risk factors for the outcome</w:t>
      </w:r>
      <w:r w:rsidR="005C61E4">
        <w:rPr>
          <w:sz w:val="22"/>
          <w:szCs w:val="22"/>
        </w:rPr>
        <w:t xml:space="preserve"> </w:t>
      </w:r>
      <w:r w:rsidR="005C61E4">
        <w:rPr>
          <w:sz w:val="22"/>
          <w:szCs w:val="22"/>
        </w:rPr>
        <w:fldChar w:fldCharType="begin"/>
      </w:r>
      <w:r w:rsidR="005C61E4">
        <w:rPr>
          <w:sz w:val="22"/>
          <w:szCs w:val="22"/>
        </w:rPr>
        <w:instrText xml:space="preserve"> ADDIN ZOTERO_ITEM CSL_CITATION {"citationID":"sEwpKCPD","properties":{"formattedCitation":"(3,4)","plainCitation":"(3,4)","noteIndex":0},"citationItems":[{"id":121,"uris":["http://zotero.org/users/local/Qg3ifaKf/items/AK7YSRYZ"],"uri":["http://zotero.org/users/local/Qg3ifaKf/items/AK7YSRYZ"],"itemData":{"id":121,"type":"article-journal","abstract":"Despite the growing popularity of propensity score (PS) methods in epidemiology, relatively little has been written in the epidemiologic literature about the problem of variable selection for PS models. The authors present the results of two simulation studies designed to help epidemiologists gain insight into the variable selection problem in a PS analysis. The simulation studies illustrate how the choice of variables that are included in a PS model can affect the bias, variance, and mean squared error of an estimated exposure effect. The results suggest that variables that are unrelated to the exposure but related to the outcome should always be included in a PS model. The inclusion of these variables will decrease the variance of an estimated exposure effect without increasing bias. In contrast, including variables that are related to the exposure but not to the outcome will increase the variance of the estimated exposure effect without decreasing bias. In very small studies, the inclusion of variables that are strongly related to the exposure but only weakly related to the outcome can be detrimental to an estimate in a mean squared error sense. The addition of these variables removes only a small amount of bias but can increase the variance of the estimated exposure effect. These simulation studies and other analytical results suggest that standard model-building tools designed to create good predictive models of the exposure will not always lead to optimal PS models, particularly in small studies.","container-title":"American Journal of Epidemiology","DOI":"10.1093/aje/kwj149","ISSN":"0002-9262","issue":"12","journalAbbreviation":"Am J Epidemiol","language":"eng","note":"PMID: 16624967\nPMCID: PMC1513192","page":"1149-1156","source":"PubMed","title":"Variable selection for propensity score models","volume":"163","author":[{"family":"Brookhart","given":"M. Alan"},{"family":"Schneeweiss","given":"Sebastian"},{"family":"Rothman","given":"Kenneth J."},{"family":"Glynn","given":"Robert J."},{"family":"Avorn","given":"Jerry"},{"family":"Stürmer","given":"Til"}],"issued":{"date-parts":[["2006",6,15]]}}},{"id":124,"uris":["http://zotero.org/users/local/Qg3ifaKf/items/GS8NP2ST"],"uri":["http://zotero.org/users/local/Qg3ifaKf/items/GS8NP2ST"],"itemData":{"id":124,"type":"article-journal","abstract":"Recent theoretical studies have shown that conditioning on an instrumental variable (IV), a variable that is associated with exposure but not associated with outcome except through exposure, can increase both bias and variance of exposure effect estimates. Although these findings have obvious implications in cases of known IVs, their meaning remains unclear in the more common scenario where investigators are uncertain whether a measured covariate meets the criteria for an IV or rather a confounder. The authors present results from two simulation studies designed to provide insight into the problem of conditioning on potential IVs in routine epidemiologic practice. The simulations explored the effects of conditioning on IVs, near-IVs (predictors of exposure that are weakly associated with outcome), and confounders on the bias and variance of a binary exposure effect estimate. The results indicate that effect estimates which are conditional on a perfect IV or near-IV may have larger bias and variance than the unconditional estimate. However, in most scenarios considered, the increases in error due to conditioning were small compared with the total estimation error. In these cases, minimizing unmeasured confounding should be the priority when selecting variables for adjustment, even at the risk of conditioning on IVs.","container-title":"American Journal of Epidemiology","DOI":"10.1093/aje/kwr364","ISSN":"0002-9262","issue":"11","journalAbbreviation":"Am J Epidemiol","note":"PMID: 22025356\nPMCID: PMC3254160","page":"1213-1222","source":"PubMed Central","title":"Effects of Adjusting for Instrumental Variables on Bias and Precision of Effect Estimates","volume":"174","author":[{"family":"Myers","given":"Jessica A."},{"family":"Rassen","given":"Jeremy A."},{"family":"Gagne","given":"Joshua J."},{"family":"Huybrechts","given":"Krista F."},{"family":"Schneeweiss","given":"Sebastian"},{"family":"Rothman","given":"Kenneth J."},{"family":"Joffe","given":"Marshall M."},{"family":"Glynn","given":"Robert J."}],"issued":{"date-parts":[["2011",12,1]]}}}],"schema":"https://github.com/citation-style-language/schema/raw/master/csl-citation.json"} </w:instrText>
      </w:r>
      <w:r w:rsidR="005C61E4">
        <w:rPr>
          <w:sz w:val="22"/>
          <w:szCs w:val="22"/>
        </w:rPr>
        <w:fldChar w:fldCharType="separate"/>
      </w:r>
      <w:r w:rsidR="005C61E4">
        <w:rPr>
          <w:noProof/>
          <w:sz w:val="22"/>
          <w:szCs w:val="22"/>
        </w:rPr>
        <w:t>(3,4)</w:t>
      </w:r>
      <w:r w:rsidR="005C61E4">
        <w:rPr>
          <w:sz w:val="22"/>
          <w:szCs w:val="22"/>
        </w:rPr>
        <w:fldChar w:fldCharType="end"/>
      </w:r>
      <w:r w:rsidR="00D63A56" w:rsidRPr="00BB53F7">
        <w:rPr>
          <w:sz w:val="22"/>
          <w:szCs w:val="22"/>
        </w:rPr>
        <w:t>,</w:t>
      </w:r>
      <w:r w:rsidR="001A7976">
        <w:rPr>
          <w:sz w:val="22"/>
          <w:szCs w:val="22"/>
        </w:rPr>
        <w:t xml:space="preserve"> </w:t>
      </w:r>
      <w:r w:rsidR="00D63A56" w:rsidRPr="00BB53F7">
        <w:rPr>
          <w:sz w:val="22"/>
          <w:szCs w:val="22"/>
        </w:rPr>
        <w:t xml:space="preserve">and </w:t>
      </w:r>
      <w:r w:rsidR="001A7976">
        <w:rPr>
          <w:sz w:val="22"/>
          <w:szCs w:val="22"/>
        </w:rPr>
        <w:t xml:space="preserve">(c) </w:t>
      </w:r>
      <w:r w:rsidR="00D63A56" w:rsidRPr="00BB53F7">
        <w:rPr>
          <w:sz w:val="22"/>
          <w:szCs w:val="22"/>
        </w:rPr>
        <w:t>all direct causes of the treatment or the outcome</w:t>
      </w:r>
      <w:r w:rsidR="005C61E4">
        <w:rPr>
          <w:sz w:val="22"/>
          <w:szCs w:val="22"/>
        </w:rPr>
        <w:t xml:space="preserve"> </w:t>
      </w:r>
      <w:r w:rsidR="005C61E4">
        <w:rPr>
          <w:sz w:val="22"/>
          <w:szCs w:val="22"/>
        </w:rPr>
        <w:fldChar w:fldCharType="begin"/>
      </w:r>
      <w:r w:rsidR="005C61E4">
        <w:rPr>
          <w:sz w:val="22"/>
          <w:szCs w:val="22"/>
        </w:rPr>
        <w:instrText xml:space="preserve"> ADDIN ZOTERO_ITEM CSL_CITATION {"citationID":"f8UF07nJ","properties":{"formattedCitation":"(5)","plainCitation":"(5)","noteIndex":0},"citationItems":[{"id":116,"uris":["http://zotero.org/users/local/Qg3ifaKf/items/P9U4ENE9"],"uri":["http://zotero.org/users/local/Qg3ifaKf/items/P9U4ENE9"],"itemData":{"id":116,"type":"article-journal","abstract":"We propose a new criterion for confounder selection when the underlying causal structure is unknown and only limited knowledge is available. We assume all covariates being considered are pretreatment variables and that for each covariate it is known (i) whether the covariate is a cause of treatment, and (ii) whether the covariate is a cause of the outcome. The causal relationships the covariates have with one another is assumed unknown. We propose that control be made for any covariate that is either a cause of treatment or of the outcome or both. We show that irrespective of the actual underlying causal structure, if any subset of the observed covariates suffices to control for confounding then the set of covariates chosen by our criterion will also suffice. We show that other, commonly used, criteria for confounding control do not have this property. We use formal theory concerning causal diagrams to prove our result but the application of the result does not rely on familiarity with causal diagrams. An investigator simply need ask, \"Is the covariate a cause of the treatment?\" and \"Is the covariate a cause of the outcome?\" If the answer to either question is \"yes\" then the covariate is included for confounder control. We discuss some additional covariate selection results that preserve unconfoundedness and that may be of interest when used with our criterion.","container-title":"Biometrics","DOI":"10.1111/j.1541-0420.2011.01619.x","ISSN":"1541-0420","issue":"4","journalAbbreviation":"Biometrics","language":"eng","note":"PMID: 21627630\nPMCID: PMC3166439","page":"1406-1413","source":"PubMed","title":"A new criterion for confounder selection","volume":"67","author":[{"family":"VanderWeele","given":"Tyler J."},{"family":"Shpitser","given":"Ilya"}],"issued":{"date-parts":[["2011",12]]}}}],"schema":"https://github.com/citation-style-language/schema/raw/master/csl-citation.json"} </w:instrText>
      </w:r>
      <w:r w:rsidR="005C61E4">
        <w:rPr>
          <w:sz w:val="22"/>
          <w:szCs w:val="22"/>
        </w:rPr>
        <w:fldChar w:fldCharType="separate"/>
      </w:r>
      <w:r w:rsidR="005C61E4">
        <w:rPr>
          <w:noProof/>
          <w:sz w:val="22"/>
          <w:szCs w:val="22"/>
        </w:rPr>
        <w:t>(5)</w:t>
      </w:r>
      <w:r w:rsidR="005C61E4">
        <w:rPr>
          <w:sz w:val="22"/>
          <w:szCs w:val="22"/>
        </w:rPr>
        <w:fldChar w:fldCharType="end"/>
      </w:r>
      <w:r w:rsidR="00D63A56" w:rsidRPr="00BB53F7">
        <w:rPr>
          <w:sz w:val="22"/>
          <w:szCs w:val="22"/>
        </w:rPr>
        <w:t xml:space="preserve">. </w:t>
      </w:r>
      <w:r w:rsidR="009A5290">
        <w:rPr>
          <w:sz w:val="22"/>
          <w:szCs w:val="22"/>
        </w:rPr>
        <w:t>We</w:t>
      </w:r>
      <w:r w:rsidR="009A5290">
        <w:t xml:space="preserve"> adopt</w:t>
      </w:r>
      <w:r w:rsidR="00906E5E">
        <w:t>ed</w:t>
      </w:r>
      <w:r w:rsidR="009A5290">
        <w:t xml:space="preserve"> strategy (a) to firstly</w:t>
      </w:r>
      <w:r w:rsidR="009A5290" w:rsidRPr="00EF2F24">
        <w:t xml:space="preserve"> </w:t>
      </w:r>
      <w:r w:rsidR="009A5290">
        <w:t>include</w:t>
      </w:r>
      <w:r w:rsidR="009A5290" w:rsidRPr="00EF2F24">
        <w:t xml:space="preserve"> fo</w:t>
      </w:r>
      <w:r w:rsidR="009A5290">
        <w:t xml:space="preserve">r adjustment </w:t>
      </w:r>
      <w:r w:rsidR="009A5290" w:rsidRPr="00EF2F24">
        <w:rPr>
          <w:rFonts w:hint="eastAsia"/>
        </w:rPr>
        <w:t>a</w:t>
      </w:r>
      <w:r w:rsidR="009A5290" w:rsidRPr="00EF2F24">
        <w:t>ll pre</w:t>
      </w:r>
      <w:r w:rsidR="009A5290">
        <w:t>-</w:t>
      </w:r>
      <w:r w:rsidR="009A5290" w:rsidRPr="00EF2F24">
        <w:t>treatment covariates that</w:t>
      </w:r>
      <w:r w:rsidR="009A5290">
        <w:t xml:space="preserve"> a</w:t>
      </w:r>
      <w:r w:rsidR="009A5290" w:rsidRPr="006F2868">
        <w:t xml:space="preserve">ll </w:t>
      </w:r>
      <w:r w:rsidR="009A5290">
        <w:t>p</w:t>
      </w:r>
      <w:r w:rsidR="009A5290" w:rsidRPr="006F2868">
        <w:t xml:space="preserve">ossible </w:t>
      </w:r>
      <w:r w:rsidR="009A5290">
        <w:t>r</w:t>
      </w:r>
      <w:r w:rsidR="009A5290" w:rsidRPr="006F2868">
        <w:t xml:space="preserve">isk </w:t>
      </w:r>
      <w:r w:rsidR="009A5290">
        <w:t>f</w:t>
      </w:r>
      <w:r w:rsidR="009A5290" w:rsidRPr="006F2868">
        <w:t xml:space="preserve">actors for the </w:t>
      </w:r>
      <w:r w:rsidR="009A5290">
        <w:t>o</w:t>
      </w:r>
      <w:r w:rsidR="009A5290" w:rsidRPr="006F2868">
        <w:t>utcome</w:t>
      </w:r>
      <w:r w:rsidR="007D0F23">
        <w:t>, a strategy often used with propensity score methods</w:t>
      </w:r>
      <w:r w:rsidR="009A5290">
        <w:t>. We then use</w:t>
      </w:r>
      <w:r w:rsidR="009A272E">
        <w:t>d</w:t>
      </w:r>
      <w:r w:rsidR="009A5290">
        <w:t xml:space="preserve"> the (partially) know causal structures to exclude, e.g. </w:t>
      </w:r>
      <w:r w:rsidR="009A5290" w:rsidRPr="00C07B86">
        <w:t xml:space="preserve"> </w:t>
      </w:r>
      <w:r w:rsidR="009A5290">
        <w:t>s</w:t>
      </w:r>
      <w:r w:rsidR="009A5290" w:rsidRPr="00C07B86">
        <w:t>trong instruments and colliders,</w:t>
      </w:r>
      <w:r w:rsidR="009A5290">
        <w:t xml:space="preserve"> as otherwise biases can result</w:t>
      </w:r>
      <w:r w:rsidR="00A337D4">
        <w:t xml:space="preserve"> </w:t>
      </w:r>
      <w:r w:rsidR="00A05AC1">
        <w:fldChar w:fldCharType="begin"/>
      </w:r>
      <w:r w:rsidR="00A05AC1">
        <w:instrText xml:space="preserve"> ADDIN ZOTERO_ITEM CSL_CITATION {"citationID":"FXRE6gmV","properties":{"formattedCitation":"(5,6)","plainCitation":"(5,6)","noteIndex":0},"citationItems":[{"id":116,"uris":["http://zotero.org/users/local/Qg3ifaKf/items/P9U4ENE9"],"uri":["http://zotero.org/users/local/Qg3ifaKf/items/P9U4ENE9"],"itemData":{"id":116,"type":"article-journal","abstract":"We propose a new criterion for confounder selection when the underlying causal structure is unknown and only limited knowledge is available. We assume all covariates being considered are pretreatment variables and that for each covariate it is known (i) whether the covariate is a cause of treatment, and (ii) whether the covariate is a cause of the outcome. The causal relationships the covariates have with one another is assumed unknown. We propose that control be made for any covariate that is either a cause of treatment or of the outcome or both. We show that irrespective of the actual underlying causal structure, if any subset of the observed covariates suffices to control for confounding then the set of covariates chosen by our criterion will also suffice. We show that other, commonly used, criteria for confounding control do not have this property. We use formal theory concerning causal diagrams to prove our result but the application of the result does not rely on familiarity with causal diagrams. An investigator simply need ask, \"Is the covariate a cause of the treatment?\" and \"Is the covariate a cause of the outcome?\" If the answer to either question is \"yes\" then the covariate is included for confounder control. We discuss some additional covariate selection results that preserve unconfoundedness and that may be of interest when used with our criterion.","container-title":"Biometrics","DOI":"10.1111/j.1541-0420.2011.01619.x","ISSN":"1541-0420","issue":"4","journalAbbreviation":"Biometrics","language":"eng","note":"PMID: 21627630\nPMCID: PMC3166439","page":"1406-1413","source":"PubMed","title":"A new criterion for confounder selection","volume":"67","author":[{"family":"VanderWeele","given":"Tyler J."},{"family":"Shpitser","given":"Ilya"}],"issued":{"date-parts":[["2011",12]]}}},{"id":119,"uris":["http://zotero.org/users/local/Qg3ifaKf/items/TMP2AYLS"],"uri":["http://zotero.org/users/local/Qg3ifaKf/items/TMP2AYLS"],"itemData":{"id":119,"type":"article-journal","container-title":"Statistics in Medicine","DOI":"10.1002/sim.3521","ISSN":"0277-6715","issue":"9","journalAbbreviation":"Stat Med","language":"eng","note":"PMID: 19340847","page":"1415-1416; author reply 1420-1423","source":"PubMed","title":"Remarks on the method of propensity score","volume":"28","author":[{"family":"Pearl","given":"Judea"}],"issued":{"date-parts":[["2009",4,30]]}}}],"schema":"https://github.com/citation-style-language/schema/raw/master/csl-citation.json"} </w:instrText>
      </w:r>
      <w:r w:rsidR="00A05AC1">
        <w:fldChar w:fldCharType="separate"/>
      </w:r>
      <w:r w:rsidR="00A05AC1">
        <w:rPr>
          <w:noProof/>
        </w:rPr>
        <w:t>(5,6)</w:t>
      </w:r>
      <w:r w:rsidR="00A05AC1">
        <w:fldChar w:fldCharType="end"/>
      </w:r>
      <w:r w:rsidR="00A05AC1">
        <w:t xml:space="preserve">. </w:t>
      </w:r>
      <w:r w:rsidR="002F5DC9">
        <w:t xml:space="preserve">For IPW approach </w:t>
      </w:r>
      <w:r w:rsidR="00162145">
        <w:t>b</w:t>
      </w:r>
      <w:r w:rsidR="002F5DC9">
        <w:t xml:space="preserve">1 where </w:t>
      </w:r>
      <w:r w:rsidR="00377782">
        <w:t>only</w:t>
      </w:r>
      <w:r w:rsidR="002F5DC9">
        <w:t xml:space="preserve"> baseline data were used to determine sample treatment status, </w:t>
      </w:r>
      <m:oMath>
        <m:sSub>
          <m:sSubPr>
            <m:ctrlPr>
              <w:rPr>
                <w:rFonts w:ascii="Cambria Math" w:hAnsi="Cambria Math"/>
                <w:i/>
              </w:rPr>
            </m:ctrlPr>
          </m:sSubPr>
          <m:e>
            <m:r>
              <w:rPr>
                <w:rFonts w:ascii="Cambria Math" w:hAnsi="Cambria Math"/>
              </w:rPr>
              <m:t>X</m:t>
            </m:r>
          </m:e>
          <m:sub>
            <m:r>
              <w:rPr>
                <w:rFonts w:ascii="Cambria Math" w:hAnsi="Cambria Math"/>
              </w:rPr>
              <m:t>0</m:t>
            </m:r>
          </m:sub>
        </m:sSub>
      </m:oMath>
      <w:r w:rsidR="002F5DC9">
        <w:t xml:space="preserve"> in Table </w:t>
      </w:r>
      <w:r w:rsidR="00D9189B">
        <w:t>2</w:t>
      </w:r>
      <w:r w:rsidR="001C3D28">
        <w:t xml:space="preserve"> </w:t>
      </w:r>
      <w:r w:rsidR="002F5DC9">
        <w:t xml:space="preserve">are likely to be partly mediators. For example, </w:t>
      </w:r>
      <w:r w:rsidR="002F5DC9">
        <w:rPr>
          <w:lang w:val="en-US"/>
        </w:rPr>
        <w:t>b</w:t>
      </w:r>
      <w:r w:rsidR="002F5DC9" w:rsidRPr="00697E7D">
        <w:rPr>
          <w:lang w:val="en-US"/>
        </w:rPr>
        <w:t xml:space="preserve">aseline </w:t>
      </w:r>
      <w:r w:rsidR="002F5DC9">
        <w:rPr>
          <w:lang w:val="en-US"/>
        </w:rPr>
        <w:t>TC/HDL-C</w:t>
      </w:r>
      <w:r w:rsidR="002F5DC9" w:rsidRPr="00697E7D">
        <w:rPr>
          <w:lang w:val="en-US"/>
        </w:rPr>
        <w:t xml:space="preserve"> is not included in</w:t>
      </w:r>
      <w:r w:rsidR="002F5DC9" w:rsidRPr="00647011">
        <w:t xml:space="preserve"> </w:t>
      </w:r>
      <m:oMath>
        <m:r>
          <w:rPr>
            <w:rFonts w:ascii="Cambria Math" w:hAnsi="Cambria Math"/>
          </w:rPr>
          <m:t>L</m:t>
        </m:r>
      </m:oMath>
      <w:r w:rsidR="002F5DC9" w:rsidRPr="00697E7D">
        <w:t xml:space="preserve"> for adjustment </w:t>
      </w:r>
      <w:r w:rsidR="002F5DC9">
        <w:t xml:space="preserve">in IPW approach </w:t>
      </w:r>
      <w:r w:rsidR="00B60F55">
        <w:t>b</w:t>
      </w:r>
      <w:r w:rsidR="002F5DC9">
        <w:t xml:space="preserve">1 </w:t>
      </w:r>
      <w:r w:rsidR="002F5DC9" w:rsidRPr="00697E7D">
        <w:t xml:space="preserve">as </w:t>
      </w:r>
      <w:r w:rsidR="002F5DC9">
        <w:t>blood pressure lowering</w:t>
      </w:r>
      <w:r w:rsidR="002F5DC9" w:rsidRPr="00647011">
        <w:t xml:space="preserve"> medication</w:t>
      </w:r>
      <w:r w:rsidR="002F5DC9">
        <w:t xml:space="preserve"> </w:t>
      </w:r>
      <w:r w:rsidR="002F5DC9" w:rsidRPr="00697E7D">
        <w:t>is reported to affect lipid profiles</w:t>
      </w:r>
      <w:r w:rsidR="002F5DC9">
        <w:t xml:space="preserve"> </w:t>
      </w:r>
      <w:r w:rsidR="002F5DC9">
        <w:fldChar w:fldCharType="begin"/>
      </w:r>
      <w:r w:rsidR="002F5DC9">
        <w:instrText xml:space="preserve"> ADDIN ZOTERO_ITEM CSL_CITATION {"citationID":"LnASUJmR","properties":{"formattedCitation":"(7)","plainCitation":"(7)","noteIndex":0},"citationItems":[{"id":129,"uris":["http://zotero.org/users/local/Qg3ifaKf/items/ECZ5WA9F"],"uri":["http://zotero.org/users/local/Qg3ifaKf/items/ECZ5WA9F"],"itemData":{"id":129,"type":"article-journal","abstract":"The large clinical trials of the treatment of hypertension, in which diuretics were used as initial drug therapy, have demonstrated a major reduction in stroke but little benefit in the incidence of coronary heart disease. The limited effect of treatment on coronary disease is surprising given the strong risk factor relationship to pre-existing hypertension. This may mean that the risk factor relationship is not a causal one. Alternatively, the drug therapy may have subtle toxicity that in the long term offsets the benefit of lowering blood pressure. This review explores the latter possibility by reviewing the evidence that the antihypertensive drugs used preferentially heretofore have adverse effects on the lipid profile. Diuretics increase triglycerides (average of 30%), total cholesterol (average of 6-8%), and LDL or VLDL cholesterol. beta-1 selective and nonselective beta-blockers increase triglycerides (average of 30%) and lower HDL cholesterol (average of 5-15%). Whereas the adverse modifications of the lipid profile appear small and inconsequential, the increase in total cholesterol during diuretic therapy is of the same magnitude as observed in the Lipid Research Clinic trial (although opposite in direction) that significantly affected coronary events. The persistence of the lipid changes during long-term treatment is unresolved due to fragmentary and poorly controlled observations. Nevertheless, considerable data suggest that it continues during extended therapy. Selective alpha-1 adrenoceptor blocking drugs and perhaps calcium antagonists and beta-blockers with intrinsic sympathomimetic activity have a favorable influence on the lipid profile.(ABSTRACT TRUNCATED AT 250 WORDS)","container-title":"American Journal of Hypertension","DOI":"10.1093/ajh/1.4.421","ISSN":"0895-7061","issue":"4 Pt 1","journalAbbreviation":"Am J Hypertens","language":"eng","note":"PMID: 2905605","page":"421-427","source":"PubMed","title":"Antihypertensive drugs and lipid profiles","volume":"1","author":[{"family":"Ames","given":"R. P."}],"issued":{"date-parts":[["1988",10]]}}}],"schema":"https://github.com/citation-style-language/schema/raw/master/csl-citation.json"} </w:instrText>
      </w:r>
      <w:r w:rsidR="002F5DC9">
        <w:fldChar w:fldCharType="separate"/>
      </w:r>
      <w:r w:rsidR="002F5DC9">
        <w:rPr>
          <w:noProof/>
        </w:rPr>
        <w:t>(7)</w:t>
      </w:r>
      <w:r w:rsidR="002F5DC9">
        <w:fldChar w:fldCharType="end"/>
      </w:r>
      <w:r w:rsidR="002F5DC9">
        <w:t xml:space="preserve"> </w:t>
      </w:r>
      <w:r w:rsidR="002F5DC9" w:rsidRPr="00697E7D">
        <w:t xml:space="preserve">and therefore </w:t>
      </w:r>
      <w:r w:rsidR="002F5DC9">
        <w:t>TC/HDL-C</w:t>
      </w:r>
      <w:r w:rsidR="002F5DC9" w:rsidRPr="00697E7D">
        <w:t xml:space="preserve"> represents an effect mediator</w:t>
      </w:r>
      <w:r w:rsidR="002F5DC9">
        <w:t xml:space="preserve"> of blood pressure lowering</w:t>
      </w:r>
      <w:r w:rsidR="002F5DC9" w:rsidRPr="00647011">
        <w:t xml:space="preserve"> medication</w:t>
      </w:r>
      <w:r w:rsidR="002F5DC9">
        <w:t xml:space="preserve">. Similarly, baseline </w:t>
      </w:r>
      <w:r w:rsidR="002F5DC9" w:rsidRPr="00647011">
        <w:rPr>
          <w:lang w:val="en-US"/>
        </w:rPr>
        <w:t xml:space="preserve">SBP is not included in </w:t>
      </w:r>
      <m:oMath>
        <m:r>
          <w:rPr>
            <w:rFonts w:ascii="Cambria Math" w:hAnsi="Cambria Math"/>
          </w:rPr>
          <m:t>L</m:t>
        </m:r>
      </m:oMath>
      <w:r w:rsidR="002F5DC9" w:rsidRPr="00647011">
        <w:t xml:space="preserve"> for adjustment </w:t>
      </w:r>
      <w:r w:rsidR="002F5DC9">
        <w:t xml:space="preserve">in IPW approach 1 </w:t>
      </w:r>
      <w:r w:rsidR="002F5DC9" w:rsidRPr="00647011">
        <w:t xml:space="preserve">as </w:t>
      </w:r>
      <w:r w:rsidR="002F5DC9">
        <w:t>lipid-lowering medication</w:t>
      </w:r>
      <w:r w:rsidR="002F5DC9" w:rsidRPr="00647011" w:rsidDel="00431ADF">
        <w:t xml:space="preserve"> </w:t>
      </w:r>
      <w:r w:rsidR="002F5DC9" w:rsidRPr="00647011">
        <w:t xml:space="preserve">is reported to lower BP </w:t>
      </w:r>
      <w:r w:rsidR="002F5DC9" w:rsidRPr="00647011">
        <w:fldChar w:fldCharType="begin" w:fldLock="1"/>
      </w:r>
      <w:r w:rsidR="002F5DC9">
        <w:instrText xml:space="preserve"> ADDIN ZOTERO_ITEM CSL_CITATION {"citationID":"x3zLYv1i","properties":{"formattedCitation":"(8)","plainCitation":"(8)","noteIndex":0},"citationItems":[{"id":"a3WXg6eV/ah9TGGOY","uris":["http://www.mendeley.com/documents/?uuid=cc868a5d-67ec-35fc-aeb3-1d6d16f75195"],"uri":["http://www.mendeley.com/documents/?uuid=cc868a5d-67ec-35fc-aeb3-1d6d16f75195"],"itemData":{"DOI":"10.1161/01.HYP.0000259737.43916.42","ISSN":"0194911X","PMID":"17309949","abstract":"A meta-analysis was performed of the effect of 3hydroxy3methylglutaryl- coenzyme A reductase inhibitors (statins) on blood pressure in humans including the randomized, controlled trials of statin therapy (20 trials and 828 patients) in which concomitant antihypertensive treatment (if any) remained unchanged throughout the study. A total of 291 and 272 patients were given a statin or placebo, respectively, in parallel group trials, whereas 265 took part in crossover trials receiving a statin and placebo (or probucol, in 1 trial). Systolic blood pressure was significantly lower in patients on statin than in those on placebo or control hypolipidemic drug (mean difference: -1.9 mm Hg; 95% CI: -3.8 to -0.1). The effect was greater when the analysis was restricted to studies with a baseline systolic blood pressure &gt;130 mm Hg (Δ systolic blood pressure: -4.0; 95% CI: -5.8 to -2.2 mm Hg). There was a trend for lower diastolic blood pressure in patients receiving statin therapy compared with control: -0.9 mm Hg (95% CI: -2.0 to 0.2) overall and -1.2 mm Hg (95% CI: -2.6 to 0.1) in studies with a baseline diastolic blood pressure &gt;80 mm Hg. In general, the higher the baseline blood pressure, the greater the effect of statins on blood pressure (P=0.066 for systolic blood pressure and P=0.023 for diastolic blood pressure). The blood pressure response to statins was unrelated to age, changes in serum cholesterol, or length of the trial. In conclusion, statin therapy has a relatively small but statistically significant and clinically meaningful effect on blood pressure. © 2007 American Heart Association, Inc.","author":[{"dropping-particle":"","family":"Strazzullo","given":"Pasquale","non-dropping-particle":"","parse-names":false,"suffix":""},{"dropping-particle":"","family":"Kerry","given":"Sally M.","non-dropping-particle":"","parse-names":false,"suffix":""},{"dropping-particle":"","family":"Barbato","given":"Antonio","non-dropping-particle":"","parse-names":false,"suffix":""},{"dropping-particle":"","family":"Versiero","given":"Marco","non-dropping-particle":"","parse-names":false,"suffix":""},{"dropping-particle":"","family":"D'Elia","given":"Lanfranco","non-dropping-particle":"","parse-names":false,"suffix":""},{"dropping-particle":"","family":"Cappuccio","given":"Francesco P.","non-dropping-particle":"","parse-names":false,"suffix":""}],"container-title":"Hypertension","id":"ITEM-1","issue":"4","issued":{"date-parts":[["2007","4","1"]]},"page":"792-798","publisher":"Lippincott Williams &amp; Wilkins","title":"Do statins reduce blood pressure? A meta-analysis of randomized, controlled trials","type":"article-journal","volume":"49"}}],"schema":"https://github.com/citation-style-language/schema/raw/master/csl-citation.json"} </w:instrText>
      </w:r>
      <w:r w:rsidR="002F5DC9" w:rsidRPr="00647011">
        <w:fldChar w:fldCharType="separate"/>
      </w:r>
      <w:r w:rsidR="002F5DC9">
        <w:t>(8)</w:t>
      </w:r>
      <w:r w:rsidR="002F5DC9" w:rsidRPr="00647011">
        <w:rPr>
          <w:lang w:val="en-US"/>
        </w:rPr>
        <w:fldChar w:fldCharType="end"/>
      </w:r>
      <w:r w:rsidR="002F5DC9" w:rsidRPr="00647011">
        <w:t>, and therefore SBP represents an effect mediator</w:t>
      </w:r>
      <w:r w:rsidR="002F5DC9">
        <w:t xml:space="preserve"> of lipid-lowering medication</w:t>
      </w:r>
      <w:r w:rsidR="00F77A68">
        <w:t>.</w:t>
      </w:r>
    </w:p>
    <w:p w14:paraId="354E8D91" w14:textId="77777777" w:rsidR="00CC138F" w:rsidRDefault="00CC138F" w:rsidP="009A5290"/>
    <w:p w14:paraId="2199CF2A" w14:textId="40128DF5" w:rsidR="00CC138F" w:rsidRDefault="00CC138F" w:rsidP="00B35D7C">
      <w:pPr>
        <w:pStyle w:val="Heading2"/>
      </w:pPr>
      <w:r>
        <w:t>Adjusting for selection bias in IPW approach (b2)</w:t>
      </w:r>
    </w:p>
    <w:p w14:paraId="5230DDE1" w14:textId="0B487A15" w:rsidR="00EE012D" w:rsidRPr="00537C85" w:rsidRDefault="00060154" w:rsidP="00537C85">
      <w:r>
        <w:t>B</w:t>
      </w:r>
      <w:r w:rsidR="00EE012D" w:rsidRPr="00537C85">
        <w:t xml:space="preserve">ias </w:t>
      </w:r>
      <w:r w:rsidR="00FB3C7B" w:rsidRPr="00537C85">
        <w:t xml:space="preserve">from pre-selecting individuals </w:t>
      </w:r>
      <w:r w:rsidR="00537C85" w:rsidRPr="00537C85">
        <w:t>who</w:t>
      </w:r>
      <w:r w:rsidR="00FB3C7B" w:rsidRPr="00537C85">
        <w:t xml:space="preserve"> follow</w:t>
      </w:r>
      <w:r w:rsidR="00537C85" w:rsidRPr="00537C85">
        <w:t>ed up within</w:t>
      </w:r>
      <w:r w:rsidR="00FB3C7B" w:rsidRPr="00537C85">
        <w:t xml:space="preserve"> 2 years</w:t>
      </w:r>
      <w:r w:rsidR="00537C85" w:rsidRPr="00537C85">
        <w:rPr>
          <w:lang w:val="en-US"/>
        </w:rPr>
        <w:t xml:space="preserve"> following </w:t>
      </w:r>
      <w:r w:rsidR="00537C85" w:rsidRPr="00537C85">
        <w:rPr>
          <w:rFonts w:hint="eastAsia"/>
        </w:rPr>
        <w:t>t</w:t>
      </w:r>
      <w:r w:rsidR="00537C85" w:rsidRPr="00537C85">
        <w:t>heir first assessment visit</w:t>
      </w:r>
      <w:r w:rsidR="00FB3C7B" w:rsidRPr="00537C85">
        <w:t xml:space="preserve"> </w:t>
      </w:r>
      <w:r w:rsidR="00C4688F" w:rsidRPr="00537C85">
        <w:t>was</w:t>
      </w:r>
      <w:r w:rsidR="00EE012D" w:rsidRPr="00537C85">
        <w:t xml:space="preserve"> corrected in the analysis</w:t>
      </w:r>
      <w:r w:rsidR="00C4688F" w:rsidRPr="00537C85">
        <w:t xml:space="preserve"> by </w:t>
      </w:r>
      <w:r w:rsidR="00FB3C7B" w:rsidRPr="00537C85">
        <w:t>inverse probability</w:t>
      </w:r>
      <w:r w:rsidR="00C4688F" w:rsidRPr="00537C85">
        <w:t xml:space="preserve"> weighting</w:t>
      </w:r>
      <w:r w:rsidR="00FB3C7B" w:rsidRPr="00537C85">
        <w:t>. This was b</w:t>
      </w:r>
      <w:r w:rsidR="00EE012D" w:rsidRPr="00537C85">
        <w:t>ased on assigning a weight</w:t>
      </w:r>
      <w:r w:rsidR="00FB3C7B" w:rsidRPr="00537C85">
        <w:t xml:space="preserve"> </w:t>
      </w:r>
      <m:oMath>
        <m:sSup>
          <m:sSupPr>
            <m:ctrlPr>
              <w:rPr>
                <w:rFonts w:ascii="Cambria Math" w:hAnsi="Cambria Math"/>
                <w:i/>
              </w:rPr>
            </m:ctrlPr>
          </m:sSupPr>
          <m:e>
            <m:r>
              <w:rPr>
                <w:rFonts w:ascii="Cambria Math" w:hAnsi="Cambria Math"/>
              </w:rPr>
              <m:t>W</m:t>
            </m:r>
          </m:e>
          <m:sup>
            <m:sSup>
              <m:sSupPr>
                <m:ctrlPr>
                  <w:rPr>
                    <w:rFonts w:ascii="Cambria Math" w:hAnsi="Cambria Math"/>
                    <w:i/>
                  </w:rPr>
                </m:ctrlPr>
              </m:sSupPr>
              <m:e>
                <m:r>
                  <w:rPr>
                    <w:rFonts w:ascii="Cambria Math" w:hAnsi="Cambria Math"/>
                  </w:rPr>
                  <m:t>C</m:t>
                </m:r>
              </m:e>
              <m:sup>
                <m:r>
                  <w:rPr>
                    <w:rFonts w:ascii="Cambria Math" w:hAnsi="Cambria Math"/>
                  </w:rPr>
                  <m:t>'</m:t>
                </m:r>
              </m:sup>
            </m:sSup>
          </m:sup>
        </m:sSup>
      </m:oMath>
      <w:r w:rsidR="00EE012D" w:rsidRPr="00537C85">
        <w:t xml:space="preserve"> to each selected individual (</w:t>
      </w:r>
      <m:oMath>
        <m:sSup>
          <m:sSupPr>
            <m:ctrlPr>
              <w:rPr>
                <w:rFonts w:ascii="Cambria Math" w:hAnsi="Cambria Math"/>
                <w:i/>
              </w:rPr>
            </m:ctrlPr>
          </m:sSupPr>
          <m:e>
            <m:r>
              <w:rPr>
                <w:rFonts w:ascii="Cambria Math" w:hAnsi="Cambria Math"/>
              </w:rPr>
              <m:t>C</m:t>
            </m:r>
          </m:e>
          <m:sup>
            <m:r>
              <w:rPr>
                <w:rFonts w:ascii="Cambria Math" w:hAnsi="Cambria Math"/>
              </w:rPr>
              <m:t>'</m:t>
            </m:r>
          </m:sup>
        </m:sSup>
        <m:r>
          <w:rPr>
            <w:rFonts w:ascii="Cambria Math" w:hAnsi="Cambria Math"/>
          </w:rPr>
          <m:t>=0</m:t>
        </m:r>
      </m:oMath>
      <w:r w:rsidR="00533274" w:rsidRPr="00537C85">
        <w:t>)</w:t>
      </w:r>
      <w:r w:rsidR="00537C85" w:rsidRPr="00537C85">
        <w:t>, which wa</w:t>
      </w:r>
      <w:r w:rsidR="00EE012D" w:rsidRPr="00537C85">
        <w:t xml:space="preserve">s the inverse of the probability of </w:t>
      </w:r>
      <w:r w:rsidR="006004FD" w:rsidRPr="00537C85">
        <w:t xml:space="preserve">their </w:t>
      </w:r>
      <w:r w:rsidR="00EE012D" w:rsidRPr="00537C85">
        <w:t xml:space="preserve">selection </w:t>
      </w:r>
      <w:r w:rsidR="006004FD" w:rsidRPr="00537C85">
        <w:t xml:space="preserve"> </w:t>
      </w:r>
      <m:oMath>
        <m:func>
          <m:funcPr>
            <m:ctrlPr>
              <w:rPr>
                <w:rFonts w:ascii="Cambria Math" w:hAnsi="Cambria Math"/>
              </w:rPr>
            </m:ctrlPr>
          </m:funcPr>
          <m:fName>
            <m:r>
              <m:rPr>
                <m:sty m:val="p"/>
              </m:rPr>
              <w:rPr>
                <w:rFonts w:ascii="Cambria Math" w:hAnsi="Cambria Math"/>
              </w:rPr>
              <m:t>Pr</m:t>
            </m:r>
          </m:fName>
          <m:e>
            <m:sSup>
              <m:sSupPr>
                <m:ctrlPr>
                  <w:rPr>
                    <w:rFonts w:ascii="Cambria Math" w:hAnsi="Cambria Math"/>
                    <w:i/>
                  </w:rPr>
                </m:ctrlPr>
              </m:sSupPr>
              <m:e>
                <m:r>
                  <w:rPr>
                    <w:rFonts w:ascii="Cambria Math" w:hAnsi="Cambria Math"/>
                  </w:rPr>
                  <m:t>(C</m:t>
                </m:r>
              </m:e>
              <m:sup>
                <m:r>
                  <w:rPr>
                    <w:rFonts w:ascii="Cambria Math" w:hAnsi="Cambria Math"/>
                  </w:rPr>
                  <m:t>'</m:t>
                </m:r>
              </m:sup>
            </m:sSup>
          </m:e>
        </m:func>
        <m:r>
          <w:rPr>
            <w:rFonts w:ascii="Cambria Math" w:hAnsi="Cambria Math"/>
          </w:rPr>
          <m:t>=0|</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oMath>
      <w:r w:rsidR="00D97BA3" w:rsidRPr="00537C85">
        <w:t xml:space="preserve">. </w:t>
      </w:r>
      <w:r w:rsidR="000F7785">
        <w:t xml:space="preserve">We used all </w:t>
      </w:r>
      <w:r w:rsidR="000F7785" w:rsidRPr="007E7F60">
        <w:rPr>
          <w:lang w:val="en-US"/>
        </w:rPr>
        <w:t xml:space="preserve">mandatory variables required for the </w:t>
      </w:r>
      <w:r w:rsidR="000F7785">
        <w:rPr>
          <w:lang w:val="en-US"/>
        </w:rPr>
        <w:t>CVD</w:t>
      </w:r>
      <w:r w:rsidR="000F7785" w:rsidRPr="007E7F60">
        <w:rPr>
          <w:lang w:val="en-US"/>
        </w:rPr>
        <w:t xml:space="preserve"> risk assessment</w:t>
      </w:r>
      <w:r w:rsidR="000F7785" w:rsidRPr="00537C85">
        <w:t xml:space="preserve"> </w:t>
      </w:r>
      <w:r w:rsidR="000F7785">
        <w:t>as v</w:t>
      </w:r>
      <w:r w:rsidR="000F7785" w:rsidRPr="00537C85">
        <w:t xml:space="preserve">ariables </w:t>
      </w:r>
      <w:r w:rsidR="00537C85" w:rsidRPr="00537C85">
        <w:t xml:space="preserve">in </w:t>
      </w:r>
      <m:oMath>
        <m:sSup>
          <m:sSupPr>
            <m:ctrlPr>
              <w:rPr>
                <w:rFonts w:ascii="Cambria Math" w:hAnsi="Cambria Math"/>
                <w:i/>
              </w:rPr>
            </m:ctrlPr>
          </m:sSupPr>
          <m:e>
            <m:r>
              <w:rPr>
                <w:rFonts w:ascii="Cambria Math" w:hAnsi="Cambria Math"/>
              </w:rPr>
              <m:t>X</m:t>
            </m:r>
          </m:e>
          <m:sup>
            <m:r>
              <w:rPr>
                <w:rFonts w:ascii="Cambria Math" w:hAnsi="Cambria Math"/>
              </w:rPr>
              <m:t>'</m:t>
            </m:r>
          </m:sup>
        </m:sSup>
      </m:oMath>
      <w:r w:rsidR="00AF533F">
        <w:t xml:space="preserve"> for </w:t>
      </w:r>
      <w:r w:rsidR="00537C85" w:rsidRPr="00537C85">
        <w:t>estimating the probability</w:t>
      </w:r>
      <w:r w:rsidR="000F7785">
        <w:t xml:space="preserve">, all </w:t>
      </w:r>
      <w:r w:rsidR="00537C85" w:rsidRPr="00537C85">
        <w:t xml:space="preserve">measured at </w:t>
      </w:r>
      <w:r w:rsidR="00537C85" w:rsidRPr="00537C85">
        <w:rPr>
          <w:rFonts w:hint="eastAsia"/>
        </w:rPr>
        <w:t>t</w:t>
      </w:r>
      <w:r w:rsidR="00537C85" w:rsidRPr="00537C85">
        <w:t xml:space="preserve">heir first assessment visit: </w:t>
      </w:r>
      <w:r w:rsidR="00281747" w:rsidRPr="00537C85">
        <w:t>sex, age, ethnicity, socioeconomic status, and family history o</w:t>
      </w:r>
      <w:r w:rsidR="00537C85" w:rsidRPr="00537C85">
        <w:t>f</w:t>
      </w:r>
      <w:r w:rsidR="00281747" w:rsidRPr="00537C85">
        <w:t xml:space="preserve"> CVD</w:t>
      </w:r>
      <w:r w:rsidR="00537C85" w:rsidRPr="00537C85">
        <w:t>,</w:t>
      </w:r>
      <w:r w:rsidR="00281747" w:rsidRPr="00537C85">
        <w:t xml:space="preserve"> smoking status</w:t>
      </w:r>
      <w:r w:rsidR="00537C85" w:rsidRPr="00537C85">
        <w:t xml:space="preserve">, </w:t>
      </w:r>
      <w:r w:rsidR="00281747" w:rsidRPr="00537C85">
        <w:t>diabetes, atrial fibrillation</w:t>
      </w:r>
      <w:r w:rsidR="00537C85" w:rsidRPr="00537C85">
        <w:t xml:space="preserve">, </w:t>
      </w:r>
      <w:r w:rsidR="00281747" w:rsidRPr="00537C85">
        <w:t>SBP, TC/HDL-C, ATM, LLM, BPLM</w:t>
      </w:r>
      <w:r w:rsidR="00537C85" w:rsidRPr="00537C85">
        <w:t>.</w:t>
      </w:r>
      <w:r w:rsidR="003E6CB7">
        <w:t xml:space="preserve"> </w:t>
      </w:r>
      <w:r w:rsidR="00DB0FC3">
        <w:t xml:space="preserve">For </w:t>
      </w:r>
      <w:r w:rsidR="000732EA">
        <w:t xml:space="preserve">treatment </w:t>
      </w:r>
      <w:r w:rsidR="00DB0FC3">
        <w:t xml:space="preserve">effect estimation using IPW approach </w:t>
      </w:r>
      <w:r w:rsidR="0018435D">
        <w:t>(</w:t>
      </w:r>
      <w:r w:rsidR="00DB0FC3">
        <w:t>b2</w:t>
      </w:r>
      <w:r w:rsidR="0018435D">
        <w:t>)</w:t>
      </w:r>
      <w:r w:rsidR="00DB0FC3">
        <w:t xml:space="preserve">, the </w:t>
      </w:r>
      <w:r w:rsidR="006A61C7" w:rsidRPr="00647011">
        <w:t>IP weighted hazards model</w:t>
      </w:r>
      <w:r w:rsidR="006A61C7">
        <w:t xml:space="preserve"> was applied using the </w:t>
      </w:r>
      <w:r w:rsidR="00B70471">
        <w:t>computed</w:t>
      </w:r>
      <w:r w:rsidR="00DB0FC3">
        <w:t xml:space="preserve"> weight </w:t>
      </w:r>
      <m:oMath>
        <m:sSup>
          <m:sSupPr>
            <m:ctrlPr>
              <w:rPr>
                <w:rFonts w:ascii="Cambria Math" w:hAnsi="Cambria Math"/>
                <w:i/>
              </w:rPr>
            </m:ctrlPr>
          </m:sSupPr>
          <m:e>
            <m:r>
              <w:rPr>
                <w:rFonts w:ascii="Cambria Math" w:hAnsi="Cambria Math"/>
              </w:rPr>
              <m:t>W</m:t>
            </m:r>
          </m:e>
          <m:sup>
            <m:sSup>
              <m:sSupPr>
                <m:ctrlPr>
                  <w:rPr>
                    <w:rFonts w:ascii="Cambria Math" w:hAnsi="Cambria Math"/>
                    <w:i/>
                  </w:rPr>
                </m:ctrlPr>
              </m:sSupPr>
              <m:e>
                <m:r>
                  <w:rPr>
                    <w:rFonts w:ascii="Cambria Math" w:hAnsi="Cambria Math"/>
                  </w:rPr>
                  <m:t>C</m:t>
                </m:r>
              </m:e>
              <m:sup>
                <m:r>
                  <w:rPr>
                    <w:rFonts w:ascii="Cambria Math" w:hAnsi="Cambria Math"/>
                  </w:rPr>
                  <m:t>'</m:t>
                </m:r>
              </m:sup>
            </m:sSup>
          </m:sup>
        </m:sSup>
      </m:oMath>
      <w:r w:rsidR="006A61C7">
        <w:t>together with the</w:t>
      </w:r>
      <w:r w:rsidR="00DB0FC3">
        <w:t xml:space="preserve"> treatment and censoring weights </w:t>
      </w:r>
      <m:oMath>
        <m:sSup>
          <m:sSupPr>
            <m:ctrlPr>
              <w:rPr>
                <w:rFonts w:ascii="Cambria Math" w:hAnsi="Cambria Math"/>
                <w:i/>
              </w:rPr>
            </m:ctrlPr>
          </m:sSupPr>
          <m:e>
            <m:r>
              <w:rPr>
                <w:rFonts w:ascii="Cambria Math" w:hAnsi="Cambria Math"/>
              </w:rPr>
              <m:t>W</m:t>
            </m:r>
          </m:e>
          <m:sup>
            <m:r>
              <w:rPr>
                <w:rFonts w:ascii="Cambria Math" w:hAnsi="Cambria Math"/>
              </w:rPr>
              <m:t>A</m:t>
            </m:r>
          </m:sup>
        </m:sSup>
        <m:r>
          <w:rPr>
            <w:rFonts w:ascii="Cambria Math" w:hAnsi="Cambria Math"/>
          </w:rPr>
          <m:t>×</m:t>
        </m:r>
        <m:sSup>
          <m:sSupPr>
            <m:ctrlPr>
              <w:rPr>
                <w:rFonts w:ascii="Cambria Math" w:hAnsi="Cambria Math"/>
                <w:i/>
              </w:rPr>
            </m:ctrlPr>
          </m:sSupPr>
          <m:e>
            <m:r>
              <w:rPr>
                <w:rFonts w:ascii="Cambria Math" w:hAnsi="Cambria Math"/>
              </w:rPr>
              <m:t>W</m:t>
            </m:r>
          </m:e>
          <m:sup>
            <m:r>
              <w:rPr>
                <w:rFonts w:ascii="Cambria Math" w:hAnsi="Cambria Math"/>
              </w:rPr>
              <m:t>C</m:t>
            </m:r>
          </m:sup>
        </m:sSup>
      </m:oMath>
      <w:r w:rsidR="006A61C7">
        <w:t>.</w:t>
      </w:r>
    </w:p>
    <w:p w14:paraId="3E8926FD" w14:textId="77777777" w:rsidR="00B153E0" w:rsidRPr="002F5DC9" w:rsidRDefault="00B153E0" w:rsidP="009A5290"/>
    <w:p w14:paraId="326D2882" w14:textId="2A3138DB" w:rsidR="00A347C7" w:rsidRPr="00007870" w:rsidRDefault="00A347C7" w:rsidP="00007870">
      <w:pPr>
        <w:rPr>
          <w:rFonts w:ascii="Times New Roman" w:eastAsia="Times New Roman" w:hAnsi="Times New Roman" w:cs="Times New Roman"/>
        </w:rPr>
      </w:pPr>
    </w:p>
    <w:p w14:paraId="612B620E" w14:textId="28D99679" w:rsidR="00FD595D" w:rsidRDefault="00FD595D" w:rsidP="00A8250D"/>
    <w:p w14:paraId="2B5DB826" w14:textId="3CD61321" w:rsidR="000F4047" w:rsidRDefault="000F4047">
      <w:r>
        <w:br w:type="page"/>
      </w:r>
    </w:p>
    <w:p w14:paraId="6E71F465" w14:textId="0621502B" w:rsidR="005F58EC" w:rsidRDefault="005F58EC" w:rsidP="005F58EC">
      <w:pPr>
        <w:pStyle w:val="Heading2"/>
        <w:rPr>
          <w:noProof/>
        </w:rPr>
      </w:pPr>
      <w:r>
        <w:rPr>
          <w:noProof/>
        </w:rPr>
        <w:lastRenderedPageBreak/>
        <w:t>Supplementary Tables</w:t>
      </w:r>
    </w:p>
    <w:p w14:paraId="69E29AF8" w14:textId="77777777" w:rsidR="00B92B91" w:rsidRPr="003F7AF4" w:rsidRDefault="00B92B91" w:rsidP="00B92B91">
      <w:pPr>
        <w:rPr>
          <w:rFonts w:eastAsiaTheme="majorEastAsia"/>
        </w:rPr>
      </w:pPr>
    </w:p>
    <w:p w14:paraId="1CCDED13" w14:textId="22622577" w:rsidR="007C08B1" w:rsidRDefault="004E33E9" w:rsidP="004E33E9">
      <w:pPr>
        <w:pStyle w:val="Caption"/>
      </w:pPr>
      <w:r w:rsidRPr="00C94A48">
        <w:t>Table E</w:t>
      </w:r>
      <w:r w:rsidR="00095550">
        <w:t>1</w:t>
      </w:r>
      <w:r w:rsidRPr="00C94A48">
        <w:t>:  Beta</w:t>
      </w:r>
      <w:r w:rsidRPr="00C94A48">
        <w:rPr>
          <w:lang w:val="en-US"/>
        </w:rPr>
        <w:t xml:space="preserve"> </w:t>
      </w:r>
      <w:r w:rsidRPr="00C94A48">
        <w:t xml:space="preserve">coefficients from refitted CPM and current PREDICT </w:t>
      </w:r>
      <w:r w:rsidRPr="002943A0">
        <w:t xml:space="preserve">model. </w:t>
      </w:r>
    </w:p>
    <w:p w14:paraId="4395F61E" w14:textId="15220B03" w:rsidR="007C08B1" w:rsidRPr="007C08B1" w:rsidRDefault="007C08B1" w:rsidP="007C08B1">
      <w:pPr>
        <w:pStyle w:val="Caption"/>
      </w:pPr>
      <w:r w:rsidRPr="007C08B1">
        <w:rPr>
          <w:rFonts w:ascii="Shaker2Lancet" w:hAnsi="Shaker2Lancet"/>
          <w:sz w:val="14"/>
          <w:szCs w:val="14"/>
        </w:rPr>
        <w:t xml:space="preserve"> </w:t>
      </w:r>
      <w:proofErr w:type="spellStart"/>
      <w:r w:rsidRPr="007C08B1">
        <w:t>NZDep</w:t>
      </w:r>
      <w:proofErr w:type="spellEnd"/>
      <w:r>
        <w:t>=</w:t>
      </w:r>
      <w:r w:rsidRPr="007C08B1">
        <w:t>New Zealand Index of Socioeconomic Deprivation. SBP=systolic blood pressure. TC/HDL</w:t>
      </w:r>
      <w:r>
        <w:t>-C</w:t>
      </w:r>
      <w:r w:rsidRPr="007C08B1">
        <w:t xml:space="preserve">=total cholesterol to HDL cholesterol ratio. OBPLM=on blood pressure-lowering medications. OLLM=on lipid-lowering medications. OATM=on antithrombotic medications. </w:t>
      </w:r>
      <w:r>
        <w:t xml:space="preserve"> </w:t>
      </w:r>
      <w:r w:rsidRPr="007C08B1">
        <w:t xml:space="preserve"> </w:t>
      </w:r>
    </w:p>
    <w:p w14:paraId="57B42EDC" w14:textId="230CBDA8" w:rsidR="004E33E9" w:rsidRPr="00647011" w:rsidRDefault="004E33E9" w:rsidP="004E33E9">
      <w:pPr>
        <w:pStyle w:val="Caption"/>
      </w:pPr>
    </w:p>
    <w:p w14:paraId="1695F32C" w14:textId="2A440DB7" w:rsidR="00801AD7" w:rsidRDefault="00801AD7"/>
    <w:tbl>
      <w:tblPr>
        <w:tblStyle w:val="TableGrid"/>
        <w:tblW w:w="9209" w:type="dxa"/>
        <w:tblLayout w:type="fixed"/>
        <w:tblLook w:val="04A0" w:firstRow="1" w:lastRow="0" w:firstColumn="1" w:lastColumn="0" w:noHBand="0" w:noVBand="1"/>
      </w:tblPr>
      <w:tblGrid>
        <w:gridCol w:w="2263"/>
        <w:gridCol w:w="1701"/>
        <w:gridCol w:w="1984"/>
        <w:gridCol w:w="1701"/>
        <w:gridCol w:w="1560"/>
      </w:tblGrid>
      <w:tr w:rsidR="00111A75" w:rsidRPr="00F76732" w14:paraId="0A977578" w14:textId="77777777" w:rsidTr="00410A3E">
        <w:trPr>
          <w:trHeight w:val="320"/>
        </w:trPr>
        <w:tc>
          <w:tcPr>
            <w:tcW w:w="2263" w:type="dxa"/>
            <w:noWrap/>
            <w:hideMark/>
          </w:tcPr>
          <w:p w14:paraId="119E9948" w14:textId="77777777" w:rsidR="00801AD7" w:rsidRPr="00410A3E" w:rsidRDefault="00801AD7" w:rsidP="00111A75">
            <w:pPr>
              <w:rPr>
                <w:rFonts w:ascii="Calibri" w:eastAsia="Times New Roman" w:hAnsi="Calibri" w:cs="Times New Roman"/>
                <w:sz w:val="20"/>
                <w:szCs w:val="20"/>
              </w:rPr>
            </w:pPr>
          </w:p>
        </w:tc>
        <w:tc>
          <w:tcPr>
            <w:tcW w:w="1701" w:type="dxa"/>
            <w:noWrap/>
            <w:hideMark/>
          </w:tcPr>
          <w:p w14:paraId="08C9C192" w14:textId="24CEE9E7" w:rsidR="00801AD7" w:rsidRPr="00410A3E" w:rsidRDefault="00801AD7" w:rsidP="00410A3E">
            <w:pPr>
              <w:jc w:val="cente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PREDICT</w:t>
            </w:r>
          </w:p>
          <w:p w14:paraId="0C6B1EC6" w14:textId="3F13B4AA" w:rsidR="00801AD7" w:rsidRPr="00410A3E" w:rsidRDefault="00801AD7" w:rsidP="00410A3E">
            <w:pPr>
              <w:jc w:val="cente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(female)</w:t>
            </w:r>
          </w:p>
        </w:tc>
        <w:tc>
          <w:tcPr>
            <w:tcW w:w="1984" w:type="dxa"/>
            <w:noWrap/>
            <w:hideMark/>
          </w:tcPr>
          <w:p w14:paraId="3BCB64C3" w14:textId="77777777" w:rsidR="00801AD7" w:rsidRPr="00410A3E" w:rsidRDefault="00801AD7" w:rsidP="00410A3E">
            <w:pPr>
              <w:jc w:val="cente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refitted PREDICT</w:t>
            </w:r>
          </w:p>
          <w:p w14:paraId="04884D94" w14:textId="335246CF" w:rsidR="00801AD7" w:rsidRPr="00410A3E" w:rsidRDefault="00801AD7" w:rsidP="00410A3E">
            <w:pPr>
              <w:jc w:val="cente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(female)</w:t>
            </w:r>
          </w:p>
        </w:tc>
        <w:tc>
          <w:tcPr>
            <w:tcW w:w="1701" w:type="dxa"/>
            <w:noWrap/>
            <w:hideMark/>
          </w:tcPr>
          <w:p w14:paraId="5D846009" w14:textId="77777777" w:rsidR="00801AD7" w:rsidRPr="00410A3E" w:rsidRDefault="00801AD7" w:rsidP="00410A3E">
            <w:pPr>
              <w:jc w:val="cente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PREDICT</w:t>
            </w:r>
          </w:p>
          <w:p w14:paraId="7C14CA5A" w14:textId="3A652504" w:rsidR="00801AD7" w:rsidRPr="00410A3E" w:rsidRDefault="00801AD7" w:rsidP="00410A3E">
            <w:pPr>
              <w:jc w:val="cente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(male)</w:t>
            </w:r>
          </w:p>
        </w:tc>
        <w:tc>
          <w:tcPr>
            <w:tcW w:w="1560" w:type="dxa"/>
            <w:noWrap/>
            <w:hideMark/>
          </w:tcPr>
          <w:p w14:paraId="44A3E99D" w14:textId="7FE189F9" w:rsidR="00801AD7" w:rsidRPr="00410A3E" w:rsidRDefault="006622CF" w:rsidP="00410A3E">
            <w:pPr>
              <w:jc w:val="center"/>
              <w:rPr>
                <w:rFonts w:ascii="Calibri" w:eastAsia="Times New Roman" w:hAnsi="Calibri" w:cs="Times New Roman"/>
                <w:color w:val="000000"/>
                <w:sz w:val="20"/>
                <w:szCs w:val="20"/>
              </w:rPr>
            </w:pPr>
            <w:proofErr w:type="gramStart"/>
            <w:r>
              <w:rPr>
                <w:rFonts w:ascii="Calibri" w:eastAsia="Times New Roman" w:hAnsi="Calibri" w:cs="Times New Roman"/>
                <w:color w:val="000000"/>
                <w:sz w:val="20"/>
                <w:szCs w:val="20"/>
              </w:rPr>
              <w:t>r</w:t>
            </w:r>
            <w:r w:rsidR="00801AD7" w:rsidRPr="00410A3E">
              <w:rPr>
                <w:rFonts w:ascii="Calibri" w:eastAsia="Times New Roman" w:hAnsi="Calibri" w:cs="Times New Roman"/>
                <w:color w:val="000000"/>
                <w:sz w:val="20"/>
                <w:szCs w:val="20"/>
              </w:rPr>
              <w:t>efitted  PREDICT</w:t>
            </w:r>
            <w:proofErr w:type="gramEnd"/>
            <w:r w:rsidR="00801AD7" w:rsidRPr="00410A3E">
              <w:rPr>
                <w:rFonts w:ascii="Calibri" w:eastAsia="Times New Roman" w:hAnsi="Calibri" w:cs="Times New Roman"/>
                <w:color w:val="000000"/>
                <w:sz w:val="20"/>
                <w:szCs w:val="20"/>
              </w:rPr>
              <w:t xml:space="preserve"> (male)</w:t>
            </w:r>
          </w:p>
        </w:tc>
      </w:tr>
      <w:tr w:rsidR="00F76732" w:rsidRPr="00F76732" w14:paraId="55FBB3EB" w14:textId="77777777" w:rsidTr="008773E6">
        <w:trPr>
          <w:trHeight w:val="320"/>
        </w:trPr>
        <w:tc>
          <w:tcPr>
            <w:tcW w:w="2263" w:type="dxa"/>
            <w:noWrap/>
            <w:hideMark/>
          </w:tcPr>
          <w:p w14:paraId="1B034392"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Age</w:t>
            </w:r>
          </w:p>
        </w:tc>
        <w:tc>
          <w:tcPr>
            <w:tcW w:w="1701" w:type="dxa"/>
            <w:noWrap/>
            <w:hideMark/>
          </w:tcPr>
          <w:p w14:paraId="6743E6DE"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0.0756412</w:t>
            </w:r>
          </w:p>
        </w:tc>
        <w:tc>
          <w:tcPr>
            <w:tcW w:w="1984" w:type="dxa"/>
            <w:noWrap/>
            <w:hideMark/>
          </w:tcPr>
          <w:p w14:paraId="32FCC0A5"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0.072087754</w:t>
            </w:r>
          </w:p>
        </w:tc>
        <w:tc>
          <w:tcPr>
            <w:tcW w:w="1701" w:type="dxa"/>
            <w:noWrap/>
            <w:hideMark/>
          </w:tcPr>
          <w:p w14:paraId="2577464C"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0.0675532</w:t>
            </w:r>
          </w:p>
        </w:tc>
        <w:tc>
          <w:tcPr>
            <w:tcW w:w="1560" w:type="dxa"/>
            <w:noWrap/>
            <w:hideMark/>
          </w:tcPr>
          <w:p w14:paraId="6BD0889B"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0.0676234</w:t>
            </w:r>
          </w:p>
        </w:tc>
      </w:tr>
      <w:tr w:rsidR="00F76732" w:rsidRPr="00F76732" w14:paraId="699DC601" w14:textId="77777777" w:rsidTr="008773E6">
        <w:trPr>
          <w:trHeight w:val="320"/>
        </w:trPr>
        <w:tc>
          <w:tcPr>
            <w:tcW w:w="2263" w:type="dxa"/>
            <w:noWrap/>
            <w:hideMark/>
          </w:tcPr>
          <w:p w14:paraId="6725BA15" w14:textId="77777777" w:rsidR="00801AD7" w:rsidRPr="00410A3E" w:rsidRDefault="00801AD7" w:rsidP="00111A75">
            <w:pPr>
              <w:rPr>
                <w:rFonts w:ascii="Calibri" w:eastAsia="Times New Roman" w:hAnsi="Calibri" w:cs="Times New Roman"/>
                <w:color w:val="000000"/>
                <w:sz w:val="20"/>
                <w:szCs w:val="20"/>
              </w:rPr>
            </w:pPr>
            <w:proofErr w:type="spellStart"/>
            <w:r w:rsidRPr="00410A3E">
              <w:rPr>
                <w:rFonts w:ascii="Calibri" w:eastAsia="Times New Roman" w:hAnsi="Calibri" w:cs="Times New Roman"/>
                <w:color w:val="000000"/>
                <w:sz w:val="20"/>
                <w:szCs w:val="20"/>
              </w:rPr>
              <w:t>Maori</w:t>
            </w:r>
            <w:proofErr w:type="spellEnd"/>
          </w:p>
        </w:tc>
        <w:tc>
          <w:tcPr>
            <w:tcW w:w="1701" w:type="dxa"/>
            <w:noWrap/>
            <w:hideMark/>
          </w:tcPr>
          <w:p w14:paraId="2D609E6F"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0.3910183</w:t>
            </w:r>
          </w:p>
        </w:tc>
        <w:tc>
          <w:tcPr>
            <w:tcW w:w="1984" w:type="dxa"/>
            <w:noWrap/>
            <w:hideMark/>
          </w:tcPr>
          <w:p w14:paraId="6EAAC3E4"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0.465883913</w:t>
            </w:r>
          </w:p>
        </w:tc>
        <w:tc>
          <w:tcPr>
            <w:tcW w:w="1701" w:type="dxa"/>
            <w:noWrap/>
            <w:hideMark/>
          </w:tcPr>
          <w:p w14:paraId="2829EB2E"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0.2899054</w:t>
            </w:r>
          </w:p>
        </w:tc>
        <w:tc>
          <w:tcPr>
            <w:tcW w:w="1560" w:type="dxa"/>
            <w:noWrap/>
            <w:hideMark/>
          </w:tcPr>
          <w:p w14:paraId="6B30062C"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0.35781349</w:t>
            </w:r>
          </w:p>
        </w:tc>
      </w:tr>
      <w:tr w:rsidR="00F76732" w:rsidRPr="00F76732" w14:paraId="27F87DF7" w14:textId="77777777" w:rsidTr="008773E6">
        <w:trPr>
          <w:trHeight w:val="320"/>
        </w:trPr>
        <w:tc>
          <w:tcPr>
            <w:tcW w:w="2263" w:type="dxa"/>
            <w:noWrap/>
            <w:hideMark/>
          </w:tcPr>
          <w:p w14:paraId="6BCECBD7"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Pacific</w:t>
            </w:r>
          </w:p>
        </w:tc>
        <w:tc>
          <w:tcPr>
            <w:tcW w:w="1701" w:type="dxa"/>
            <w:noWrap/>
            <w:hideMark/>
          </w:tcPr>
          <w:p w14:paraId="776EF7D4"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0.2010224</w:t>
            </w:r>
          </w:p>
        </w:tc>
        <w:tc>
          <w:tcPr>
            <w:tcW w:w="1984" w:type="dxa"/>
            <w:noWrap/>
            <w:hideMark/>
          </w:tcPr>
          <w:p w14:paraId="7726829D"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0.314346777</w:t>
            </w:r>
          </w:p>
        </w:tc>
        <w:tc>
          <w:tcPr>
            <w:tcW w:w="1701" w:type="dxa"/>
            <w:noWrap/>
            <w:hideMark/>
          </w:tcPr>
          <w:p w14:paraId="1B6DB1F4"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0.1774195</w:t>
            </w:r>
          </w:p>
        </w:tc>
        <w:tc>
          <w:tcPr>
            <w:tcW w:w="1560" w:type="dxa"/>
            <w:noWrap/>
            <w:hideMark/>
          </w:tcPr>
          <w:p w14:paraId="5A50AD4A"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0.31043198</w:t>
            </w:r>
          </w:p>
        </w:tc>
      </w:tr>
      <w:tr w:rsidR="00F76732" w:rsidRPr="00F76732" w14:paraId="1A44AA48" w14:textId="77777777" w:rsidTr="008773E6">
        <w:trPr>
          <w:trHeight w:val="320"/>
        </w:trPr>
        <w:tc>
          <w:tcPr>
            <w:tcW w:w="2263" w:type="dxa"/>
            <w:noWrap/>
            <w:hideMark/>
          </w:tcPr>
          <w:p w14:paraId="0D072A52"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Indian</w:t>
            </w:r>
          </w:p>
        </w:tc>
        <w:tc>
          <w:tcPr>
            <w:tcW w:w="1701" w:type="dxa"/>
            <w:noWrap/>
            <w:hideMark/>
          </w:tcPr>
          <w:p w14:paraId="66EF4D6D"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0.1183427</w:t>
            </w:r>
          </w:p>
        </w:tc>
        <w:tc>
          <w:tcPr>
            <w:tcW w:w="1984" w:type="dxa"/>
            <w:noWrap/>
            <w:hideMark/>
          </w:tcPr>
          <w:p w14:paraId="057A2CF0"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0.095860408</w:t>
            </w:r>
          </w:p>
        </w:tc>
        <w:tc>
          <w:tcPr>
            <w:tcW w:w="1701" w:type="dxa"/>
            <w:noWrap/>
            <w:hideMark/>
          </w:tcPr>
          <w:p w14:paraId="3B1A9A9A"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0.2902049</w:t>
            </w:r>
          </w:p>
        </w:tc>
        <w:tc>
          <w:tcPr>
            <w:tcW w:w="1560" w:type="dxa"/>
            <w:noWrap/>
            <w:hideMark/>
          </w:tcPr>
          <w:p w14:paraId="06A9CE41"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0.18276439</w:t>
            </w:r>
          </w:p>
        </w:tc>
      </w:tr>
      <w:tr w:rsidR="00F76732" w:rsidRPr="00F76732" w14:paraId="4801B57C" w14:textId="77777777" w:rsidTr="008773E6">
        <w:trPr>
          <w:trHeight w:val="320"/>
        </w:trPr>
        <w:tc>
          <w:tcPr>
            <w:tcW w:w="2263" w:type="dxa"/>
            <w:noWrap/>
            <w:hideMark/>
          </w:tcPr>
          <w:p w14:paraId="1306DC47"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Asian</w:t>
            </w:r>
          </w:p>
        </w:tc>
        <w:tc>
          <w:tcPr>
            <w:tcW w:w="1701" w:type="dxa"/>
            <w:noWrap/>
            <w:hideMark/>
          </w:tcPr>
          <w:p w14:paraId="093D5315"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-0.28551</w:t>
            </w:r>
          </w:p>
        </w:tc>
        <w:tc>
          <w:tcPr>
            <w:tcW w:w="1984" w:type="dxa"/>
            <w:noWrap/>
            <w:hideMark/>
          </w:tcPr>
          <w:p w14:paraId="10A90474"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-0.33859176</w:t>
            </w:r>
          </w:p>
        </w:tc>
        <w:tc>
          <w:tcPr>
            <w:tcW w:w="1701" w:type="dxa"/>
            <w:noWrap/>
            <w:hideMark/>
          </w:tcPr>
          <w:p w14:paraId="3F1C95FB"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-0.3975687</w:t>
            </w:r>
          </w:p>
        </w:tc>
        <w:tc>
          <w:tcPr>
            <w:tcW w:w="1560" w:type="dxa"/>
            <w:noWrap/>
            <w:hideMark/>
          </w:tcPr>
          <w:p w14:paraId="46B28EBB"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-0.4127755</w:t>
            </w:r>
          </w:p>
        </w:tc>
      </w:tr>
      <w:tr w:rsidR="00F76732" w:rsidRPr="00F76732" w14:paraId="6945E5E0" w14:textId="77777777" w:rsidTr="008773E6">
        <w:trPr>
          <w:trHeight w:val="320"/>
        </w:trPr>
        <w:tc>
          <w:tcPr>
            <w:tcW w:w="2263" w:type="dxa"/>
            <w:noWrap/>
            <w:hideMark/>
          </w:tcPr>
          <w:p w14:paraId="52A90D24" w14:textId="77777777" w:rsidR="00801AD7" w:rsidRPr="00410A3E" w:rsidRDefault="00801AD7" w:rsidP="00111A75">
            <w:pPr>
              <w:rPr>
                <w:rFonts w:ascii="Calibri" w:eastAsia="Times New Roman" w:hAnsi="Calibri" w:cs="Times New Roman"/>
                <w:color w:val="000000"/>
                <w:sz w:val="20"/>
                <w:szCs w:val="20"/>
              </w:rPr>
            </w:pPr>
            <w:proofErr w:type="spellStart"/>
            <w:r w:rsidRPr="00410A3E">
              <w:rPr>
                <w:rFonts w:ascii="Calibri" w:eastAsia="Times New Roman" w:hAnsi="Calibri" w:cs="Times New Roman"/>
                <w:color w:val="000000"/>
                <w:sz w:val="20"/>
                <w:szCs w:val="20"/>
              </w:rPr>
              <w:t>NZDep</w:t>
            </w:r>
            <w:proofErr w:type="spellEnd"/>
            <w:r w:rsidRPr="00410A3E">
              <w:rPr>
                <w:rFonts w:ascii="Calibri" w:eastAsia="Times New Roman" w:hAnsi="Calibri" w:cs="Times New Roman"/>
                <w:color w:val="000000"/>
                <w:sz w:val="20"/>
                <w:szCs w:val="20"/>
              </w:rPr>
              <w:t xml:space="preserve"> quintile</w:t>
            </w:r>
          </w:p>
        </w:tc>
        <w:tc>
          <w:tcPr>
            <w:tcW w:w="1701" w:type="dxa"/>
            <w:noWrap/>
            <w:hideMark/>
          </w:tcPr>
          <w:p w14:paraId="3A6A0A93"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0.1080795</w:t>
            </w:r>
          </w:p>
        </w:tc>
        <w:tc>
          <w:tcPr>
            <w:tcW w:w="1984" w:type="dxa"/>
            <w:noWrap/>
            <w:hideMark/>
          </w:tcPr>
          <w:p w14:paraId="112483D8"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0.113142957</w:t>
            </w:r>
          </w:p>
        </w:tc>
        <w:tc>
          <w:tcPr>
            <w:tcW w:w="1701" w:type="dxa"/>
            <w:noWrap/>
            <w:hideMark/>
          </w:tcPr>
          <w:p w14:paraId="40E2B229"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0.0794903</w:t>
            </w:r>
          </w:p>
        </w:tc>
        <w:tc>
          <w:tcPr>
            <w:tcW w:w="1560" w:type="dxa"/>
            <w:noWrap/>
            <w:hideMark/>
          </w:tcPr>
          <w:p w14:paraId="53D9ADAE"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0.07044576</w:t>
            </w:r>
          </w:p>
        </w:tc>
      </w:tr>
      <w:tr w:rsidR="00F76732" w:rsidRPr="00F76732" w14:paraId="31126B9E" w14:textId="77777777" w:rsidTr="008773E6">
        <w:trPr>
          <w:trHeight w:val="320"/>
        </w:trPr>
        <w:tc>
          <w:tcPr>
            <w:tcW w:w="2263" w:type="dxa"/>
            <w:noWrap/>
            <w:hideMark/>
          </w:tcPr>
          <w:p w14:paraId="5BB82144"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Ex-smoker</w:t>
            </w:r>
          </w:p>
        </w:tc>
        <w:tc>
          <w:tcPr>
            <w:tcW w:w="1701" w:type="dxa"/>
            <w:noWrap/>
            <w:hideMark/>
          </w:tcPr>
          <w:p w14:paraId="41E114A8"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0.087476</w:t>
            </w:r>
          </w:p>
        </w:tc>
        <w:tc>
          <w:tcPr>
            <w:tcW w:w="1984" w:type="dxa"/>
            <w:noWrap/>
            <w:hideMark/>
          </w:tcPr>
          <w:p w14:paraId="72E23A88"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0.127872115</w:t>
            </w:r>
          </w:p>
        </w:tc>
        <w:tc>
          <w:tcPr>
            <w:tcW w:w="1701" w:type="dxa"/>
            <w:noWrap/>
            <w:hideMark/>
          </w:tcPr>
          <w:p w14:paraId="6BEC7AE0"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0.0753246</w:t>
            </w:r>
          </w:p>
        </w:tc>
        <w:tc>
          <w:tcPr>
            <w:tcW w:w="1560" w:type="dxa"/>
            <w:noWrap/>
            <w:hideMark/>
          </w:tcPr>
          <w:p w14:paraId="6A32CCCC"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0.0872162</w:t>
            </w:r>
          </w:p>
        </w:tc>
      </w:tr>
      <w:tr w:rsidR="00F76732" w:rsidRPr="00F76732" w14:paraId="7D23D645" w14:textId="77777777" w:rsidTr="008773E6">
        <w:trPr>
          <w:trHeight w:val="320"/>
        </w:trPr>
        <w:tc>
          <w:tcPr>
            <w:tcW w:w="2263" w:type="dxa"/>
            <w:noWrap/>
            <w:hideMark/>
          </w:tcPr>
          <w:p w14:paraId="059EA131" w14:textId="77777777" w:rsidR="00801AD7" w:rsidRPr="00410A3E" w:rsidRDefault="00801AD7" w:rsidP="00111A75">
            <w:pPr>
              <w:rPr>
                <w:rFonts w:ascii="Calibri" w:eastAsia="Times New Roman" w:hAnsi="Calibri" w:cs="Times New Roman"/>
                <w:color w:val="000000"/>
                <w:sz w:val="20"/>
                <w:szCs w:val="20"/>
              </w:rPr>
            </w:pPr>
            <w:proofErr w:type="gramStart"/>
            <w:r w:rsidRPr="00410A3E">
              <w:rPr>
                <w:rFonts w:ascii="Calibri" w:eastAsia="Times New Roman" w:hAnsi="Calibri" w:cs="Times New Roman"/>
                <w:color w:val="000000"/>
                <w:sz w:val="20"/>
                <w:szCs w:val="20"/>
              </w:rPr>
              <w:t>Current-smoker</w:t>
            </w:r>
            <w:proofErr w:type="gramEnd"/>
          </w:p>
        </w:tc>
        <w:tc>
          <w:tcPr>
            <w:tcW w:w="1701" w:type="dxa"/>
            <w:noWrap/>
            <w:hideMark/>
          </w:tcPr>
          <w:p w14:paraId="319A79BE"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0.6226384</w:t>
            </w:r>
          </w:p>
        </w:tc>
        <w:tc>
          <w:tcPr>
            <w:tcW w:w="1984" w:type="dxa"/>
            <w:noWrap/>
            <w:hideMark/>
          </w:tcPr>
          <w:p w14:paraId="0E3D368F"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0.647034588</w:t>
            </w:r>
          </w:p>
        </w:tc>
        <w:tc>
          <w:tcPr>
            <w:tcW w:w="1701" w:type="dxa"/>
            <w:noWrap/>
            <w:hideMark/>
          </w:tcPr>
          <w:p w14:paraId="5D62B8D4"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0.5058041</w:t>
            </w:r>
          </w:p>
        </w:tc>
        <w:tc>
          <w:tcPr>
            <w:tcW w:w="1560" w:type="dxa"/>
            <w:noWrap/>
            <w:hideMark/>
          </w:tcPr>
          <w:p w14:paraId="2F5995A7"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0.51977242</w:t>
            </w:r>
          </w:p>
        </w:tc>
      </w:tr>
      <w:tr w:rsidR="00F76732" w:rsidRPr="00F76732" w14:paraId="23DECCB7" w14:textId="77777777" w:rsidTr="008773E6">
        <w:trPr>
          <w:trHeight w:val="320"/>
        </w:trPr>
        <w:tc>
          <w:tcPr>
            <w:tcW w:w="2263" w:type="dxa"/>
            <w:noWrap/>
            <w:hideMark/>
          </w:tcPr>
          <w:p w14:paraId="0F438EE4"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Family history of CVD</w:t>
            </w:r>
          </w:p>
        </w:tc>
        <w:tc>
          <w:tcPr>
            <w:tcW w:w="1701" w:type="dxa"/>
            <w:noWrap/>
            <w:hideMark/>
          </w:tcPr>
          <w:p w14:paraId="2DCD6937"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0.0445534</w:t>
            </w:r>
          </w:p>
        </w:tc>
        <w:tc>
          <w:tcPr>
            <w:tcW w:w="1984" w:type="dxa"/>
            <w:noWrap/>
            <w:hideMark/>
          </w:tcPr>
          <w:p w14:paraId="3C4A3926"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0.066267029</w:t>
            </w:r>
          </w:p>
        </w:tc>
        <w:tc>
          <w:tcPr>
            <w:tcW w:w="1701" w:type="dxa"/>
            <w:noWrap/>
            <w:hideMark/>
          </w:tcPr>
          <w:p w14:paraId="067F3C4D"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0.1326587</w:t>
            </w:r>
          </w:p>
        </w:tc>
        <w:tc>
          <w:tcPr>
            <w:tcW w:w="1560" w:type="dxa"/>
            <w:noWrap/>
            <w:hideMark/>
          </w:tcPr>
          <w:p w14:paraId="5A39131D"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0.13616994</w:t>
            </w:r>
          </w:p>
        </w:tc>
      </w:tr>
      <w:tr w:rsidR="00F76732" w:rsidRPr="00F76732" w14:paraId="6547DC35" w14:textId="77777777" w:rsidTr="008773E6">
        <w:trPr>
          <w:trHeight w:val="320"/>
        </w:trPr>
        <w:tc>
          <w:tcPr>
            <w:tcW w:w="2263" w:type="dxa"/>
            <w:noWrap/>
            <w:hideMark/>
          </w:tcPr>
          <w:p w14:paraId="25DF3B10" w14:textId="56B60994"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Atrial fibrillation</w:t>
            </w:r>
          </w:p>
        </w:tc>
        <w:tc>
          <w:tcPr>
            <w:tcW w:w="1701" w:type="dxa"/>
            <w:noWrap/>
            <w:hideMark/>
          </w:tcPr>
          <w:p w14:paraId="7FE9AD00"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0.8927126</w:t>
            </w:r>
          </w:p>
        </w:tc>
        <w:tc>
          <w:tcPr>
            <w:tcW w:w="1984" w:type="dxa"/>
            <w:noWrap/>
            <w:hideMark/>
          </w:tcPr>
          <w:p w14:paraId="429ED12F"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0.894545374</w:t>
            </w:r>
          </w:p>
        </w:tc>
        <w:tc>
          <w:tcPr>
            <w:tcW w:w="1701" w:type="dxa"/>
            <w:noWrap/>
            <w:hideMark/>
          </w:tcPr>
          <w:p w14:paraId="61CBDF66"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0.5880131</w:t>
            </w:r>
          </w:p>
        </w:tc>
        <w:tc>
          <w:tcPr>
            <w:tcW w:w="1560" w:type="dxa"/>
            <w:noWrap/>
            <w:hideMark/>
          </w:tcPr>
          <w:p w14:paraId="65463866"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0.5637951</w:t>
            </w:r>
          </w:p>
        </w:tc>
      </w:tr>
      <w:tr w:rsidR="00F76732" w:rsidRPr="00F76732" w14:paraId="7DBE8464" w14:textId="77777777" w:rsidTr="008773E6">
        <w:trPr>
          <w:trHeight w:val="320"/>
        </w:trPr>
        <w:tc>
          <w:tcPr>
            <w:tcW w:w="2263" w:type="dxa"/>
            <w:noWrap/>
            <w:hideMark/>
          </w:tcPr>
          <w:p w14:paraId="48AD89AB"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Diabetes</w:t>
            </w:r>
          </w:p>
        </w:tc>
        <w:tc>
          <w:tcPr>
            <w:tcW w:w="1701" w:type="dxa"/>
            <w:noWrap/>
            <w:hideMark/>
          </w:tcPr>
          <w:p w14:paraId="44874328"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0.5447632</w:t>
            </w:r>
          </w:p>
        </w:tc>
        <w:tc>
          <w:tcPr>
            <w:tcW w:w="1984" w:type="dxa"/>
            <w:noWrap/>
            <w:hideMark/>
          </w:tcPr>
          <w:p w14:paraId="14282DCD"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0.500767257</w:t>
            </w:r>
          </w:p>
        </w:tc>
        <w:tc>
          <w:tcPr>
            <w:tcW w:w="1701" w:type="dxa"/>
            <w:noWrap/>
            <w:hideMark/>
          </w:tcPr>
          <w:p w14:paraId="6471C3E6"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0.5597023</w:t>
            </w:r>
          </w:p>
        </w:tc>
        <w:tc>
          <w:tcPr>
            <w:tcW w:w="1560" w:type="dxa"/>
            <w:noWrap/>
            <w:hideMark/>
          </w:tcPr>
          <w:p w14:paraId="7B7531C2"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0.49456508</w:t>
            </w:r>
          </w:p>
        </w:tc>
      </w:tr>
      <w:tr w:rsidR="00F76732" w:rsidRPr="00F76732" w14:paraId="5741A5B1" w14:textId="77777777" w:rsidTr="008773E6">
        <w:trPr>
          <w:trHeight w:val="320"/>
        </w:trPr>
        <w:tc>
          <w:tcPr>
            <w:tcW w:w="2263" w:type="dxa"/>
            <w:noWrap/>
            <w:hideMark/>
          </w:tcPr>
          <w:p w14:paraId="38608995"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SBP per 1 mmHg</w:t>
            </w:r>
          </w:p>
        </w:tc>
        <w:tc>
          <w:tcPr>
            <w:tcW w:w="1701" w:type="dxa"/>
            <w:noWrap/>
            <w:hideMark/>
          </w:tcPr>
          <w:p w14:paraId="6A8AF6C9"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0.0136606</w:t>
            </w:r>
          </w:p>
        </w:tc>
        <w:tc>
          <w:tcPr>
            <w:tcW w:w="1984" w:type="dxa"/>
            <w:noWrap/>
            <w:hideMark/>
          </w:tcPr>
          <w:p w14:paraId="702A7F2B"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0.018439897</w:t>
            </w:r>
          </w:p>
        </w:tc>
        <w:tc>
          <w:tcPr>
            <w:tcW w:w="1701" w:type="dxa"/>
            <w:noWrap/>
            <w:hideMark/>
          </w:tcPr>
          <w:p w14:paraId="295D8205"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0.0163778</w:t>
            </w:r>
          </w:p>
        </w:tc>
        <w:tc>
          <w:tcPr>
            <w:tcW w:w="1560" w:type="dxa"/>
            <w:noWrap/>
            <w:hideMark/>
          </w:tcPr>
          <w:p w14:paraId="0351B4CA"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0.01897567</w:t>
            </w:r>
          </w:p>
        </w:tc>
      </w:tr>
      <w:tr w:rsidR="00F76732" w:rsidRPr="00F76732" w14:paraId="4665E95A" w14:textId="77777777" w:rsidTr="008773E6">
        <w:trPr>
          <w:trHeight w:val="320"/>
        </w:trPr>
        <w:tc>
          <w:tcPr>
            <w:tcW w:w="2263" w:type="dxa"/>
            <w:noWrap/>
            <w:hideMark/>
          </w:tcPr>
          <w:p w14:paraId="135C58D5" w14:textId="08885B60"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TC/HDL</w:t>
            </w:r>
            <w:r w:rsidR="007C08B1" w:rsidRPr="00410A3E">
              <w:rPr>
                <w:rFonts w:ascii="Calibri" w:eastAsia="Times New Roman" w:hAnsi="Calibri" w:cs="Times New Roman"/>
                <w:color w:val="000000"/>
                <w:sz w:val="20"/>
                <w:szCs w:val="20"/>
              </w:rPr>
              <w:t>-C</w:t>
            </w:r>
          </w:p>
        </w:tc>
        <w:tc>
          <w:tcPr>
            <w:tcW w:w="1701" w:type="dxa"/>
            <w:noWrap/>
            <w:hideMark/>
          </w:tcPr>
          <w:p w14:paraId="58C8A158"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0.1226753</w:t>
            </w:r>
          </w:p>
        </w:tc>
        <w:tc>
          <w:tcPr>
            <w:tcW w:w="1984" w:type="dxa"/>
            <w:noWrap/>
            <w:hideMark/>
          </w:tcPr>
          <w:p w14:paraId="23E28F20"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0.135519996</w:t>
            </w:r>
          </w:p>
        </w:tc>
        <w:tc>
          <w:tcPr>
            <w:tcW w:w="1701" w:type="dxa"/>
            <w:noWrap/>
            <w:hideMark/>
          </w:tcPr>
          <w:p w14:paraId="45999684"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0.1283758</w:t>
            </w:r>
          </w:p>
        </w:tc>
        <w:tc>
          <w:tcPr>
            <w:tcW w:w="1560" w:type="dxa"/>
            <w:noWrap/>
            <w:hideMark/>
          </w:tcPr>
          <w:p w14:paraId="30302244"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0.13732456</w:t>
            </w:r>
          </w:p>
        </w:tc>
      </w:tr>
      <w:tr w:rsidR="00F76732" w:rsidRPr="00F76732" w14:paraId="56CE66C2" w14:textId="77777777" w:rsidTr="008773E6">
        <w:trPr>
          <w:trHeight w:val="320"/>
        </w:trPr>
        <w:tc>
          <w:tcPr>
            <w:tcW w:w="2263" w:type="dxa"/>
            <w:noWrap/>
            <w:hideMark/>
          </w:tcPr>
          <w:p w14:paraId="199F08A8"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OBPLM</w:t>
            </w:r>
          </w:p>
        </w:tc>
        <w:tc>
          <w:tcPr>
            <w:tcW w:w="1701" w:type="dxa"/>
            <w:noWrap/>
            <w:hideMark/>
          </w:tcPr>
          <w:p w14:paraId="051BC943"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0.339925</w:t>
            </w:r>
          </w:p>
        </w:tc>
        <w:tc>
          <w:tcPr>
            <w:tcW w:w="1984" w:type="dxa"/>
            <w:noWrap/>
            <w:hideMark/>
          </w:tcPr>
          <w:p w14:paraId="1604B39C"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0.381825062</w:t>
            </w:r>
          </w:p>
        </w:tc>
        <w:tc>
          <w:tcPr>
            <w:tcW w:w="1701" w:type="dxa"/>
            <w:noWrap/>
            <w:hideMark/>
          </w:tcPr>
          <w:p w14:paraId="4D6B17DA"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0.2947634</w:t>
            </w:r>
          </w:p>
        </w:tc>
        <w:tc>
          <w:tcPr>
            <w:tcW w:w="1560" w:type="dxa"/>
            <w:noWrap/>
            <w:hideMark/>
          </w:tcPr>
          <w:p w14:paraId="207ED82B"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0.31370106</w:t>
            </w:r>
          </w:p>
        </w:tc>
      </w:tr>
      <w:tr w:rsidR="00F76732" w:rsidRPr="00F76732" w14:paraId="1CF0B66C" w14:textId="77777777" w:rsidTr="008773E6">
        <w:trPr>
          <w:trHeight w:val="320"/>
        </w:trPr>
        <w:tc>
          <w:tcPr>
            <w:tcW w:w="2263" w:type="dxa"/>
            <w:noWrap/>
            <w:hideMark/>
          </w:tcPr>
          <w:p w14:paraId="1DAEAA6C"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OLLM</w:t>
            </w:r>
          </w:p>
        </w:tc>
        <w:tc>
          <w:tcPr>
            <w:tcW w:w="1701" w:type="dxa"/>
            <w:noWrap/>
            <w:hideMark/>
          </w:tcPr>
          <w:p w14:paraId="50CCBE7C"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-0.0593798</w:t>
            </w:r>
          </w:p>
        </w:tc>
        <w:tc>
          <w:tcPr>
            <w:tcW w:w="1984" w:type="dxa"/>
            <w:noWrap/>
            <w:hideMark/>
          </w:tcPr>
          <w:p w14:paraId="59B47F4D"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-0.06155674</w:t>
            </w:r>
          </w:p>
        </w:tc>
        <w:tc>
          <w:tcPr>
            <w:tcW w:w="1701" w:type="dxa"/>
            <w:noWrap/>
            <w:hideMark/>
          </w:tcPr>
          <w:p w14:paraId="7C848828"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-0.0537314</w:t>
            </w:r>
          </w:p>
        </w:tc>
        <w:tc>
          <w:tcPr>
            <w:tcW w:w="1560" w:type="dxa"/>
            <w:noWrap/>
            <w:hideMark/>
          </w:tcPr>
          <w:p w14:paraId="036868E9"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-0.0180492</w:t>
            </w:r>
          </w:p>
        </w:tc>
      </w:tr>
      <w:tr w:rsidR="00F76732" w:rsidRPr="00F76732" w14:paraId="7817F8C7" w14:textId="77777777" w:rsidTr="008773E6">
        <w:trPr>
          <w:trHeight w:val="320"/>
        </w:trPr>
        <w:tc>
          <w:tcPr>
            <w:tcW w:w="2263" w:type="dxa"/>
            <w:noWrap/>
            <w:hideMark/>
          </w:tcPr>
          <w:p w14:paraId="66E4014F"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OATM</w:t>
            </w:r>
          </w:p>
        </w:tc>
        <w:tc>
          <w:tcPr>
            <w:tcW w:w="1701" w:type="dxa"/>
            <w:noWrap/>
            <w:hideMark/>
          </w:tcPr>
          <w:p w14:paraId="54133327"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0.1172496</w:t>
            </w:r>
          </w:p>
        </w:tc>
        <w:tc>
          <w:tcPr>
            <w:tcW w:w="1984" w:type="dxa"/>
            <w:noWrap/>
            <w:hideMark/>
          </w:tcPr>
          <w:p w14:paraId="7F9E37E1"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0.164681863</w:t>
            </w:r>
          </w:p>
        </w:tc>
        <w:tc>
          <w:tcPr>
            <w:tcW w:w="1701" w:type="dxa"/>
            <w:noWrap/>
            <w:hideMark/>
          </w:tcPr>
          <w:p w14:paraId="73D2B556"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0.0934141</w:t>
            </w:r>
          </w:p>
        </w:tc>
        <w:tc>
          <w:tcPr>
            <w:tcW w:w="1560" w:type="dxa"/>
            <w:noWrap/>
            <w:hideMark/>
          </w:tcPr>
          <w:p w14:paraId="75839528"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0.0677013</w:t>
            </w:r>
          </w:p>
        </w:tc>
      </w:tr>
      <w:tr w:rsidR="00F76732" w:rsidRPr="00F76732" w14:paraId="39AF5CD9" w14:textId="77777777" w:rsidTr="008773E6">
        <w:trPr>
          <w:trHeight w:val="320"/>
        </w:trPr>
        <w:tc>
          <w:tcPr>
            <w:tcW w:w="2263" w:type="dxa"/>
            <w:noWrap/>
            <w:hideMark/>
          </w:tcPr>
          <w:p w14:paraId="558D52A2"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Age x Diabetes</w:t>
            </w:r>
          </w:p>
        </w:tc>
        <w:tc>
          <w:tcPr>
            <w:tcW w:w="1701" w:type="dxa"/>
            <w:noWrap/>
            <w:hideMark/>
          </w:tcPr>
          <w:p w14:paraId="29A7E23A"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-0.0222549</w:t>
            </w:r>
          </w:p>
        </w:tc>
        <w:tc>
          <w:tcPr>
            <w:tcW w:w="1984" w:type="dxa"/>
            <w:noWrap/>
            <w:hideMark/>
          </w:tcPr>
          <w:p w14:paraId="289E8897"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-0.016455946</w:t>
            </w:r>
          </w:p>
        </w:tc>
        <w:tc>
          <w:tcPr>
            <w:tcW w:w="1701" w:type="dxa"/>
            <w:noWrap/>
            <w:hideMark/>
          </w:tcPr>
          <w:p w14:paraId="64EAC133"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-0.020235</w:t>
            </w:r>
          </w:p>
        </w:tc>
        <w:tc>
          <w:tcPr>
            <w:tcW w:w="1560" w:type="dxa"/>
            <w:noWrap/>
            <w:hideMark/>
          </w:tcPr>
          <w:p w14:paraId="1D02B226"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-0.0159106</w:t>
            </w:r>
          </w:p>
        </w:tc>
      </w:tr>
      <w:tr w:rsidR="00F76732" w:rsidRPr="00F76732" w14:paraId="6153E39F" w14:textId="77777777" w:rsidTr="008773E6">
        <w:trPr>
          <w:trHeight w:val="320"/>
        </w:trPr>
        <w:tc>
          <w:tcPr>
            <w:tcW w:w="2263" w:type="dxa"/>
            <w:noWrap/>
            <w:hideMark/>
          </w:tcPr>
          <w:p w14:paraId="3E54AE71"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Age x SBP</w:t>
            </w:r>
          </w:p>
        </w:tc>
        <w:tc>
          <w:tcPr>
            <w:tcW w:w="1701" w:type="dxa"/>
            <w:noWrap/>
            <w:hideMark/>
          </w:tcPr>
          <w:p w14:paraId="51B4F214"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-0.0004425</w:t>
            </w:r>
          </w:p>
        </w:tc>
        <w:tc>
          <w:tcPr>
            <w:tcW w:w="1984" w:type="dxa"/>
            <w:noWrap/>
            <w:hideMark/>
          </w:tcPr>
          <w:p w14:paraId="25B7B89E"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-0.000538926</w:t>
            </w:r>
          </w:p>
        </w:tc>
        <w:tc>
          <w:tcPr>
            <w:tcW w:w="1701" w:type="dxa"/>
            <w:noWrap/>
            <w:hideMark/>
          </w:tcPr>
          <w:p w14:paraId="14324697"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-0.0004184</w:t>
            </w:r>
          </w:p>
        </w:tc>
        <w:tc>
          <w:tcPr>
            <w:tcW w:w="1560" w:type="dxa"/>
            <w:noWrap/>
            <w:hideMark/>
          </w:tcPr>
          <w:p w14:paraId="67CAC361"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-0.0005784</w:t>
            </w:r>
          </w:p>
        </w:tc>
      </w:tr>
      <w:tr w:rsidR="00F76732" w:rsidRPr="00F76732" w14:paraId="334B2025" w14:textId="77777777" w:rsidTr="008773E6">
        <w:trPr>
          <w:trHeight w:val="320"/>
        </w:trPr>
        <w:tc>
          <w:tcPr>
            <w:tcW w:w="2263" w:type="dxa"/>
            <w:noWrap/>
            <w:hideMark/>
          </w:tcPr>
          <w:p w14:paraId="33C4AD15"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OBPLM x SBP</w:t>
            </w:r>
          </w:p>
        </w:tc>
        <w:tc>
          <w:tcPr>
            <w:tcW w:w="1701" w:type="dxa"/>
            <w:noWrap/>
            <w:hideMark/>
          </w:tcPr>
          <w:p w14:paraId="1B30D21A"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-0.004313</w:t>
            </w:r>
          </w:p>
        </w:tc>
        <w:tc>
          <w:tcPr>
            <w:tcW w:w="1984" w:type="dxa"/>
            <w:noWrap/>
            <w:hideMark/>
          </w:tcPr>
          <w:p w14:paraId="3AF8F042"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-0.007287935</w:t>
            </w:r>
          </w:p>
        </w:tc>
        <w:tc>
          <w:tcPr>
            <w:tcW w:w="1701" w:type="dxa"/>
            <w:noWrap/>
            <w:hideMark/>
          </w:tcPr>
          <w:p w14:paraId="7B25F262"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-0.0053077</w:t>
            </w:r>
          </w:p>
        </w:tc>
        <w:tc>
          <w:tcPr>
            <w:tcW w:w="1560" w:type="dxa"/>
            <w:noWrap/>
            <w:hideMark/>
          </w:tcPr>
          <w:p w14:paraId="79D094B5"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-0.0045176</w:t>
            </w:r>
          </w:p>
        </w:tc>
      </w:tr>
      <w:tr w:rsidR="00F76732" w:rsidRPr="00F76732" w14:paraId="69245EF8" w14:textId="77777777" w:rsidTr="008773E6">
        <w:trPr>
          <w:trHeight w:val="320"/>
        </w:trPr>
        <w:tc>
          <w:tcPr>
            <w:tcW w:w="2263" w:type="dxa"/>
            <w:noWrap/>
            <w:hideMark/>
          </w:tcPr>
          <w:p w14:paraId="782B24FE" w14:textId="77777777" w:rsidR="00801AD7" w:rsidRPr="00410A3E" w:rsidRDefault="00801AD7" w:rsidP="00111A75">
            <w:pPr>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Baseline survival function (at 5 years)</w:t>
            </w:r>
          </w:p>
        </w:tc>
        <w:tc>
          <w:tcPr>
            <w:tcW w:w="1701" w:type="dxa"/>
            <w:noWrap/>
            <w:hideMark/>
          </w:tcPr>
          <w:p w14:paraId="2A372899"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0.983169213</w:t>
            </w:r>
          </w:p>
        </w:tc>
        <w:tc>
          <w:tcPr>
            <w:tcW w:w="1984" w:type="dxa"/>
            <w:noWrap/>
            <w:hideMark/>
          </w:tcPr>
          <w:p w14:paraId="211D4708"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0.985567573</w:t>
            </w:r>
          </w:p>
        </w:tc>
        <w:tc>
          <w:tcPr>
            <w:tcW w:w="1701" w:type="dxa"/>
            <w:noWrap/>
            <w:hideMark/>
          </w:tcPr>
          <w:p w14:paraId="7B3AC263"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0.974755526</w:t>
            </w:r>
          </w:p>
        </w:tc>
        <w:tc>
          <w:tcPr>
            <w:tcW w:w="1560" w:type="dxa"/>
            <w:noWrap/>
            <w:hideMark/>
          </w:tcPr>
          <w:p w14:paraId="184050EB" w14:textId="77777777" w:rsidR="00801AD7" w:rsidRPr="00410A3E" w:rsidRDefault="00801AD7" w:rsidP="00801AD7">
            <w:pPr>
              <w:jc w:val="right"/>
              <w:rPr>
                <w:rFonts w:ascii="Calibri" w:eastAsia="Times New Roman" w:hAnsi="Calibri" w:cs="Times New Roman"/>
                <w:color w:val="000000"/>
                <w:sz w:val="20"/>
                <w:szCs w:val="20"/>
              </w:rPr>
            </w:pPr>
            <w:r w:rsidRPr="00410A3E">
              <w:rPr>
                <w:rFonts w:ascii="Calibri" w:eastAsia="Times New Roman" w:hAnsi="Calibri" w:cs="Times New Roman"/>
                <w:color w:val="000000"/>
                <w:sz w:val="20"/>
                <w:szCs w:val="20"/>
              </w:rPr>
              <w:t>0.97765173</w:t>
            </w:r>
          </w:p>
        </w:tc>
      </w:tr>
    </w:tbl>
    <w:p w14:paraId="2C498888" w14:textId="0CAAFC19" w:rsidR="008E4954" w:rsidRDefault="008E4954"/>
    <w:p w14:paraId="538B1D27" w14:textId="3EC693B9" w:rsidR="00D07D77" w:rsidRDefault="00D07D77">
      <w:r>
        <w:br w:type="page"/>
      </w:r>
    </w:p>
    <w:p w14:paraId="2E0A1B1C" w14:textId="5E33CFDD" w:rsidR="00A2404B" w:rsidRPr="00647011" w:rsidRDefault="00A2404B" w:rsidP="00A2404B">
      <w:pPr>
        <w:pStyle w:val="Caption"/>
        <w:sectPr w:rsidR="00A2404B" w:rsidRPr="00647011" w:rsidSect="0058508E">
          <w:pgSz w:w="11900" w:h="16840"/>
          <w:pgMar w:top="1440" w:right="1440" w:bottom="1440" w:left="1440" w:header="720" w:footer="720" w:gutter="0"/>
          <w:cols w:space="720"/>
          <w:docGrid w:linePitch="360"/>
        </w:sectPr>
      </w:pPr>
    </w:p>
    <w:p w14:paraId="3AB99A2C" w14:textId="533033DC" w:rsidR="00B153D2" w:rsidRDefault="00855442" w:rsidP="00855442">
      <w:pPr>
        <w:spacing w:after="200"/>
        <w:rPr>
          <w:rFonts w:ascii="Times New Roman" w:eastAsia="Times New Roman" w:hAnsi="Times New Roman" w:cs="Times New Roman"/>
          <w:i/>
          <w:iCs/>
          <w:color w:val="44546A" w:themeColor="text2"/>
          <w:sz w:val="18"/>
          <w:szCs w:val="18"/>
        </w:rPr>
      </w:pPr>
      <w:r w:rsidRPr="00855442">
        <w:rPr>
          <w:rFonts w:ascii="Times New Roman" w:eastAsia="Times New Roman" w:hAnsi="Times New Roman" w:cs="Times New Roman"/>
          <w:i/>
          <w:iCs/>
          <w:color w:val="44546A" w:themeColor="text2"/>
          <w:sz w:val="18"/>
          <w:szCs w:val="18"/>
        </w:rPr>
        <w:lastRenderedPageBreak/>
        <w:t xml:space="preserve">Table </w:t>
      </w:r>
      <w:r w:rsidR="00763F5D">
        <w:rPr>
          <w:rFonts w:ascii="Times New Roman" w:eastAsia="Times New Roman" w:hAnsi="Times New Roman" w:cs="Times New Roman"/>
          <w:i/>
          <w:iCs/>
          <w:color w:val="44546A" w:themeColor="text2"/>
          <w:sz w:val="18"/>
          <w:szCs w:val="18"/>
        </w:rPr>
        <w:t>E</w:t>
      </w:r>
      <w:r w:rsidR="004C4064">
        <w:rPr>
          <w:rFonts w:ascii="Times New Roman" w:eastAsia="Times New Roman" w:hAnsi="Times New Roman" w:cs="Times New Roman"/>
          <w:i/>
          <w:iCs/>
          <w:color w:val="44546A" w:themeColor="text2"/>
          <w:sz w:val="18"/>
          <w:szCs w:val="18"/>
        </w:rPr>
        <w:t>2</w:t>
      </w:r>
      <w:r w:rsidRPr="00855442">
        <w:rPr>
          <w:rFonts w:ascii="Times New Roman" w:eastAsia="Times New Roman" w:hAnsi="Times New Roman" w:cs="Times New Roman"/>
          <w:i/>
          <w:iCs/>
          <w:color w:val="44546A" w:themeColor="text2"/>
          <w:sz w:val="18"/>
          <w:szCs w:val="18"/>
        </w:rPr>
        <w:t xml:space="preserve">:  Estimated relative risks estimated by </w:t>
      </w:r>
      <w:r w:rsidR="00B153D2">
        <w:rPr>
          <w:rFonts w:ascii="Times New Roman" w:eastAsia="Times New Roman" w:hAnsi="Times New Roman" w:cs="Times New Roman"/>
          <w:i/>
          <w:iCs/>
          <w:color w:val="44546A" w:themeColor="text2"/>
          <w:sz w:val="18"/>
          <w:szCs w:val="18"/>
        </w:rPr>
        <w:t>IPW Approach b2 where data from</w:t>
      </w:r>
      <w:r w:rsidR="00A132F9">
        <w:rPr>
          <w:rFonts w:ascii="Times New Roman" w:eastAsia="Times New Roman" w:hAnsi="Times New Roman" w:cs="Times New Roman"/>
          <w:i/>
          <w:iCs/>
          <w:color w:val="44546A" w:themeColor="text2"/>
          <w:sz w:val="18"/>
          <w:szCs w:val="18"/>
        </w:rPr>
        <w:t xml:space="preserve"> the</w:t>
      </w:r>
      <w:r w:rsidR="00B153D2">
        <w:rPr>
          <w:rFonts w:ascii="Times New Roman" w:eastAsia="Times New Roman" w:hAnsi="Times New Roman" w:cs="Times New Roman"/>
          <w:i/>
          <w:iCs/>
          <w:color w:val="44546A" w:themeColor="text2"/>
          <w:sz w:val="18"/>
          <w:szCs w:val="18"/>
        </w:rPr>
        <w:t xml:space="preserve"> 1</w:t>
      </w:r>
      <w:r w:rsidR="00B153D2" w:rsidRPr="0050651E">
        <w:rPr>
          <w:rFonts w:ascii="Times New Roman" w:eastAsia="Times New Roman" w:hAnsi="Times New Roman" w:cs="Times New Roman"/>
          <w:i/>
          <w:iCs/>
          <w:color w:val="44546A" w:themeColor="text2"/>
          <w:sz w:val="18"/>
          <w:szCs w:val="18"/>
          <w:vertAlign w:val="superscript"/>
        </w:rPr>
        <w:t>st</w:t>
      </w:r>
      <w:r w:rsidR="00B153D2">
        <w:rPr>
          <w:rFonts w:ascii="Times New Roman" w:eastAsia="Times New Roman" w:hAnsi="Times New Roman" w:cs="Times New Roman"/>
          <w:i/>
          <w:iCs/>
          <w:color w:val="44546A" w:themeColor="text2"/>
          <w:sz w:val="18"/>
          <w:szCs w:val="18"/>
        </w:rPr>
        <w:t xml:space="preserve"> follow-up after baseline were used to estimate treatment effects. </w:t>
      </w:r>
    </w:p>
    <w:p w14:paraId="53A94CB0" w14:textId="17BDC97E" w:rsidR="00855442" w:rsidRPr="00855442" w:rsidRDefault="00855442" w:rsidP="00855442">
      <w:pPr>
        <w:spacing w:after="200"/>
        <w:rPr>
          <w:rFonts w:ascii="Times New Roman" w:eastAsia="Times New Roman" w:hAnsi="Times New Roman" w:cs="Times New Roman"/>
          <w:i/>
          <w:iCs/>
          <w:color w:val="44546A" w:themeColor="text2"/>
          <w:sz w:val="18"/>
          <w:szCs w:val="18"/>
        </w:rPr>
      </w:pPr>
      <w:r w:rsidRPr="00855442">
        <w:rPr>
          <w:rFonts w:ascii="Times New Roman" w:eastAsia="Times New Roman" w:hAnsi="Times New Roman" w:cs="Times New Roman"/>
          <w:i/>
          <w:iCs/>
          <w:color w:val="44546A" w:themeColor="text2"/>
          <w:sz w:val="18"/>
          <w:szCs w:val="18"/>
        </w:rPr>
        <w:t>*Intermediate model: using the same confounder set as in baseline only model (see Methods</w:t>
      </w:r>
      <w:proofErr w:type="gramStart"/>
      <w:r w:rsidRPr="00855442">
        <w:rPr>
          <w:rFonts w:ascii="Times New Roman" w:eastAsia="Times New Roman" w:hAnsi="Times New Roman" w:cs="Times New Roman"/>
          <w:i/>
          <w:iCs/>
          <w:color w:val="44546A" w:themeColor="text2"/>
          <w:sz w:val="18"/>
          <w:szCs w:val="18"/>
        </w:rPr>
        <w:t>);</w:t>
      </w:r>
      <w:proofErr w:type="gramEnd"/>
      <w:r w:rsidRPr="00855442">
        <w:rPr>
          <w:rFonts w:ascii="Times New Roman" w:eastAsia="Times New Roman" w:hAnsi="Times New Roman" w:cs="Times New Roman"/>
          <w:i/>
          <w:iCs/>
          <w:color w:val="44546A" w:themeColor="text2"/>
          <w:sz w:val="18"/>
          <w:szCs w:val="18"/>
        </w:rPr>
        <w:t xml:space="preserve"> </w:t>
      </w:r>
    </w:p>
    <w:tbl>
      <w:tblPr>
        <w:tblpPr w:leftFromText="180" w:rightFromText="180" w:vertAnchor="text" w:horzAnchor="margin" w:tblpY="160"/>
        <w:tblW w:w="89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13"/>
        <w:gridCol w:w="3184"/>
        <w:gridCol w:w="2576"/>
      </w:tblGrid>
      <w:tr w:rsidR="00855442" w:rsidRPr="00855442" w14:paraId="3D5AF047" w14:textId="77777777" w:rsidTr="00410A3E">
        <w:trPr>
          <w:trHeight w:val="242"/>
        </w:trPr>
        <w:tc>
          <w:tcPr>
            <w:tcW w:w="3213" w:type="dxa"/>
            <w:vMerge w:val="restart"/>
            <w:vAlign w:val="center"/>
            <w:hideMark/>
          </w:tcPr>
          <w:p w14:paraId="08FAA1EB" w14:textId="77777777" w:rsidR="00855442" w:rsidRPr="00855442" w:rsidRDefault="00855442" w:rsidP="00410A3E">
            <w:pPr>
              <w:rPr>
                <w:rFonts w:ascii="Calibri" w:eastAsia="Times New Roman" w:hAnsi="Calibri" w:cs="Arial"/>
                <w:sz w:val="20"/>
                <w:szCs w:val="20"/>
              </w:rPr>
            </w:pPr>
          </w:p>
        </w:tc>
        <w:tc>
          <w:tcPr>
            <w:tcW w:w="5760" w:type="dxa"/>
            <w:gridSpan w:val="2"/>
            <w:vAlign w:val="center"/>
            <w:hideMark/>
          </w:tcPr>
          <w:p w14:paraId="7057BC1C" w14:textId="3195C747" w:rsidR="00855442" w:rsidRPr="00855442" w:rsidRDefault="00855442" w:rsidP="00855442">
            <w:pPr>
              <w:jc w:val="center"/>
              <w:rPr>
                <w:rFonts w:eastAsia="Times New Roman" w:cs="Arial"/>
                <w:sz w:val="20"/>
                <w:szCs w:val="20"/>
              </w:rPr>
            </w:pPr>
            <w:r w:rsidRPr="00855442">
              <w:rPr>
                <w:rFonts w:ascii="Calibri" w:eastAsia="Times New Roman" w:hAnsi="Calibri" w:cs="Arial"/>
                <w:bCs/>
                <w:sz w:val="20"/>
                <w:szCs w:val="20"/>
              </w:rPr>
              <w:t>IPW effects</w:t>
            </w:r>
            <w:r w:rsidRPr="00855442">
              <w:rPr>
                <w:rFonts w:eastAsia="Times New Roman" w:cs="Arial"/>
                <w:sz w:val="20"/>
                <w:szCs w:val="20"/>
              </w:rPr>
              <w:t xml:space="preserve"> </w:t>
            </w:r>
            <w:r>
              <w:rPr>
                <w:rFonts w:eastAsia="Times New Roman" w:cs="Arial"/>
                <w:sz w:val="20"/>
                <w:szCs w:val="20"/>
              </w:rPr>
              <w:t>w</w:t>
            </w:r>
            <w:r w:rsidRPr="00855442">
              <w:rPr>
                <w:rFonts w:eastAsia="Times New Roman" w:cs="Arial"/>
                <w:sz w:val="20"/>
                <w:szCs w:val="20"/>
              </w:rPr>
              <w:t>ith post-baseline data</w:t>
            </w:r>
          </w:p>
        </w:tc>
      </w:tr>
      <w:tr w:rsidR="00855442" w:rsidRPr="00855442" w14:paraId="0119824F" w14:textId="77777777" w:rsidTr="00410A3E">
        <w:trPr>
          <w:trHeight w:val="258"/>
        </w:trPr>
        <w:tc>
          <w:tcPr>
            <w:tcW w:w="3213" w:type="dxa"/>
            <w:vMerge/>
            <w:vAlign w:val="center"/>
            <w:hideMark/>
          </w:tcPr>
          <w:p w14:paraId="64C09D72" w14:textId="77777777" w:rsidR="00855442" w:rsidRPr="00855442" w:rsidRDefault="00855442" w:rsidP="00410A3E">
            <w:pPr>
              <w:rPr>
                <w:rFonts w:ascii="Calibri" w:eastAsia="Times New Roman" w:hAnsi="Calibri" w:cs="Arial"/>
                <w:sz w:val="20"/>
                <w:szCs w:val="20"/>
              </w:rPr>
            </w:pPr>
          </w:p>
        </w:tc>
        <w:tc>
          <w:tcPr>
            <w:tcW w:w="3184" w:type="dxa"/>
            <w:vAlign w:val="center"/>
            <w:hideMark/>
          </w:tcPr>
          <w:p w14:paraId="41B983F8" w14:textId="77777777" w:rsidR="00855442" w:rsidRPr="00855442" w:rsidRDefault="00855442" w:rsidP="00855442">
            <w:pPr>
              <w:jc w:val="center"/>
              <w:rPr>
                <w:rFonts w:eastAsia="Times New Roman" w:cs="Arial"/>
                <w:sz w:val="20"/>
                <w:szCs w:val="20"/>
              </w:rPr>
            </w:pPr>
            <w:r w:rsidRPr="00855442">
              <w:rPr>
                <w:rFonts w:eastAsia="Times New Roman" w:cs="Arial"/>
                <w:sz w:val="20"/>
                <w:szCs w:val="20"/>
              </w:rPr>
              <w:t>Intermediate</w:t>
            </w:r>
          </w:p>
          <w:p w14:paraId="05088642" w14:textId="4BB59A21" w:rsidR="00855442" w:rsidRPr="00855442" w:rsidRDefault="00855442" w:rsidP="00855442">
            <w:pPr>
              <w:jc w:val="center"/>
              <w:rPr>
                <w:rFonts w:eastAsia="Times New Roman" w:cs="Arial"/>
                <w:sz w:val="20"/>
                <w:szCs w:val="20"/>
              </w:rPr>
            </w:pPr>
            <w:r w:rsidRPr="00855442">
              <w:rPr>
                <w:rFonts w:eastAsia="Times New Roman" w:cs="Arial"/>
                <w:sz w:val="20"/>
                <w:szCs w:val="20"/>
              </w:rPr>
              <w:t>model</w:t>
            </w:r>
            <w:r w:rsidR="00B533DB" w:rsidRPr="00855442">
              <w:rPr>
                <w:rFonts w:ascii="Times New Roman" w:eastAsia="Times New Roman" w:hAnsi="Times New Roman" w:cs="Times New Roman"/>
                <w:i/>
                <w:iCs/>
                <w:color w:val="44546A" w:themeColor="text2"/>
                <w:sz w:val="18"/>
                <w:szCs w:val="18"/>
              </w:rPr>
              <w:t>*</w:t>
            </w:r>
          </w:p>
        </w:tc>
        <w:tc>
          <w:tcPr>
            <w:tcW w:w="2576" w:type="dxa"/>
            <w:vAlign w:val="center"/>
            <w:hideMark/>
          </w:tcPr>
          <w:p w14:paraId="33133831" w14:textId="77777777" w:rsidR="00855442" w:rsidRPr="00855442" w:rsidRDefault="00855442" w:rsidP="00855442">
            <w:pPr>
              <w:jc w:val="center"/>
              <w:rPr>
                <w:rFonts w:eastAsia="Times New Roman" w:cs="Arial"/>
                <w:sz w:val="20"/>
                <w:szCs w:val="20"/>
              </w:rPr>
            </w:pPr>
            <w:r w:rsidRPr="00855442">
              <w:rPr>
                <w:rFonts w:eastAsia="Times New Roman" w:cs="Arial"/>
                <w:sz w:val="20"/>
                <w:szCs w:val="20"/>
              </w:rPr>
              <w:t>Full model</w:t>
            </w:r>
          </w:p>
        </w:tc>
      </w:tr>
      <w:tr w:rsidR="00855442" w:rsidRPr="00855442" w14:paraId="21E875A1" w14:textId="77777777" w:rsidTr="00410A3E">
        <w:trPr>
          <w:trHeight w:val="291"/>
        </w:trPr>
        <w:tc>
          <w:tcPr>
            <w:tcW w:w="3213" w:type="dxa"/>
            <w:vAlign w:val="center"/>
          </w:tcPr>
          <w:p w14:paraId="4AA8C2FA" w14:textId="77777777" w:rsidR="00855442" w:rsidRPr="00855442" w:rsidRDefault="00855442" w:rsidP="00410A3E">
            <w:pPr>
              <w:rPr>
                <w:rFonts w:ascii="Calibri" w:eastAsia="Times New Roman" w:hAnsi="Calibri" w:cs="Arial"/>
                <w:b/>
                <w:sz w:val="18"/>
                <w:szCs w:val="18"/>
              </w:rPr>
            </w:pPr>
            <w:r w:rsidRPr="00855442">
              <w:rPr>
                <w:rFonts w:ascii="Calibri" w:eastAsia="Times New Roman" w:hAnsi="Calibri" w:cs="Times New Roman"/>
                <w:bCs/>
                <w:sz w:val="20"/>
                <w:szCs w:val="20"/>
              </w:rPr>
              <w:t>(I) Smoking cessation</w:t>
            </w:r>
          </w:p>
        </w:tc>
        <w:tc>
          <w:tcPr>
            <w:tcW w:w="3184" w:type="dxa"/>
            <w:vAlign w:val="center"/>
            <w:hideMark/>
          </w:tcPr>
          <w:p w14:paraId="3EC60173" w14:textId="0BE081EE" w:rsidR="00855442" w:rsidRPr="00855442" w:rsidRDefault="00855442" w:rsidP="00855442">
            <w:pPr>
              <w:jc w:val="center"/>
              <w:rPr>
                <w:rFonts w:eastAsia="Times New Roman" w:cs="Arial"/>
                <w:sz w:val="20"/>
                <w:szCs w:val="20"/>
              </w:rPr>
            </w:pPr>
            <w:r w:rsidRPr="00855442">
              <w:rPr>
                <w:rFonts w:eastAsia="Times New Roman" w:cs="Arial"/>
                <w:sz w:val="20"/>
                <w:szCs w:val="20"/>
              </w:rPr>
              <w:t>0.7</w:t>
            </w:r>
            <w:r w:rsidR="00CB171B">
              <w:rPr>
                <w:rFonts w:eastAsia="Times New Roman" w:cs="Arial"/>
                <w:sz w:val="20"/>
                <w:szCs w:val="20"/>
              </w:rPr>
              <w:t>3</w:t>
            </w:r>
            <w:r w:rsidRPr="00855442">
              <w:rPr>
                <w:rFonts w:eastAsia="Times New Roman" w:cs="Arial"/>
                <w:sz w:val="20"/>
                <w:szCs w:val="20"/>
              </w:rPr>
              <w:t xml:space="preserve"> (0.</w:t>
            </w:r>
            <w:r w:rsidR="00FC05A3">
              <w:rPr>
                <w:rFonts w:eastAsia="Times New Roman" w:cs="Arial"/>
                <w:sz w:val="20"/>
                <w:szCs w:val="20"/>
              </w:rPr>
              <w:t>39</w:t>
            </w:r>
            <w:r w:rsidRPr="00855442">
              <w:rPr>
                <w:rFonts w:eastAsia="Times New Roman" w:cs="Arial"/>
                <w:sz w:val="20"/>
                <w:szCs w:val="20"/>
              </w:rPr>
              <w:t>–1.</w:t>
            </w:r>
            <w:r w:rsidR="00FC05A3">
              <w:rPr>
                <w:rFonts w:eastAsia="Times New Roman" w:cs="Arial"/>
                <w:sz w:val="20"/>
                <w:szCs w:val="20"/>
              </w:rPr>
              <w:t>06</w:t>
            </w:r>
            <w:r w:rsidRPr="00855442">
              <w:rPr>
                <w:rFonts w:eastAsia="Times New Roman" w:cs="Arial"/>
                <w:sz w:val="20"/>
                <w:szCs w:val="20"/>
              </w:rPr>
              <w:t>)</w:t>
            </w:r>
          </w:p>
        </w:tc>
        <w:tc>
          <w:tcPr>
            <w:tcW w:w="2576" w:type="dxa"/>
            <w:vAlign w:val="center"/>
            <w:hideMark/>
          </w:tcPr>
          <w:p w14:paraId="4D3265CE" w14:textId="7DDE9AA7" w:rsidR="00855442" w:rsidRPr="00855442" w:rsidRDefault="00FC05A3" w:rsidP="00855442">
            <w:pPr>
              <w:jc w:val="center"/>
              <w:rPr>
                <w:rFonts w:eastAsia="Times New Roman" w:cs="Arial"/>
                <w:sz w:val="20"/>
                <w:szCs w:val="20"/>
              </w:rPr>
            </w:pPr>
            <w:r w:rsidRPr="00855442">
              <w:rPr>
                <w:rFonts w:eastAsia="Times New Roman" w:cs="Arial"/>
                <w:sz w:val="20"/>
                <w:szCs w:val="20"/>
              </w:rPr>
              <w:t>0.7</w:t>
            </w:r>
            <w:r>
              <w:rPr>
                <w:rFonts w:eastAsia="Times New Roman" w:cs="Arial"/>
                <w:sz w:val="20"/>
                <w:szCs w:val="20"/>
              </w:rPr>
              <w:t>3</w:t>
            </w:r>
            <w:r w:rsidRPr="00855442">
              <w:rPr>
                <w:rFonts w:eastAsia="Times New Roman" w:cs="Arial"/>
                <w:sz w:val="20"/>
                <w:szCs w:val="20"/>
              </w:rPr>
              <w:t xml:space="preserve"> (0.</w:t>
            </w:r>
            <w:r>
              <w:rPr>
                <w:rFonts w:eastAsia="Times New Roman" w:cs="Arial"/>
                <w:sz w:val="20"/>
                <w:szCs w:val="20"/>
              </w:rPr>
              <w:t>38</w:t>
            </w:r>
            <w:r w:rsidRPr="00855442">
              <w:rPr>
                <w:rFonts w:eastAsia="Times New Roman" w:cs="Arial"/>
                <w:sz w:val="20"/>
                <w:szCs w:val="20"/>
              </w:rPr>
              <w:t>–1.</w:t>
            </w:r>
            <w:r>
              <w:rPr>
                <w:rFonts w:eastAsia="Times New Roman" w:cs="Arial"/>
                <w:sz w:val="20"/>
                <w:szCs w:val="20"/>
              </w:rPr>
              <w:t>07</w:t>
            </w:r>
            <w:r w:rsidRPr="00855442">
              <w:rPr>
                <w:rFonts w:eastAsia="Times New Roman" w:cs="Arial"/>
                <w:sz w:val="20"/>
                <w:szCs w:val="20"/>
              </w:rPr>
              <w:t>)</w:t>
            </w:r>
          </w:p>
        </w:tc>
      </w:tr>
      <w:tr w:rsidR="00855442" w:rsidRPr="00855442" w14:paraId="74989678" w14:textId="77777777" w:rsidTr="00410A3E">
        <w:trPr>
          <w:trHeight w:val="323"/>
        </w:trPr>
        <w:tc>
          <w:tcPr>
            <w:tcW w:w="3213" w:type="dxa"/>
            <w:vAlign w:val="center"/>
          </w:tcPr>
          <w:p w14:paraId="6DF55603" w14:textId="77777777" w:rsidR="00855442" w:rsidRPr="00855442" w:rsidRDefault="00855442" w:rsidP="00410A3E">
            <w:pPr>
              <w:rPr>
                <w:rFonts w:ascii="Calibri" w:eastAsia="Times New Roman" w:hAnsi="Calibri" w:cs="Arial"/>
                <w:b/>
                <w:sz w:val="18"/>
                <w:szCs w:val="18"/>
              </w:rPr>
            </w:pPr>
            <w:r w:rsidRPr="00855442">
              <w:rPr>
                <w:rFonts w:ascii="Calibri" w:eastAsia="Times New Roman" w:hAnsi="Calibri" w:cs="Times New Roman"/>
                <w:bCs/>
                <w:sz w:val="20"/>
                <w:szCs w:val="20"/>
              </w:rPr>
              <w:t>(</w:t>
            </w:r>
            <w:proofErr w:type="spellStart"/>
            <w:r w:rsidRPr="00855442">
              <w:rPr>
                <w:rFonts w:ascii="Calibri" w:eastAsia="Times New Roman" w:hAnsi="Calibri" w:cs="Times New Roman"/>
                <w:bCs/>
                <w:sz w:val="20"/>
                <w:szCs w:val="20"/>
              </w:rPr>
              <w:t>IIa</w:t>
            </w:r>
            <w:proofErr w:type="spellEnd"/>
            <w:r w:rsidRPr="00855442">
              <w:rPr>
                <w:rFonts w:ascii="Calibri" w:eastAsia="Times New Roman" w:hAnsi="Calibri" w:cs="Times New Roman"/>
                <w:bCs/>
                <w:sz w:val="20"/>
                <w:szCs w:val="20"/>
              </w:rPr>
              <w:t>) Lowering SBP</w:t>
            </w:r>
          </w:p>
        </w:tc>
        <w:tc>
          <w:tcPr>
            <w:tcW w:w="3184" w:type="dxa"/>
            <w:vAlign w:val="center"/>
            <w:hideMark/>
          </w:tcPr>
          <w:p w14:paraId="701A3F56" w14:textId="7CA73741" w:rsidR="00855442" w:rsidRPr="00855442" w:rsidRDefault="00855442" w:rsidP="00855442">
            <w:pPr>
              <w:jc w:val="center"/>
              <w:rPr>
                <w:rFonts w:eastAsia="Times New Roman" w:cs="Arial"/>
                <w:sz w:val="20"/>
                <w:szCs w:val="20"/>
              </w:rPr>
            </w:pPr>
            <w:r w:rsidRPr="00855442">
              <w:rPr>
                <w:rFonts w:eastAsia="Times New Roman" w:cs="Arial"/>
                <w:sz w:val="20"/>
                <w:szCs w:val="20"/>
              </w:rPr>
              <w:t>0.9</w:t>
            </w:r>
            <w:r w:rsidR="00FC05A3">
              <w:rPr>
                <w:rFonts w:eastAsia="Times New Roman" w:cs="Arial"/>
                <w:sz w:val="20"/>
                <w:szCs w:val="20"/>
              </w:rPr>
              <w:t>6</w:t>
            </w:r>
            <w:r w:rsidRPr="00855442">
              <w:rPr>
                <w:rFonts w:eastAsia="Times New Roman" w:cs="Arial"/>
                <w:sz w:val="20"/>
                <w:szCs w:val="20"/>
              </w:rPr>
              <w:t xml:space="preserve"> </w:t>
            </w:r>
            <w:r w:rsidRPr="00855442">
              <w:rPr>
                <w:rFonts w:ascii="Calibri" w:eastAsia="Times New Roman" w:hAnsi="Calibri" w:cs="Arial"/>
                <w:sz w:val="20"/>
                <w:szCs w:val="20"/>
              </w:rPr>
              <w:t>(0.</w:t>
            </w:r>
            <w:r w:rsidR="00FC05A3">
              <w:rPr>
                <w:rFonts w:ascii="Calibri" w:eastAsia="Times New Roman" w:hAnsi="Calibri" w:cs="Arial"/>
                <w:sz w:val="20"/>
                <w:szCs w:val="20"/>
              </w:rPr>
              <w:t>69</w:t>
            </w:r>
            <w:r w:rsidRPr="00855442">
              <w:rPr>
                <w:rFonts w:ascii="Calibri" w:eastAsia="Times New Roman" w:hAnsi="Calibri" w:cs="Arial"/>
                <w:sz w:val="20"/>
                <w:szCs w:val="20"/>
              </w:rPr>
              <w:t>–1.2</w:t>
            </w:r>
            <w:r w:rsidR="00FC05A3">
              <w:rPr>
                <w:rFonts w:ascii="Calibri" w:eastAsia="Times New Roman" w:hAnsi="Calibri" w:cs="Arial"/>
                <w:sz w:val="20"/>
                <w:szCs w:val="20"/>
              </w:rPr>
              <w:t>2</w:t>
            </w:r>
            <w:r w:rsidRPr="00855442">
              <w:rPr>
                <w:rFonts w:ascii="Calibri" w:eastAsia="Times New Roman" w:hAnsi="Calibri" w:cs="Arial"/>
                <w:sz w:val="20"/>
                <w:szCs w:val="20"/>
              </w:rPr>
              <w:t>)</w:t>
            </w:r>
          </w:p>
        </w:tc>
        <w:tc>
          <w:tcPr>
            <w:tcW w:w="2576" w:type="dxa"/>
            <w:vAlign w:val="center"/>
            <w:hideMark/>
          </w:tcPr>
          <w:p w14:paraId="39FCB463" w14:textId="3771D38E" w:rsidR="00855442" w:rsidRPr="00855442" w:rsidRDefault="00855442" w:rsidP="00855442">
            <w:pPr>
              <w:jc w:val="center"/>
              <w:rPr>
                <w:rFonts w:eastAsia="Times New Roman" w:cs="Arial"/>
                <w:sz w:val="20"/>
                <w:szCs w:val="20"/>
              </w:rPr>
            </w:pPr>
            <w:r w:rsidRPr="00855442">
              <w:rPr>
                <w:rFonts w:eastAsia="Times New Roman" w:cs="Arial"/>
                <w:sz w:val="20"/>
                <w:szCs w:val="20"/>
              </w:rPr>
              <w:t>0.9</w:t>
            </w:r>
            <w:r w:rsidR="00FC05A3">
              <w:rPr>
                <w:rFonts w:eastAsia="Times New Roman" w:cs="Arial"/>
                <w:sz w:val="20"/>
                <w:szCs w:val="20"/>
              </w:rPr>
              <w:t>9</w:t>
            </w:r>
            <w:r w:rsidRPr="00855442">
              <w:rPr>
                <w:rFonts w:eastAsia="Times New Roman" w:cs="Arial"/>
                <w:sz w:val="20"/>
                <w:szCs w:val="20"/>
              </w:rPr>
              <w:t xml:space="preserve"> </w:t>
            </w:r>
            <w:r w:rsidRPr="00855442">
              <w:rPr>
                <w:rFonts w:ascii="Calibri" w:eastAsia="Times New Roman" w:hAnsi="Calibri" w:cs="Arial"/>
                <w:sz w:val="20"/>
                <w:szCs w:val="20"/>
              </w:rPr>
              <w:t>(0.</w:t>
            </w:r>
            <w:r w:rsidR="00FC05A3">
              <w:rPr>
                <w:rFonts w:ascii="Calibri" w:eastAsia="Times New Roman" w:hAnsi="Calibri" w:cs="Arial"/>
                <w:sz w:val="20"/>
                <w:szCs w:val="20"/>
              </w:rPr>
              <w:t>70</w:t>
            </w:r>
            <w:r w:rsidRPr="00855442">
              <w:rPr>
                <w:rFonts w:ascii="Calibri" w:eastAsia="Times New Roman" w:hAnsi="Calibri" w:cs="Arial"/>
                <w:sz w:val="20"/>
                <w:szCs w:val="20"/>
              </w:rPr>
              <w:t>–1.</w:t>
            </w:r>
            <w:r w:rsidR="00FC05A3">
              <w:rPr>
                <w:rFonts w:ascii="Calibri" w:eastAsia="Times New Roman" w:hAnsi="Calibri" w:cs="Arial"/>
                <w:sz w:val="20"/>
                <w:szCs w:val="20"/>
              </w:rPr>
              <w:t>29</w:t>
            </w:r>
            <w:r w:rsidRPr="00855442">
              <w:rPr>
                <w:rFonts w:ascii="Calibri" w:eastAsia="Times New Roman" w:hAnsi="Calibri" w:cs="Arial"/>
                <w:sz w:val="20"/>
                <w:szCs w:val="20"/>
              </w:rPr>
              <w:t>)</w:t>
            </w:r>
          </w:p>
        </w:tc>
      </w:tr>
      <w:tr w:rsidR="00855442" w:rsidRPr="00855442" w14:paraId="09F97A46" w14:textId="77777777" w:rsidTr="00410A3E">
        <w:trPr>
          <w:trHeight w:val="25"/>
        </w:trPr>
        <w:tc>
          <w:tcPr>
            <w:tcW w:w="3213" w:type="dxa"/>
            <w:vAlign w:val="center"/>
          </w:tcPr>
          <w:p w14:paraId="1CD17EBE" w14:textId="77777777" w:rsidR="00855442" w:rsidRPr="00855442" w:rsidRDefault="00855442" w:rsidP="00410A3E">
            <w:pPr>
              <w:rPr>
                <w:rFonts w:ascii="Calibri" w:eastAsia="Times New Roman" w:hAnsi="Calibri" w:cs="Arial"/>
                <w:b/>
                <w:sz w:val="18"/>
                <w:szCs w:val="18"/>
              </w:rPr>
            </w:pPr>
            <w:r w:rsidRPr="00855442">
              <w:rPr>
                <w:rFonts w:eastAsia="Times New Roman" w:cstheme="minorHAnsi"/>
                <w:bCs/>
                <w:color w:val="000000" w:themeColor="text1"/>
                <w:sz w:val="20"/>
                <w:szCs w:val="20"/>
              </w:rPr>
              <w:t>(IIb) BP lowering medication</w:t>
            </w:r>
          </w:p>
        </w:tc>
        <w:tc>
          <w:tcPr>
            <w:tcW w:w="3184" w:type="dxa"/>
            <w:vAlign w:val="center"/>
          </w:tcPr>
          <w:p w14:paraId="488313DC" w14:textId="042390C7" w:rsidR="00855442" w:rsidRPr="00855442" w:rsidRDefault="00855442" w:rsidP="00855442">
            <w:pPr>
              <w:jc w:val="center"/>
              <w:rPr>
                <w:rFonts w:eastAsia="Times New Roman" w:cs="Arial"/>
                <w:sz w:val="20"/>
                <w:szCs w:val="20"/>
              </w:rPr>
            </w:pPr>
            <w:r w:rsidRPr="00855442">
              <w:rPr>
                <w:rFonts w:eastAsia="Times New Roman" w:cs="Times New Roman"/>
                <w:sz w:val="20"/>
                <w:szCs w:val="20"/>
              </w:rPr>
              <w:t>1.</w:t>
            </w:r>
            <w:r w:rsidR="00FC05A3">
              <w:rPr>
                <w:rFonts w:eastAsia="Times New Roman" w:cs="Times New Roman"/>
                <w:sz w:val="20"/>
                <w:szCs w:val="20"/>
              </w:rPr>
              <w:t>19</w:t>
            </w:r>
            <w:r w:rsidRPr="00855442">
              <w:rPr>
                <w:rFonts w:eastAsia="Times New Roman" w:cs="Times New Roman"/>
                <w:sz w:val="20"/>
                <w:szCs w:val="20"/>
              </w:rPr>
              <w:t xml:space="preserve"> </w:t>
            </w:r>
            <w:r w:rsidRPr="00855442">
              <w:rPr>
                <w:rFonts w:ascii="Calibri" w:eastAsia="Times New Roman" w:hAnsi="Calibri" w:cs="Arial"/>
                <w:sz w:val="20"/>
                <w:szCs w:val="20"/>
              </w:rPr>
              <w:t>(0.8</w:t>
            </w:r>
            <w:r w:rsidR="00FC05A3">
              <w:rPr>
                <w:rFonts w:ascii="Calibri" w:eastAsia="Times New Roman" w:hAnsi="Calibri" w:cs="Arial"/>
                <w:sz w:val="20"/>
                <w:szCs w:val="20"/>
              </w:rPr>
              <w:t>8</w:t>
            </w:r>
            <w:r w:rsidRPr="00855442">
              <w:rPr>
                <w:rFonts w:ascii="Calibri" w:eastAsia="Times New Roman" w:hAnsi="Calibri" w:cs="Arial"/>
                <w:sz w:val="20"/>
                <w:szCs w:val="20"/>
              </w:rPr>
              <w:t>–1.</w:t>
            </w:r>
            <w:r w:rsidR="00FC05A3">
              <w:rPr>
                <w:rFonts w:ascii="Calibri" w:eastAsia="Times New Roman" w:hAnsi="Calibri" w:cs="Arial"/>
                <w:sz w:val="20"/>
                <w:szCs w:val="20"/>
              </w:rPr>
              <w:t>49</w:t>
            </w:r>
            <w:r w:rsidRPr="00855442">
              <w:rPr>
                <w:rFonts w:ascii="Calibri" w:eastAsia="Times New Roman" w:hAnsi="Calibri" w:cs="Arial"/>
                <w:sz w:val="20"/>
                <w:szCs w:val="20"/>
              </w:rPr>
              <w:t>)</w:t>
            </w:r>
          </w:p>
        </w:tc>
        <w:tc>
          <w:tcPr>
            <w:tcW w:w="2576" w:type="dxa"/>
            <w:vAlign w:val="center"/>
          </w:tcPr>
          <w:p w14:paraId="679DA8CD" w14:textId="77777777" w:rsidR="00855442" w:rsidRPr="00855442" w:rsidRDefault="00855442" w:rsidP="00855442">
            <w:pPr>
              <w:jc w:val="center"/>
              <w:rPr>
                <w:rFonts w:eastAsia="Times New Roman" w:cs="Arial"/>
                <w:sz w:val="20"/>
                <w:szCs w:val="20"/>
              </w:rPr>
            </w:pPr>
            <w:r w:rsidRPr="00855442">
              <w:rPr>
                <w:rFonts w:eastAsia="Times New Roman" w:cs="Times New Roman"/>
                <w:sz w:val="20"/>
                <w:szCs w:val="20"/>
              </w:rPr>
              <w:t>1.16 (0.69–1.62)</w:t>
            </w:r>
          </w:p>
        </w:tc>
      </w:tr>
      <w:tr w:rsidR="00855442" w:rsidRPr="00855442" w14:paraId="7527ECB8" w14:textId="77777777" w:rsidTr="00410A3E">
        <w:trPr>
          <w:trHeight w:val="25"/>
        </w:trPr>
        <w:tc>
          <w:tcPr>
            <w:tcW w:w="3213" w:type="dxa"/>
            <w:vAlign w:val="center"/>
          </w:tcPr>
          <w:p w14:paraId="42D47438" w14:textId="77777777" w:rsidR="00855442" w:rsidRPr="00855442" w:rsidRDefault="00855442" w:rsidP="00410A3E">
            <w:pPr>
              <w:rPr>
                <w:rFonts w:ascii="Calibri" w:eastAsia="Times New Roman" w:hAnsi="Calibri" w:cs="Arial"/>
                <w:b/>
                <w:bCs/>
                <w:sz w:val="18"/>
                <w:szCs w:val="18"/>
              </w:rPr>
            </w:pPr>
            <w:r w:rsidRPr="00855442">
              <w:rPr>
                <w:rFonts w:ascii="Calibri" w:eastAsia="Times New Roman" w:hAnsi="Calibri" w:cs="Times New Roman"/>
                <w:sz w:val="20"/>
                <w:szCs w:val="20"/>
              </w:rPr>
              <w:t>(IIIa) Lowering TC/HDL-C</w:t>
            </w:r>
          </w:p>
        </w:tc>
        <w:tc>
          <w:tcPr>
            <w:tcW w:w="3184" w:type="dxa"/>
            <w:vAlign w:val="center"/>
          </w:tcPr>
          <w:p w14:paraId="6963A276" w14:textId="2F673E45" w:rsidR="00855442" w:rsidRPr="00855442" w:rsidRDefault="00855442" w:rsidP="00855442">
            <w:pPr>
              <w:jc w:val="center"/>
              <w:rPr>
                <w:rFonts w:eastAsia="Times New Roman" w:cs="Arial"/>
                <w:sz w:val="20"/>
                <w:szCs w:val="20"/>
              </w:rPr>
            </w:pPr>
            <w:r w:rsidRPr="00855442">
              <w:rPr>
                <w:rFonts w:eastAsia="Times New Roman" w:cs="Arial"/>
                <w:sz w:val="20"/>
                <w:szCs w:val="20"/>
              </w:rPr>
              <w:t>0.9</w:t>
            </w:r>
            <w:r w:rsidR="00FC05A3">
              <w:rPr>
                <w:rFonts w:eastAsia="Times New Roman" w:cs="Arial"/>
                <w:sz w:val="20"/>
                <w:szCs w:val="20"/>
              </w:rPr>
              <w:t>2</w:t>
            </w:r>
            <w:r w:rsidRPr="00855442">
              <w:rPr>
                <w:rFonts w:eastAsia="Times New Roman" w:cs="Arial"/>
                <w:sz w:val="20"/>
                <w:szCs w:val="20"/>
              </w:rPr>
              <w:t xml:space="preserve"> (0.</w:t>
            </w:r>
            <w:r w:rsidR="00FC05A3">
              <w:rPr>
                <w:rFonts w:eastAsia="Times New Roman" w:cs="Arial"/>
                <w:sz w:val="20"/>
                <w:szCs w:val="20"/>
              </w:rPr>
              <w:t>60</w:t>
            </w:r>
            <w:r w:rsidRPr="00855442">
              <w:rPr>
                <w:rFonts w:eastAsia="Times New Roman" w:cs="Arial"/>
                <w:sz w:val="20"/>
                <w:szCs w:val="20"/>
              </w:rPr>
              <w:t>–1.</w:t>
            </w:r>
            <w:r w:rsidR="00FC05A3">
              <w:rPr>
                <w:rFonts w:eastAsia="Times New Roman" w:cs="Arial"/>
                <w:sz w:val="20"/>
                <w:szCs w:val="20"/>
              </w:rPr>
              <w:t>2</w:t>
            </w:r>
            <w:r w:rsidRPr="00855442">
              <w:rPr>
                <w:rFonts w:eastAsia="Times New Roman" w:cs="Arial"/>
                <w:sz w:val="20"/>
                <w:szCs w:val="20"/>
              </w:rPr>
              <w:t>4)</w:t>
            </w:r>
          </w:p>
        </w:tc>
        <w:tc>
          <w:tcPr>
            <w:tcW w:w="2576" w:type="dxa"/>
            <w:vAlign w:val="center"/>
          </w:tcPr>
          <w:p w14:paraId="2E5C81BA" w14:textId="47515F94" w:rsidR="00855442" w:rsidRPr="00855442" w:rsidRDefault="008155F5" w:rsidP="00855442">
            <w:pPr>
              <w:jc w:val="center"/>
              <w:rPr>
                <w:rFonts w:eastAsia="Times New Roman" w:cs="Arial"/>
                <w:sz w:val="20"/>
                <w:szCs w:val="20"/>
              </w:rPr>
            </w:pPr>
            <w:r>
              <w:rPr>
                <w:rFonts w:eastAsia="Times New Roman" w:cs="Arial"/>
                <w:sz w:val="20"/>
                <w:szCs w:val="20"/>
              </w:rPr>
              <w:t>0.95</w:t>
            </w:r>
            <w:r w:rsidR="00855442" w:rsidRPr="00855442">
              <w:rPr>
                <w:rFonts w:eastAsia="Times New Roman" w:cs="Arial"/>
                <w:sz w:val="20"/>
                <w:szCs w:val="20"/>
              </w:rPr>
              <w:t xml:space="preserve"> (0.</w:t>
            </w:r>
            <w:r>
              <w:rPr>
                <w:rFonts w:eastAsia="Times New Roman" w:cs="Arial"/>
                <w:sz w:val="20"/>
                <w:szCs w:val="20"/>
              </w:rPr>
              <w:t>53</w:t>
            </w:r>
            <w:r w:rsidR="00855442" w:rsidRPr="00855442">
              <w:rPr>
                <w:rFonts w:eastAsia="Times New Roman" w:cs="Arial"/>
                <w:sz w:val="20"/>
                <w:szCs w:val="20"/>
              </w:rPr>
              <w:t>–1.</w:t>
            </w:r>
            <w:r>
              <w:rPr>
                <w:rFonts w:eastAsia="Times New Roman" w:cs="Arial"/>
                <w:sz w:val="20"/>
                <w:szCs w:val="20"/>
              </w:rPr>
              <w:t>36</w:t>
            </w:r>
            <w:r w:rsidR="00855442" w:rsidRPr="00855442">
              <w:rPr>
                <w:rFonts w:eastAsia="Times New Roman" w:cs="Arial"/>
                <w:sz w:val="20"/>
                <w:szCs w:val="20"/>
              </w:rPr>
              <w:t>)</w:t>
            </w:r>
          </w:p>
        </w:tc>
      </w:tr>
      <w:tr w:rsidR="00855442" w:rsidRPr="00855442" w14:paraId="4C9E31C3" w14:textId="77777777" w:rsidTr="00410A3E">
        <w:trPr>
          <w:trHeight w:val="25"/>
        </w:trPr>
        <w:tc>
          <w:tcPr>
            <w:tcW w:w="3213" w:type="dxa"/>
            <w:vAlign w:val="center"/>
          </w:tcPr>
          <w:p w14:paraId="17B14515" w14:textId="77777777" w:rsidR="00855442" w:rsidRPr="00855442" w:rsidRDefault="00855442" w:rsidP="00410A3E">
            <w:pPr>
              <w:rPr>
                <w:rFonts w:ascii="Calibri" w:eastAsia="Times New Roman" w:hAnsi="Calibri" w:cs="Arial"/>
                <w:b/>
                <w:bCs/>
                <w:sz w:val="18"/>
                <w:szCs w:val="18"/>
              </w:rPr>
            </w:pPr>
            <w:r w:rsidRPr="00855442">
              <w:rPr>
                <w:rFonts w:eastAsia="Times New Roman" w:cstheme="minorHAnsi"/>
                <w:bCs/>
                <w:color w:val="000000" w:themeColor="text1"/>
                <w:sz w:val="20"/>
                <w:szCs w:val="20"/>
              </w:rPr>
              <w:t>(</w:t>
            </w:r>
            <w:proofErr w:type="spellStart"/>
            <w:r w:rsidRPr="00855442">
              <w:rPr>
                <w:rFonts w:eastAsia="Times New Roman" w:cstheme="minorHAnsi"/>
                <w:bCs/>
                <w:color w:val="000000" w:themeColor="text1"/>
                <w:sz w:val="20"/>
                <w:szCs w:val="20"/>
              </w:rPr>
              <w:t>IIIb</w:t>
            </w:r>
            <w:proofErr w:type="spellEnd"/>
            <w:r w:rsidRPr="00855442">
              <w:rPr>
                <w:rFonts w:eastAsia="Times New Roman" w:cstheme="minorHAnsi"/>
                <w:bCs/>
                <w:color w:val="000000" w:themeColor="text1"/>
                <w:sz w:val="20"/>
                <w:szCs w:val="20"/>
              </w:rPr>
              <w:t>) Lipid lowering medication</w:t>
            </w:r>
          </w:p>
        </w:tc>
        <w:tc>
          <w:tcPr>
            <w:tcW w:w="3184" w:type="dxa"/>
            <w:vAlign w:val="center"/>
          </w:tcPr>
          <w:p w14:paraId="2F304FA6" w14:textId="6EE45B40" w:rsidR="00855442" w:rsidRPr="00855442" w:rsidRDefault="00855442" w:rsidP="00855442">
            <w:pPr>
              <w:jc w:val="center"/>
              <w:rPr>
                <w:rFonts w:eastAsia="Times New Roman" w:cs="Arial"/>
                <w:sz w:val="20"/>
                <w:szCs w:val="20"/>
              </w:rPr>
            </w:pPr>
            <w:r w:rsidRPr="00855442">
              <w:rPr>
                <w:rFonts w:eastAsia="Times New Roman" w:cs="Times New Roman"/>
                <w:sz w:val="20"/>
                <w:szCs w:val="20"/>
              </w:rPr>
              <w:t>1.</w:t>
            </w:r>
            <w:r w:rsidR="00FC05A3">
              <w:rPr>
                <w:rFonts w:eastAsia="Times New Roman" w:cs="Times New Roman"/>
                <w:sz w:val="20"/>
                <w:szCs w:val="20"/>
              </w:rPr>
              <w:t>17</w:t>
            </w:r>
            <w:r w:rsidRPr="00855442">
              <w:rPr>
                <w:rFonts w:eastAsia="Times New Roman" w:cs="Times New Roman"/>
                <w:sz w:val="20"/>
                <w:szCs w:val="20"/>
              </w:rPr>
              <w:t xml:space="preserve"> </w:t>
            </w:r>
            <w:r w:rsidRPr="00855442">
              <w:rPr>
                <w:rFonts w:ascii="Calibri" w:eastAsia="Times New Roman" w:hAnsi="Calibri" w:cs="Arial"/>
                <w:sz w:val="20"/>
                <w:szCs w:val="20"/>
              </w:rPr>
              <w:t>(0.</w:t>
            </w:r>
            <w:r w:rsidR="00FC05A3">
              <w:rPr>
                <w:rFonts w:ascii="Calibri" w:eastAsia="Times New Roman" w:hAnsi="Calibri" w:cs="Arial"/>
                <w:sz w:val="20"/>
                <w:szCs w:val="20"/>
              </w:rPr>
              <w:t>72</w:t>
            </w:r>
            <w:r w:rsidRPr="00855442">
              <w:rPr>
                <w:rFonts w:ascii="Calibri" w:eastAsia="Times New Roman" w:hAnsi="Calibri" w:cs="Arial"/>
                <w:sz w:val="20"/>
                <w:szCs w:val="20"/>
              </w:rPr>
              <w:t>–1.</w:t>
            </w:r>
            <w:r w:rsidR="00FC05A3">
              <w:rPr>
                <w:rFonts w:ascii="Calibri" w:eastAsia="Times New Roman" w:hAnsi="Calibri" w:cs="Arial"/>
                <w:sz w:val="20"/>
                <w:szCs w:val="20"/>
              </w:rPr>
              <w:t>62</w:t>
            </w:r>
            <w:r w:rsidRPr="00855442">
              <w:rPr>
                <w:rFonts w:ascii="Calibri" w:eastAsia="Times New Roman" w:hAnsi="Calibri" w:cs="Arial"/>
                <w:sz w:val="20"/>
                <w:szCs w:val="20"/>
              </w:rPr>
              <w:t>)</w:t>
            </w:r>
          </w:p>
        </w:tc>
        <w:tc>
          <w:tcPr>
            <w:tcW w:w="2576" w:type="dxa"/>
            <w:vAlign w:val="center"/>
          </w:tcPr>
          <w:p w14:paraId="6B6C67D2" w14:textId="43F50F57" w:rsidR="00855442" w:rsidRPr="00855442" w:rsidRDefault="00855442" w:rsidP="00855442">
            <w:pPr>
              <w:jc w:val="center"/>
              <w:rPr>
                <w:rFonts w:eastAsia="Times New Roman" w:cs="Arial"/>
                <w:sz w:val="20"/>
                <w:szCs w:val="20"/>
              </w:rPr>
            </w:pPr>
            <w:r w:rsidRPr="00855442">
              <w:rPr>
                <w:rFonts w:eastAsia="Times New Roman" w:cs="Times New Roman"/>
                <w:sz w:val="20"/>
                <w:szCs w:val="20"/>
              </w:rPr>
              <w:t>1.</w:t>
            </w:r>
            <w:r w:rsidR="00FC05A3">
              <w:rPr>
                <w:rFonts w:eastAsia="Times New Roman" w:cs="Times New Roman"/>
                <w:sz w:val="20"/>
                <w:szCs w:val="20"/>
              </w:rPr>
              <w:t>13</w:t>
            </w:r>
            <w:r w:rsidRPr="00855442">
              <w:rPr>
                <w:rFonts w:eastAsia="Times New Roman" w:cs="Times New Roman"/>
                <w:sz w:val="20"/>
                <w:szCs w:val="20"/>
              </w:rPr>
              <w:t xml:space="preserve"> (0.</w:t>
            </w:r>
            <w:r w:rsidR="00FC05A3">
              <w:rPr>
                <w:rFonts w:eastAsia="Times New Roman" w:cs="Times New Roman"/>
                <w:sz w:val="20"/>
                <w:szCs w:val="20"/>
              </w:rPr>
              <w:t>61</w:t>
            </w:r>
            <w:r w:rsidRPr="00855442">
              <w:rPr>
                <w:rFonts w:eastAsia="Times New Roman" w:cs="Times New Roman"/>
                <w:sz w:val="20"/>
                <w:szCs w:val="20"/>
              </w:rPr>
              <w:t>–1.</w:t>
            </w:r>
            <w:r w:rsidR="00FC05A3">
              <w:rPr>
                <w:rFonts w:eastAsia="Times New Roman" w:cs="Times New Roman"/>
                <w:sz w:val="20"/>
                <w:szCs w:val="20"/>
              </w:rPr>
              <w:t>65</w:t>
            </w:r>
            <w:r w:rsidRPr="00855442">
              <w:rPr>
                <w:rFonts w:eastAsia="Times New Roman" w:cs="Times New Roman"/>
                <w:sz w:val="20"/>
                <w:szCs w:val="20"/>
              </w:rPr>
              <w:t>)</w:t>
            </w:r>
          </w:p>
        </w:tc>
      </w:tr>
    </w:tbl>
    <w:p w14:paraId="6BE7E6CB" w14:textId="77777777" w:rsidR="00855442" w:rsidRPr="00855442" w:rsidRDefault="00855442" w:rsidP="00855442">
      <w:pPr>
        <w:rPr>
          <w:rFonts w:ascii="Times New Roman" w:eastAsia="Times New Roman" w:hAnsi="Times New Roman" w:cs="Times New Roman"/>
        </w:rPr>
      </w:pPr>
    </w:p>
    <w:p w14:paraId="3A8DFB99" w14:textId="77777777" w:rsidR="00855442" w:rsidRPr="00855442" w:rsidRDefault="00855442" w:rsidP="00855442">
      <w:pPr>
        <w:rPr>
          <w:rFonts w:ascii="Times New Roman" w:eastAsia="Times New Roman" w:hAnsi="Times New Roman" w:cs="Times New Roman"/>
        </w:rPr>
      </w:pPr>
    </w:p>
    <w:p w14:paraId="334ECB20" w14:textId="77777777" w:rsidR="004F39B4" w:rsidRDefault="004F39B4" w:rsidP="004F39B4"/>
    <w:p w14:paraId="3F85EC6B" w14:textId="0DDB976D" w:rsidR="004F39B4" w:rsidRPr="003F7AF4" w:rsidRDefault="00F659CB" w:rsidP="005F58EC">
      <w:pPr>
        <w:pStyle w:val="Caption"/>
        <w:rPr>
          <w:rFonts w:eastAsiaTheme="majorEastAsia"/>
        </w:rPr>
      </w:pPr>
      <w:r>
        <w:t xml:space="preserve"> </w:t>
      </w:r>
      <w:r w:rsidR="004F39B4" w:rsidRPr="003F7AF4">
        <w:rPr>
          <w:rFonts w:eastAsiaTheme="majorEastAsia"/>
        </w:rPr>
        <w:t xml:space="preserve"> </w:t>
      </w:r>
    </w:p>
    <w:p w14:paraId="4CFC37D7" w14:textId="7037008D" w:rsidR="00E26786" w:rsidRDefault="00967799" w:rsidP="00967799">
      <w:pPr>
        <w:pStyle w:val="Caption"/>
      </w:pPr>
      <w:r w:rsidRPr="00647011">
        <w:t xml:space="preserve">Table </w:t>
      </w:r>
      <w:r>
        <w:t>E</w:t>
      </w:r>
      <w:r w:rsidR="00B153D2">
        <w:t>3</w:t>
      </w:r>
      <w:r w:rsidR="001D0885">
        <w:t>:</w:t>
      </w:r>
      <w:r w:rsidR="001D0885" w:rsidRPr="001D0885">
        <w:t xml:space="preserve"> </w:t>
      </w:r>
      <w:r w:rsidR="00177181">
        <w:t>A</w:t>
      </w:r>
      <w:r w:rsidR="001D0885" w:rsidRPr="001D0885">
        <w:t xml:space="preserve">bsolute risk </w:t>
      </w:r>
      <w:r w:rsidR="005630AB">
        <w:t>change</w:t>
      </w:r>
      <w:r w:rsidR="001C011C">
        <w:t>s</w:t>
      </w:r>
      <w:r w:rsidR="001D0885" w:rsidRPr="001D0885">
        <w:t xml:space="preserve"> (</w:t>
      </w:r>
      <w:r w:rsidR="002664AC" w:rsidRPr="001D0885">
        <w:t>AR</w:t>
      </w:r>
      <w:r w:rsidR="002664AC">
        <w:t>C</w:t>
      </w:r>
      <w:r w:rsidR="001D0885" w:rsidRPr="001D0885">
        <w:t>): median and lower and upper quartiles (LQ, UQ) across the target population, estimated from different approaches.</w:t>
      </w:r>
      <w:r w:rsidR="00177181">
        <w:t xml:space="preserve"> AR</w:t>
      </w:r>
      <w:r w:rsidR="002664AC">
        <w:t>C</w:t>
      </w:r>
      <w:r w:rsidR="00177181">
        <w:t xml:space="preserve"> = </w:t>
      </w:r>
      <w:r w:rsidR="004D6389">
        <w:t>risk</w:t>
      </w:r>
      <w:r w:rsidR="00177181">
        <w:t xml:space="preserve"> </w:t>
      </w:r>
      <w:r w:rsidR="004D6389">
        <w:t>without intervention</w:t>
      </w:r>
      <w:r w:rsidR="00177181">
        <w:t xml:space="preserve"> – risk under intervention</w:t>
      </w:r>
      <w:r w:rsidR="00CC1303">
        <w:t>.</w:t>
      </w:r>
      <w:r w:rsidRPr="00647011">
        <w:t xml:space="preserve"> </w:t>
      </w:r>
    </w:p>
    <w:p w14:paraId="2BC3FDF0" w14:textId="445A59E9" w:rsidR="00967799" w:rsidRPr="00C85C2C" w:rsidRDefault="00967799" w:rsidP="00967799">
      <w:pPr>
        <w:pStyle w:val="Caption"/>
      </w:pPr>
      <w:r w:rsidRPr="00647011">
        <w:t>*Intermediate model:</w:t>
      </w:r>
      <w:r>
        <w:t xml:space="preserve"> </w:t>
      </w:r>
      <w:r w:rsidR="00D5481E" w:rsidRPr="00D5481E">
        <w:t>using the same confounder set as in baseline only model (see Methods)</w:t>
      </w:r>
      <w:r w:rsidR="00D5481E">
        <w:t>.</w:t>
      </w:r>
      <w:r>
        <w:t xml:space="preserve"> </w:t>
      </w:r>
    </w:p>
    <w:tbl>
      <w:tblPr>
        <w:tblStyle w:val="TableGrid"/>
        <w:tblpPr w:leftFromText="180" w:rightFromText="180" w:vertAnchor="text" w:horzAnchor="margin" w:tblpY="20"/>
        <w:tblW w:w="9493" w:type="dxa"/>
        <w:tblLook w:val="04A0" w:firstRow="1" w:lastRow="0" w:firstColumn="1" w:lastColumn="0" w:noHBand="0" w:noVBand="1"/>
      </w:tblPr>
      <w:tblGrid>
        <w:gridCol w:w="1838"/>
        <w:gridCol w:w="1501"/>
        <w:gridCol w:w="1565"/>
        <w:gridCol w:w="1430"/>
        <w:gridCol w:w="1458"/>
        <w:gridCol w:w="1701"/>
      </w:tblGrid>
      <w:tr w:rsidR="00967799" w:rsidRPr="00463E99" w14:paraId="67A64968" w14:textId="77777777" w:rsidTr="00410A3E">
        <w:trPr>
          <w:trHeight w:val="693"/>
        </w:trPr>
        <w:tc>
          <w:tcPr>
            <w:tcW w:w="1838" w:type="dxa"/>
            <w:vMerge w:val="restart"/>
            <w:vAlign w:val="center"/>
            <w:hideMark/>
          </w:tcPr>
          <w:p w14:paraId="18F1A7AC" w14:textId="77777777" w:rsidR="00967799" w:rsidRPr="00FB2B20" w:rsidRDefault="00967799" w:rsidP="00410A3E">
            <w:pPr>
              <w:rPr>
                <w:rFonts w:ascii="Calibri" w:hAnsi="Calibri" w:cs="Arial"/>
                <w:sz w:val="20"/>
                <w:szCs w:val="20"/>
              </w:rPr>
            </w:pPr>
          </w:p>
        </w:tc>
        <w:tc>
          <w:tcPr>
            <w:tcW w:w="1501" w:type="dxa"/>
            <w:vMerge w:val="restart"/>
            <w:vAlign w:val="center"/>
            <w:hideMark/>
          </w:tcPr>
          <w:p w14:paraId="09BA2FE7" w14:textId="108C6722" w:rsidR="00967799" w:rsidRPr="00CD70E8" w:rsidRDefault="00995BAF" w:rsidP="00C84E39">
            <w:pPr>
              <w:jc w:val="center"/>
              <w:rPr>
                <w:rFonts w:ascii="Calibri" w:hAnsi="Calibri" w:cs="Arial"/>
                <w:sz w:val="20"/>
                <w:szCs w:val="20"/>
              </w:rPr>
            </w:pPr>
            <w:r>
              <w:rPr>
                <w:rFonts w:eastAsia="SimSun" w:cs="Arial"/>
                <w:color w:val="222222"/>
                <w:sz w:val="20"/>
                <w:szCs w:val="20"/>
              </w:rPr>
              <w:t>N</w:t>
            </w:r>
            <w:r w:rsidRPr="00AC6DDC">
              <w:rPr>
                <w:rFonts w:eastAsia="SimSun" w:cs="Arial"/>
                <w:color w:val="222222"/>
                <w:sz w:val="20"/>
                <w:szCs w:val="20"/>
              </w:rPr>
              <w:t>on-causal approach using refitted PREDICT</w:t>
            </w:r>
            <w:r w:rsidR="00967799">
              <w:rPr>
                <w:rFonts w:eastAsia="SimSun" w:cs="Arial"/>
                <w:color w:val="222222"/>
                <w:sz w:val="20"/>
                <w:szCs w:val="20"/>
              </w:rPr>
              <w:t>:</w:t>
            </w:r>
          </w:p>
          <w:p w14:paraId="46CC7028" w14:textId="4ED0F0F7" w:rsidR="00967799" w:rsidRPr="00FB2B20" w:rsidRDefault="00967799" w:rsidP="00C84E39">
            <w:pPr>
              <w:jc w:val="center"/>
              <w:rPr>
                <w:rFonts w:ascii="Calibri" w:hAnsi="Calibri" w:cs="Arial"/>
                <w:sz w:val="20"/>
                <w:szCs w:val="20"/>
              </w:rPr>
            </w:pPr>
            <w:r>
              <w:rPr>
                <w:rFonts w:ascii="Calibri" w:hAnsi="Calibri" w:cs="Arial"/>
                <w:sz w:val="20"/>
                <w:szCs w:val="20"/>
              </w:rPr>
              <w:t xml:space="preserve">ARR </w:t>
            </w:r>
            <w:r w:rsidR="001D0885">
              <w:rPr>
                <w:rFonts w:ascii="Calibri" w:hAnsi="Calibri" w:cs="Arial"/>
                <w:sz w:val="20"/>
                <w:szCs w:val="20"/>
              </w:rPr>
              <w:t xml:space="preserve">median </w:t>
            </w:r>
            <w:r>
              <w:rPr>
                <w:rFonts w:ascii="Calibri" w:hAnsi="Calibri" w:cs="Arial"/>
                <w:sz w:val="20"/>
                <w:szCs w:val="20"/>
              </w:rPr>
              <w:t>(</w:t>
            </w:r>
            <w:r w:rsidR="001D0885">
              <w:rPr>
                <w:rFonts w:ascii="Calibri" w:hAnsi="Calibri" w:cs="Arial"/>
                <w:sz w:val="20"/>
                <w:szCs w:val="20"/>
              </w:rPr>
              <w:t>LQ, UQ</w:t>
            </w:r>
            <w:r>
              <w:rPr>
                <w:rFonts w:ascii="Calibri" w:hAnsi="Calibri" w:cs="Arial"/>
                <w:sz w:val="20"/>
                <w:szCs w:val="20"/>
              </w:rPr>
              <w:t>)</w:t>
            </w:r>
          </w:p>
        </w:tc>
        <w:tc>
          <w:tcPr>
            <w:tcW w:w="4453" w:type="dxa"/>
            <w:gridSpan w:val="3"/>
            <w:vAlign w:val="center"/>
            <w:hideMark/>
          </w:tcPr>
          <w:p w14:paraId="2BF79410" w14:textId="40B91A75" w:rsidR="00967799" w:rsidRPr="00FB2B20" w:rsidRDefault="00967799" w:rsidP="00C84E39">
            <w:pPr>
              <w:jc w:val="center"/>
              <w:rPr>
                <w:rFonts w:ascii="Calibri" w:hAnsi="Calibri" w:cs="Arial"/>
                <w:sz w:val="20"/>
                <w:szCs w:val="20"/>
              </w:rPr>
            </w:pPr>
            <w:r w:rsidRPr="00FB2B20">
              <w:rPr>
                <w:rFonts w:ascii="Calibri" w:hAnsi="Calibri" w:cs="Arial"/>
                <w:bCs/>
                <w:sz w:val="20"/>
                <w:szCs w:val="20"/>
              </w:rPr>
              <w:t>IPW</w:t>
            </w:r>
            <w:r>
              <w:rPr>
                <w:rFonts w:ascii="Calibri" w:hAnsi="Calibri" w:cs="Arial" w:hint="eastAsia"/>
                <w:bCs/>
                <w:sz w:val="20"/>
                <w:szCs w:val="20"/>
              </w:rPr>
              <w:t>:</w:t>
            </w:r>
            <w:r w:rsidRPr="00FB2B20">
              <w:rPr>
                <w:rFonts w:ascii="Calibri" w:hAnsi="Calibri" w:cs="Arial"/>
                <w:bCs/>
                <w:sz w:val="20"/>
                <w:szCs w:val="20"/>
              </w:rPr>
              <w:t xml:space="preserve"> </w:t>
            </w:r>
            <w:r>
              <w:rPr>
                <w:rFonts w:ascii="Calibri" w:hAnsi="Calibri" w:cs="Arial"/>
                <w:sz w:val="20"/>
                <w:szCs w:val="20"/>
              </w:rPr>
              <w:t xml:space="preserve"> </w:t>
            </w:r>
            <w:r w:rsidR="001D0885">
              <w:rPr>
                <w:rFonts w:ascii="Calibri" w:hAnsi="Calibri" w:cs="Arial"/>
                <w:sz w:val="20"/>
                <w:szCs w:val="20"/>
              </w:rPr>
              <w:t xml:space="preserve"> ARR median (LQ, UQ)</w:t>
            </w:r>
          </w:p>
        </w:tc>
        <w:tc>
          <w:tcPr>
            <w:tcW w:w="1701" w:type="dxa"/>
            <w:vMerge w:val="restart"/>
            <w:vAlign w:val="center"/>
          </w:tcPr>
          <w:p w14:paraId="53F7E202" w14:textId="6B007253" w:rsidR="00967799" w:rsidRPr="00FB2B20" w:rsidRDefault="009053D9" w:rsidP="00C84E39">
            <w:pPr>
              <w:jc w:val="center"/>
              <w:rPr>
                <w:rFonts w:ascii="Calibri" w:hAnsi="Calibri" w:cs="Arial"/>
                <w:sz w:val="20"/>
                <w:szCs w:val="20"/>
              </w:rPr>
            </w:pPr>
            <w:r>
              <w:rPr>
                <w:rFonts w:ascii="Calibri" w:hAnsi="Calibri" w:cs="Arial"/>
                <w:bCs/>
                <w:sz w:val="20"/>
                <w:szCs w:val="20"/>
              </w:rPr>
              <w:t xml:space="preserve">Effects </w:t>
            </w:r>
            <w:r w:rsidR="00967799">
              <w:rPr>
                <w:rFonts w:ascii="Calibri" w:hAnsi="Calibri" w:cs="Arial"/>
                <w:bCs/>
                <w:sz w:val="20"/>
                <w:szCs w:val="20"/>
              </w:rPr>
              <w:t xml:space="preserve">from external </w:t>
            </w:r>
            <w:r w:rsidR="00967799" w:rsidRPr="00FB2B20">
              <w:rPr>
                <w:rFonts w:ascii="Calibri" w:hAnsi="Calibri" w:cs="Arial"/>
                <w:bCs/>
                <w:sz w:val="20"/>
                <w:szCs w:val="20"/>
              </w:rPr>
              <w:t>sources</w:t>
            </w:r>
            <w:r w:rsidR="00F57786">
              <w:rPr>
                <w:rFonts w:ascii="Calibri" w:hAnsi="Calibri" w:cs="Arial"/>
                <w:bCs/>
                <w:sz w:val="20"/>
                <w:szCs w:val="20"/>
              </w:rPr>
              <w:t>:</w:t>
            </w:r>
            <w:r w:rsidR="00F57786">
              <w:rPr>
                <w:rFonts w:ascii="Calibri" w:hAnsi="Calibri" w:cs="Arial"/>
                <w:sz w:val="20"/>
                <w:szCs w:val="20"/>
              </w:rPr>
              <w:t xml:space="preserve"> ARR median (LQ, UQ)</w:t>
            </w:r>
          </w:p>
        </w:tc>
      </w:tr>
      <w:tr w:rsidR="00967799" w:rsidRPr="00463E99" w14:paraId="35B708D6" w14:textId="77777777" w:rsidTr="00410A3E">
        <w:trPr>
          <w:trHeight w:val="247"/>
        </w:trPr>
        <w:tc>
          <w:tcPr>
            <w:tcW w:w="1838" w:type="dxa"/>
            <w:vMerge/>
            <w:vAlign w:val="center"/>
            <w:hideMark/>
          </w:tcPr>
          <w:p w14:paraId="715AFD16" w14:textId="77777777" w:rsidR="00967799" w:rsidRPr="00FB2B20" w:rsidRDefault="00967799" w:rsidP="00410A3E">
            <w:pPr>
              <w:rPr>
                <w:rFonts w:ascii="Calibri" w:hAnsi="Calibri" w:cs="Arial"/>
                <w:sz w:val="20"/>
                <w:szCs w:val="20"/>
              </w:rPr>
            </w:pPr>
          </w:p>
        </w:tc>
        <w:tc>
          <w:tcPr>
            <w:tcW w:w="1501" w:type="dxa"/>
            <w:vMerge/>
            <w:vAlign w:val="center"/>
            <w:hideMark/>
          </w:tcPr>
          <w:p w14:paraId="4AAC1AD2" w14:textId="77777777" w:rsidR="00967799" w:rsidRPr="00FB2B20" w:rsidRDefault="00967799" w:rsidP="00C84E39">
            <w:pPr>
              <w:jc w:val="center"/>
              <w:rPr>
                <w:rFonts w:ascii="Calibri" w:hAnsi="Calibri" w:cs="Arial"/>
                <w:sz w:val="20"/>
                <w:szCs w:val="20"/>
              </w:rPr>
            </w:pPr>
          </w:p>
        </w:tc>
        <w:tc>
          <w:tcPr>
            <w:tcW w:w="1565" w:type="dxa"/>
            <w:vMerge w:val="restart"/>
            <w:vAlign w:val="center"/>
            <w:hideMark/>
          </w:tcPr>
          <w:p w14:paraId="478DBE6F" w14:textId="77777777" w:rsidR="00967799" w:rsidRPr="00FB2B20" w:rsidRDefault="00967799" w:rsidP="00C84E39">
            <w:pPr>
              <w:jc w:val="center"/>
              <w:rPr>
                <w:rFonts w:ascii="Calibri" w:hAnsi="Calibri" w:cs="Arial"/>
                <w:sz w:val="20"/>
                <w:szCs w:val="20"/>
              </w:rPr>
            </w:pPr>
            <w:r w:rsidRPr="00FB2B20">
              <w:rPr>
                <w:rFonts w:ascii="Calibri" w:hAnsi="Calibri" w:cs="Arial"/>
                <w:sz w:val="20"/>
                <w:szCs w:val="20"/>
              </w:rPr>
              <w:t>With baseline data only</w:t>
            </w:r>
          </w:p>
        </w:tc>
        <w:tc>
          <w:tcPr>
            <w:tcW w:w="2888" w:type="dxa"/>
            <w:gridSpan w:val="2"/>
            <w:vAlign w:val="center"/>
            <w:hideMark/>
          </w:tcPr>
          <w:p w14:paraId="23CF817E" w14:textId="77777777" w:rsidR="00967799" w:rsidRPr="00FB2B20" w:rsidRDefault="00967799" w:rsidP="00C84E39">
            <w:pPr>
              <w:jc w:val="center"/>
              <w:rPr>
                <w:rFonts w:ascii="Calibri" w:hAnsi="Calibri" w:cs="Arial"/>
                <w:sz w:val="20"/>
                <w:szCs w:val="20"/>
              </w:rPr>
            </w:pPr>
            <w:r w:rsidRPr="00FB2B20">
              <w:rPr>
                <w:rFonts w:ascii="Calibri" w:hAnsi="Calibri" w:cs="Arial"/>
                <w:sz w:val="20"/>
                <w:szCs w:val="20"/>
              </w:rPr>
              <w:t>With post-baseline data</w:t>
            </w:r>
          </w:p>
        </w:tc>
        <w:tc>
          <w:tcPr>
            <w:tcW w:w="1701" w:type="dxa"/>
            <w:vMerge/>
            <w:vAlign w:val="center"/>
          </w:tcPr>
          <w:p w14:paraId="6AA77817" w14:textId="77777777" w:rsidR="00967799" w:rsidRPr="00FB2B20" w:rsidRDefault="00967799" w:rsidP="00C84E39">
            <w:pPr>
              <w:jc w:val="center"/>
              <w:rPr>
                <w:rFonts w:ascii="Calibri" w:hAnsi="Calibri" w:cs="Arial"/>
                <w:sz w:val="20"/>
                <w:szCs w:val="20"/>
              </w:rPr>
            </w:pPr>
          </w:p>
        </w:tc>
      </w:tr>
      <w:tr w:rsidR="00967799" w:rsidRPr="00463E99" w14:paraId="2E4DA30E" w14:textId="77777777" w:rsidTr="00410A3E">
        <w:trPr>
          <w:trHeight w:val="263"/>
        </w:trPr>
        <w:tc>
          <w:tcPr>
            <w:tcW w:w="1838" w:type="dxa"/>
            <w:vMerge/>
            <w:vAlign w:val="center"/>
            <w:hideMark/>
          </w:tcPr>
          <w:p w14:paraId="49DAC498" w14:textId="77777777" w:rsidR="00967799" w:rsidRPr="00FB2B20" w:rsidRDefault="00967799" w:rsidP="00410A3E">
            <w:pPr>
              <w:rPr>
                <w:rFonts w:ascii="Calibri" w:hAnsi="Calibri" w:cs="Arial"/>
                <w:sz w:val="20"/>
                <w:szCs w:val="20"/>
              </w:rPr>
            </w:pPr>
          </w:p>
        </w:tc>
        <w:tc>
          <w:tcPr>
            <w:tcW w:w="1501" w:type="dxa"/>
            <w:vMerge/>
            <w:vAlign w:val="center"/>
            <w:hideMark/>
          </w:tcPr>
          <w:p w14:paraId="68B4E6AA" w14:textId="77777777" w:rsidR="00967799" w:rsidRPr="00FB2B20" w:rsidRDefault="00967799" w:rsidP="00C84E39">
            <w:pPr>
              <w:jc w:val="center"/>
              <w:rPr>
                <w:rFonts w:ascii="Calibri" w:hAnsi="Calibri" w:cs="Arial"/>
                <w:sz w:val="20"/>
                <w:szCs w:val="20"/>
              </w:rPr>
            </w:pPr>
          </w:p>
        </w:tc>
        <w:tc>
          <w:tcPr>
            <w:tcW w:w="1565" w:type="dxa"/>
            <w:vMerge/>
            <w:vAlign w:val="center"/>
            <w:hideMark/>
          </w:tcPr>
          <w:p w14:paraId="7F01F3BA" w14:textId="77777777" w:rsidR="00967799" w:rsidRPr="00FB2B20" w:rsidRDefault="00967799" w:rsidP="00C84E39">
            <w:pPr>
              <w:jc w:val="center"/>
              <w:rPr>
                <w:rFonts w:ascii="Calibri" w:hAnsi="Calibri" w:cs="Arial"/>
                <w:sz w:val="20"/>
                <w:szCs w:val="20"/>
              </w:rPr>
            </w:pPr>
          </w:p>
        </w:tc>
        <w:tc>
          <w:tcPr>
            <w:tcW w:w="1430" w:type="dxa"/>
            <w:vAlign w:val="center"/>
            <w:hideMark/>
          </w:tcPr>
          <w:p w14:paraId="08F01CF6" w14:textId="77777777" w:rsidR="00967799" w:rsidRPr="00FB2B20" w:rsidRDefault="00967799" w:rsidP="00C84E39">
            <w:pPr>
              <w:jc w:val="center"/>
              <w:rPr>
                <w:rFonts w:ascii="Calibri" w:hAnsi="Calibri" w:cs="Arial"/>
                <w:sz w:val="20"/>
                <w:szCs w:val="20"/>
              </w:rPr>
            </w:pPr>
            <w:r w:rsidRPr="00FB2B20">
              <w:rPr>
                <w:rFonts w:ascii="Calibri" w:hAnsi="Calibri" w:cs="Arial"/>
                <w:sz w:val="20"/>
                <w:szCs w:val="20"/>
              </w:rPr>
              <w:t>Intermediate model</w:t>
            </w:r>
            <w:r w:rsidRPr="00FB2B20">
              <w:rPr>
                <w:rFonts w:ascii="Calibri" w:hAnsi="Calibri" w:cs="Arial"/>
                <w:sz w:val="20"/>
                <w:szCs w:val="20"/>
                <w:vertAlign w:val="superscript"/>
              </w:rPr>
              <w:t>*</w:t>
            </w:r>
          </w:p>
        </w:tc>
        <w:tc>
          <w:tcPr>
            <w:tcW w:w="1458" w:type="dxa"/>
            <w:vAlign w:val="center"/>
            <w:hideMark/>
          </w:tcPr>
          <w:p w14:paraId="7E93BC8A" w14:textId="77777777" w:rsidR="00967799" w:rsidRPr="00FB2B20" w:rsidRDefault="00967799" w:rsidP="00C84E39">
            <w:pPr>
              <w:jc w:val="center"/>
              <w:rPr>
                <w:rFonts w:ascii="Calibri" w:hAnsi="Calibri" w:cs="Arial"/>
                <w:sz w:val="20"/>
                <w:szCs w:val="20"/>
              </w:rPr>
            </w:pPr>
            <w:r w:rsidRPr="00FB2B20">
              <w:rPr>
                <w:rFonts w:ascii="Calibri" w:hAnsi="Calibri" w:cs="Arial"/>
                <w:sz w:val="20"/>
                <w:szCs w:val="20"/>
              </w:rPr>
              <w:t>Full model</w:t>
            </w:r>
          </w:p>
        </w:tc>
        <w:tc>
          <w:tcPr>
            <w:tcW w:w="1701" w:type="dxa"/>
            <w:vMerge/>
            <w:vAlign w:val="center"/>
            <w:hideMark/>
          </w:tcPr>
          <w:p w14:paraId="04B4FCA9" w14:textId="77777777" w:rsidR="00967799" w:rsidRPr="00FB2B20" w:rsidRDefault="00967799" w:rsidP="00C84E39">
            <w:pPr>
              <w:jc w:val="center"/>
              <w:rPr>
                <w:rFonts w:ascii="Calibri" w:hAnsi="Calibri" w:cs="Arial"/>
                <w:sz w:val="20"/>
                <w:szCs w:val="20"/>
              </w:rPr>
            </w:pPr>
          </w:p>
        </w:tc>
      </w:tr>
      <w:tr w:rsidR="00336520" w:rsidRPr="00463E99" w14:paraId="1C4719AA" w14:textId="77777777" w:rsidTr="00410A3E">
        <w:trPr>
          <w:trHeight w:val="296"/>
        </w:trPr>
        <w:tc>
          <w:tcPr>
            <w:tcW w:w="1838" w:type="dxa"/>
            <w:vAlign w:val="center"/>
            <w:hideMark/>
          </w:tcPr>
          <w:p w14:paraId="73752ABF" w14:textId="0B2ED45D" w:rsidR="00336520" w:rsidRPr="007A223F" w:rsidRDefault="00336520" w:rsidP="00410A3E">
            <w:pPr>
              <w:rPr>
                <w:rFonts w:cstheme="minorHAnsi"/>
                <w:sz w:val="18"/>
                <w:szCs w:val="18"/>
              </w:rPr>
            </w:pPr>
            <w:r>
              <w:rPr>
                <w:rFonts w:ascii="Calibri" w:hAnsi="Calibri"/>
                <w:bCs/>
                <w:sz w:val="20"/>
                <w:szCs w:val="20"/>
              </w:rPr>
              <w:t>(I)</w:t>
            </w:r>
            <w:r w:rsidRPr="000648B6">
              <w:rPr>
                <w:rFonts w:ascii="Calibri" w:hAnsi="Calibri"/>
                <w:bCs/>
                <w:sz w:val="20"/>
                <w:szCs w:val="20"/>
              </w:rPr>
              <w:t xml:space="preserve"> Smoking</w:t>
            </w:r>
            <w:r>
              <w:rPr>
                <w:rFonts w:ascii="Calibri" w:hAnsi="Calibri"/>
                <w:bCs/>
                <w:sz w:val="20"/>
                <w:szCs w:val="20"/>
              </w:rPr>
              <w:t xml:space="preserve"> cessation</w:t>
            </w:r>
          </w:p>
        </w:tc>
        <w:tc>
          <w:tcPr>
            <w:tcW w:w="1501" w:type="dxa"/>
            <w:vAlign w:val="bottom"/>
          </w:tcPr>
          <w:p w14:paraId="70F5D958" w14:textId="1E95B127" w:rsidR="00336520" w:rsidRPr="00410A3E" w:rsidRDefault="00336520" w:rsidP="00336520">
            <w:pPr>
              <w:jc w:val="center"/>
              <w:rPr>
                <w:rFonts w:cstheme="minorHAnsi"/>
                <w:sz w:val="20"/>
                <w:szCs w:val="20"/>
              </w:rPr>
            </w:pPr>
            <w:r w:rsidRPr="00410A3E">
              <w:rPr>
                <w:rFonts w:ascii="Calibri" w:hAnsi="Calibri"/>
                <w:color w:val="000000"/>
                <w:sz w:val="20"/>
                <w:szCs w:val="20"/>
              </w:rPr>
              <w:t>1.42% (0.85%</w:t>
            </w:r>
            <w:r w:rsidR="004A7BE1">
              <w:rPr>
                <w:rFonts w:ascii="Calibri" w:hAnsi="Calibri"/>
                <w:color w:val="000000"/>
                <w:sz w:val="20"/>
                <w:szCs w:val="20"/>
              </w:rPr>
              <w:t xml:space="preserve">, </w:t>
            </w:r>
            <w:r w:rsidRPr="00410A3E">
              <w:rPr>
                <w:rFonts w:ascii="Calibri" w:hAnsi="Calibri"/>
                <w:color w:val="000000"/>
                <w:sz w:val="20"/>
                <w:szCs w:val="20"/>
              </w:rPr>
              <w:t>2.56%)</w:t>
            </w:r>
          </w:p>
        </w:tc>
        <w:tc>
          <w:tcPr>
            <w:tcW w:w="1565" w:type="dxa"/>
            <w:vAlign w:val="bottom"/>
          </w:tcPr>
          <w:p w14:paraId="229FFDD5" w14:textId="6FB9F5F0"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1.44% (0.85%</w:t>
            </w:r>
            <w:r w:rsidR="004A7BE1">
              <w:rPr>
                <w:rFonts w:ascii="Calibri" w:hAnsi="Calibri"/>
                <w:color w:val="000000"/>
                <w:sz w:val="20"/>
                <w:szCs w:val="20"/>
              </w:rPr>
              <w:t xml:space="preserve">, </w:t>
            </w:r>
            <w:r w:rsidRPr="00410A3E">
              <w:rPr>
                <w:rFonts w:ascii="Calibri" w:hAnsi="Calibri"/>
                <w:color w:val="000000"/>
                <w:sz w:val="20"/>
                <w:szCs w:val="20"/>
              </w:rPr>
              <w:t>2.63%)</w:t>
            </w:r>
          </w:p>
        </w:tc>
        <w:tc>
          <w:tcPr>
            <w:tcW w:w="1430" w:type="dxa"/>
            <w:vAlign w:val="bottom"/>
          </w:tcPr>
          <w:p w14:paraId="6ED98767" w14:textId="4C1CF10C"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1.09% (0.64%, 1.99%)</w:t>
            </w:r>
          </w:p>
        </w:tc>
        <w:tc>
          <w:tcPr>
            <w:tcW w:w="1458" w:type="dxa"/>
            <w:vAlign w:val="bottom"/>
          </w:tcPr>
          <w:p w14:paraId="2A2C6F02" w14:textId="0D5832C1"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1.17% (0.69%, 2.13%)</w:t>
            </w:r>
          </w:p>
        </w:tc>
        <w:tc>
          <w:tcPr>
            <w:tcW w:w="1701" w:type="dxa"/>
            <w:vAlign w:val="bottom"/>
          </w:tcPr>
          <w:p w14:paraId="05AB6B7C" w14:textId="0B9FBDFB"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1.05% (0.62%, 1.92%)</w:t>
            </w:r>
          </w:p>
        </w:tc>
      </w:tr>
      <w:tr w:rsidR="00336520" w:rsidRPr="00463E99" w14:paraId="0D3788B9" w14:textId="77777777" w:rsidTr="00410A3E">
        <w:trPr>
          <w:trHeight w:val="329"/>
        </w:trPr>
        <w:tc>
          <w:tcPr>
            <w:tcW w:w="1838" w:type="dxa"/>
            <w:vAlign w:val="center"/>
            <w:hideMark/>
          </w:tcPr>
          <w:p w14:paraId="6EB04946" w14:textId="0A47EB94" w:rsidR="00336520" w:rsidRPr="007A223F" w:rsidRDefault="00336520" w:rsidP="00410A3E">
            <w:pPr>
              <w:rPr>
                <w:rFonts w:cstheme="minorHAnsi"/>
                <w:sz w:val="18"/>
                <w:szCs w:val="18"/>
              </w:rPr>
            </w:pPr>
            <w:r>
              <w:rPr>
                <w:rFonts w:ascii="Calibri" w:hAnsi="Calibri"/>
                <w:bCs/>
                <w:sz w:val="20"/>
                <w:szCs w:val="20"/>
              </w:rPr>
              <w:t>(</w:t>
            </w:r>
            <w:proofErr w:type="spellStart"/>
            <w:r>
              <w:rPr>
                <w:rFonts w:ascii="Calibri" w:hAnsi="Calibri"/>
                <w:bCs/>
                <w:sz w:val="20"/>
                <w:szCs w:val="20"/>
              </w:rPr>
              <w:t>IIa</w:t>
            </w:r>
            <w:proofErr w:type="spellEnd"/>
            <w:r>
              <w:rPr>
                <w:rFonts w:ascii="Calibri" w:hAnsi="Calibri"/>
                <w:bCs/>
                <w:sz w:val="20"/>
                <w:szCs w:val="20"/>
              </w:rPr>
              <w:t xml:space="preserve">) </w:t>
            </w:r>
            <w:r w:rsidRPr="000648B6">
              <w:rPr>
                <w:rFonts w:ascii="Calibri" w:hAnsi="Calibri"/>
                <w:bCs/>
                <w:sz w:val="20"/>
                <w:szCs w:val="20"/>
              </w:rPr>
              <w:t>Lowering SBP</w:t>
            </w:r>
          </w:p>
        </w:tc>
        <w:tc>
          <w:tcPr>
            <w:tcW w:w="1501" w:type="dxa"/>
            <w:vAlign w:val="bottom"/>
          </w:tcPr>
          <w:p w14:paraId="7BF7FD4F" w14:textId="04253262" w:rsidR="00336520" w:rsidRPr="00410A3E" w:rsidRDefault="00336520" w:rsidP="00336520">
            <w:pPr>
              <w:jc w:val="center"/>
              <w:rPr>
                <w:rFonts w:cstheme="minorHAnsi"/>
                <w:sz w:val="20"/>
                <w:szCs w:val="20"/>
              </w:rPr>
            </w:pPr>
            <w:r w:rsidRPr="00410A3E">
              <w:rPr>
                <w:rFonts w:ascii="Calibri" w:hAnsi="Calibri"/>
                <w:color w:val="000000"/>
                <w:sz w:val="20"/>
                <w:szCs w:val="20"/>
              </w:rPr>
              <w:t>0.90% (0.55%</w:t>
            </w:r>
            <w:r w:rsidR="004A7BE1">
              <w:rPr>
                <w:rFonts w:ascii="Calibri" w:hAnsi="Calibri"/>
                <w:color w:val="000000"/>
                <w:sz w:val="20"/>
                <w:szCs w:val="20"/>
              </w:rPr>
              <w:t xml:space="preserve">, </w:t>
            </w:r>
            <w:r w:rsidRPr="00410A3E">
              <w:rPr>
                <w:rFonts w:ascii="Calibri" w:hAnsi="Calibri"/>
                <w:color w:val="000000"/>
                <w:sz w:val="20"/>
                <w:szCs w:val="20"/>
              </w:rPr>
              <w:t>1.55%)</w:t>
            </w:r>
          </w:p>
        </w:tc>
        <w:tc>
          <w:tcPr>
            <w:tcW w:w="1565" w:type="dxa"/>
            <w:vAlign w:val="bottom"/>
          </w:tcPr>
          <w:p w14:paraId="73BDBBB4" w14:textId="220A941F"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1.76% (1.07%</w:t>
            </w:r>
            <w:r w:rsidR="004A7BE1">
              <w:rPr>
                <w:rFonts w:ascii="Calibri" w:hAnsi="Calibri"/>
                <w:color w:val="000000"/>
                <w:sz w:val="20"/>
                <w:szCs w:val="20"/>
              </w:rPr>
              <w:t xml:space="preserve">, </w:t>
            </w:r>
            <w:r w:rsidRPr="00410A3E">
              <w:rPr>
                <w:rFonts w:ascii="Calibri" w:hAnsi="Calibri"/>
                <w:color w:val="000000"/>
                <w:sz w:val="20"/>
                <w:szCs w:val="20"/>
              </w:rPr>
              <w:t>2.86%)</w:t>
            </w:r>
          </w:p>
        </w:tc>
        <w:tc>
          <w:tcPr>
            <w:tcW w:w="1430" w:type="dxa"/>
            <w:vAlign w:val="bottom"/>
          </w:tcPr>
          <w:p w14:paraId="50D6D9E8" w14:textId="0AE13DC9"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0.49% (0.30%, 0.80%)</w:t>
            </w:r>
          </w:p>
        </w:tc>
        <w:tc>
          <w:tcPr>
            <w:tcW w:w="1458" w:type="dxa"/>
            <w:vAlign w:val="bottom"/>
          </w:tcPr>
          <w:p w14:paraId="5D727A50" w14:textId="2C1B100D"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0.34% (0.21%</w:t>
            </w:r>
            <w:r w:rsidR="004A7BE1">
              <w:rPr>
                <w:rFonts w:ascii="Calibri" w:hAnsi="Calibri"/>
                <w:color w:val="000000"/>
                <w:sz w:val="20"/>
                <w:szCs w:val="20"/>
              </w:rPr>
              <w:t xml:space="preserve">, </w:t>
            </w:r>
            <w:r w:rsidRPr="00410A3E">
              <w:rPr>
                <w:rFonts w:ascii="Calibri" w:hAnsi="Calibri"/>
                <w:color w:val="000000"/>
                <w:sz w:val="20"/>
                <w:szCs w:val="20"/>
              </w:rPr>
              <w:t>0.56%)</w:t>
            </w:r>
          </w:p>
        </w:tc>
        <w:tc>
          <w:tcPr>
            <w:tcW w:w="1701" w:type="dxa"/>
            <w:vAlign w:val="bottom"/>
          </w:tcPr>
          <w:p w14:paraId="0BCB3186" w14:textId="25439CDD"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1.71% (1.04%</w:t>
            </w:r>
            <w:r w:rsidR="004A7BE1">
              <w:rPr>
                <w:rFonts w:ascii="Calibri" w:hAnsi="Calibri"/>
                <w:color w:val="000000"/>
                <w:sz w:val="20"/>
                <w:szCs w:val="20"/>
              </w:rPr>
              <w:t xml:space="preserve">, </w:t>
            </w:r>
            <w:r w:rsidRPr="00410A3E">
              <w:rPr>
                <w:rFonts w:ascii="Calibri" w:hAnsi="Calibri"/>
                <w:color w:val="000000"/>
                <w:sz w:val="20"/>
                <w:szCs w:val="20"/>
              </w:rPr>
              <w:t>2.78%)</w:t>
            </w:r>
          </w:p>
        </w:tc>
      </w:tr>
      <w:tr w:rsidR="00336520" w:rsidRPr="00463E99" w14:paraId="11539B92" w14:textId="77777777" w:rsidTr="00410A3E">
        <w:trPr>
          <w:trHeight w:val="329"/>
        </w:trPr>
        <w:tc>
          <w:tcPr>
            <w:tcW w:w="1838" w:type="dxa"/>
            <w:vAlign w:val="center"/>
          </w:tcPr>
          <w:p w14:paraId="029D8C20" w14:textId="7B828609" w:rsidR="00336520" w:rsidRPr="007A223F" w:rsidRDefault="00336520" w:rsidP="00410A3E">
            <w:pPr>
              <w:rPr>
                <w:rFonts w:cstheme="minorHAnsi"/>
                <w:b/>
                <w:bCs/>
                <w:sz w:val="18"/>
                <w:szCs w:val="18"/>
              </w:rPr>
            </w:pPr>
            <w:r>
              <w:rPr>
                <w:rFonts w:cstheme="minorHAnsi"/>
                <w:bCs/>
                <w:color w:val="000000" w:themeColor="text1"/>
                <w:sz w:val="20"/>
                <w:szCs w:val="20"/>
              </w:rPr>
              <w:t xml:space="preserve">(IIb) </w:t>
            </w:r>
            <w:r w:rsidRPr="000648B6">
              <w:rPr>
                <w:rFonts w:cstheme="minorHAnsi"/>
                <w:bCs/>
                <w:color w:val="000000" w:themeColor="text1"/>
                <w:sz w:val="20"/>
                <w:szCs w:val="20"/>
              </w:rPr>
              <w:t>BP lowering medication</w:t>
            </w:r>
          </w:p>
        </w:tc>
        <w:tc>
          <w:tcPr>
            <w:tcW w:w="1501" w:type="dxa"/>
            <w:vAlign w:val="bottom"/>
          </w:tcPr>
          <w:p w14:paraId="71154C7D" w14:textId="2D66DA1E" w:rsidR="00336520" w:rsidRPr="00410A3E" w:rsidRDefault="00336520" w:rsidP="00336520">
            <w:pPr>
              <w:jc w:val="center"/>
              <w:rPr>
                <w:rFonts w:cstheme="minorHAnsi"/>
                <w:sz w:val="20"/>
                <w:szCs w:val="20"/>
              </w:rPr>
            </w:pPr>
            <w:r w:rsidRPr="00410A3E">
              <w:rPr>
                <w:rFonts w:ascii="Calibri" w:hAnsi="Calibri"/>
                <w:color w:val="000000"/>
                <w:sz w:val="20"/>
                <w:szCs w:val="20"/>
              </w:rPr>
              <w:t>-0.18% (-0.60%, 0.19%)</w:t>
            </w:r>
          </w:p>
        </w:tc>
        <w:tc>
          <w:tcPr>
            <w:tcW w:w="1565" w:type="dxa"/>
            <w:vAlign w:val="bottom"/>
          </w:tcPr>
          <w:p w14:paraId="59243F56" w14:textId="5DCA71EF"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-0.43% (-0.68%, -0.27%)</w:t>
            </w:r>
          </w:p>
        </w:tc>
        <w:tc>
          <w:tcPr>
            <w:tcW w:w="1430" w:type="dxa"/>
            <w:vAlign w:val="bottom"/>
          </w:tcPr>
          <w:p w14:paraId="5E9EB49C" w14:textId="3A81D124"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-0.94% (-1.49%, -0.59%)</w:t>
            </w:r>
          </w:p>
        </w:tc>
        <w:tc>
          <w:tcPr>
            <w:tcW w:w="1458" w:type="dxa"/>
            <w:vAlign w:val="bottom"/>
          </w:tcPr>
          <w:p w14:paraId="0983B3DE" w14:textId="55BB1F5E"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w:t>
            </w:r>
            <w:r w:rsidR="00DC5F21">
              <w:rPr>
                <w:rFonts w:ascii="Calibri" w:hAnsi="Calibri"/>
                <w:color w:val="000000"/>
                <w:sz w:val="20"/>
                <w:szCs w:val="20"/>
              </w:rPr>
              <w:t>-</w:t>
            </w:r>
            <w:r w:rsidRPr="00410A3E">
              <w:rPr>
                <w:rFonts w:ascii="Calibri" w:hAnsi="Calibri"/>
                <w:color w:val="000000"/>
                <w:sz w:val="20"/>
                <w:szCs w:val="20"/>
              </w:rPr>
              <w:t>0.62% (-0.99%, -0.40%)</w:t>
            </w:r>
          </w:p>
        </w:tc>
        <w:tc>
          <w:tcPr>
            <w:tcW w:w="1701" w:type="dxa"/>
            <w:vAlign w:val="bottom"/>
          </w:tcPr>
          <w:p w14:paraId="1C981468" w14:textId="59A0E62D"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1.05% (0.67%, 1.67%)</w:t>
            </w:r>
          </w:p>
        </w:tc>
      </w:tr>
      <w:tr w:rsidR="00336520" w:rsidRPr="00463E99" w14:paraId="665CA074" w14:textId="77777777" w:rsidTr="00410A3E">
        <w:trPr>
          <w:trHeight w:val="27"/>
        </w:trPr>
        <w:tc>
          <w:tcPr>
            <w:tcW w:w="1838" w:type="dxa"/>
            <w:vAlign w:val="center"/>
            <w:hideMark/>
          </w:tcPr>
          <w:p w14:paraId="2684C6AC" w14:textId="2DE59178" w:rsidR="00336520" w:rsidRPr="007A223F" w:rsidRDefault="00336520" w:rsidP="00410A3E">
            <w:pPr>
              <w:rPr>
                <w:rFonts w:cstheme="minorHAnsi"/>
                <w:sz w:val="18"/>
                <w:szCs w:val="18"/>
              </w:rPr>
            </w:pPr>
            <w:r>
              <w:rPr>
                <w:rFonts w:ascii="Calibri" w:hAnsi="Calibri"/>
                <w:sz w:val="20"/>
                <w:szCs w:val="20"/>
              </w:rPr>
              <w:t>(IIIa) Lowering TC/HDL-C</w:t>
            </w:r>
          </w:p>
        </w:tc>
        <w:tc>
          <w:tcPr>
            <w:tcW w:w="1501" w:type="dxa"/>
            <w:vAlign w:val="bottom"/>
          </w:tcPr>
          <w:p w14:paraId="4EC6876E" w14:textId="3AB10B39" w:rsidR="00336520" w:rsidRPr="00410A3E" w:rsidRDefault="00336520" w:rsidP="00336520">
            <w:pPr>
              <w:jc w:val="center"/>
              <w:rPr>
                <w:rFonts w:cstheme="minorHAnsi"/>
                <w:sz w:val="20"/>
                <w:szCs w:val="20"/>
              </w:rPr>
            </w:pPr>
            <w:r w:rsidRPr="00410A3E">
              <w:rPr>
                <w:rFonts w:ascii="Calibri" w:hAnsi="Calibri"/>
                <w:color w:val="000000"/>
                <w:sz w:val="20"/>
                <w:szCs w:val="20"/>
              </w:rPr>
              <w:t>0.78% (0.43%</w:t>
            </w:r>
            <w:r w:rsidR="004A7BE1">
              <w:rPr>
                <w:rFonts w:ascii="Calibri" w:hAnsi="Calibri"/>
                <w:color w:val="000000"/>
                <w:sz w:val="20"/>
                <w:szCs w:val="20"/>
              </w:rPr>
              <w:t xml:space="preserve">, </w:t>
            </w:r>
            <w:r w:rsidRPr="00410A3E">
              <w:rPr>
                <w:rFonts w:ascii="Calibri" w:hAnsi="Calibri"/>
                <w:color w:val="000000"/>
                <w:sz w:val="20"/>
                <w:szCs w:val="20"/>
              </w:rPr>
              <w:t>1.49%)</w:t>
            </w:r>
          </w:p>
        </w:tc>
        <w:tc>
          <w:tcPr>
            <w:tcW w:w="1565" w:type="dxa"/>
            <w:vAlign w:val="bottom"/>
          </w:tcPr>
          <w:p w14:paraId="314663B9" w14:textId="35086DBD"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1.19% (0.68%</w:t>
            </w:r>
            <w:r w:rsidR="004A7BE1">
              <w:rPr>
                <w:rFonts w:ascii="Calibri" w:hAnsi="Calibri"/>
                <w:color w:val="000000"/>
                <w:sz w:val="20"/>
                <w:szCs w:val="20"/>
              </w:rPr>
              <w:t xml:space="preserve">, </w:t>
            </w:r>
            <w:r w:rsidRPr="00410A3E">
              <w:rPr>
                <w:rFonts w:ascii="Calibri" w:hAnsi="Calibri"/>
                <w:color w:val="000000"/>
                <w:sz w:val="20"/>
                <w:szCs w:val="20"/>
              </w:rPr>
              <w:t>2.22%)</w:t>
            </w:r>
          </w:p>
        </w:tc>
        <w:tc>
          <w:tcPr>
            <w:tcW w:w="1430" w:type="dxa"/>
            <w:vAlign w:val="bottom"/>
          </w:tcPr>
          <w:p w14:paraId="746C8519" w14:textId="1F66B1F2"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0.31% (0.17%</w:t>
            </w:r>
            <w:r w:rsidR="004A7BE1">
              <w:rPr>
                <w:rFonts w:ascii="Calibri" w:hAnsi="Calibri"/>
                <w:color w:val="000000"/>
                <w:sz w:val="20"/>
                <w:szCs w:val="20"/>
              </w:rPr>
              <w:t xml:space="preserve">, </w:t>
            </w:r>
            <w:r w:rsidRPr="00410A3E">
              <w:rPr>
                <w:rFonts w:ascii="Calibri" w:hAnsi="Calibri"/>
                <w:color w:val="000000"/>
                <w:sz w:val="20"/>
                <w:szCs w:val="20"/>
              </w:rPr>
              <w:t>0.57%)</w:t>
            </w:r>
          </w:p>
        </w:tc>
        <w:tc>
          <w:tcPr>
            <w:tcW w:w="1458" w:type="dxa"/>
            <w:vAlign w:val="bottom"/>
          </w:tcPr>
          <w:p w14:paraId="023B0892" w14:textId="41C552ED"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0.27% (0.16%</w:t>
            </w:r>
            <w:r w:rsidR="004A7BE1">
              <w:rPr>
                <w:rFonts w:ascii="Calibri" w:hAnsi="Calibri"/>
                <w:color w:val="000000"/>
                <w:sz w:val="20"/>
                <w:szCs w:val="20"/>
              </w:rPr>
              <w:t xml:space="preserve">, </w:t>
            </w:r>
            <w:r w:rsidRPr="00410A3E">
              <w:rPr>
                <w:rFonts w:ascii="Calibri" w:hAnsi="Calibri"/>
                <w:color w:val="000000"/>
                <w:sz w:val="20"/>
                <w:szCs w:val="20"/>
              </w:rPr>
              <w:t>0.51%)</w:t>
            </w:r>
          </w:p>
        </w:tc>
        <w:tc>
          <w:tcPr>
            <w:tcW w:w="1701" w:type="dxa"/>
            <w:vAlign w:val="bottom"/>
          </w:tcPr>
          <w:p w14:paraId="2DC47F83" w14:textId="4A0B28E9"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0.76% (0.44%</w:t>
            </w:r>
            <w:r w:rsidR="004A7BE1">
              <w:rPr>
                <w:rFonts w:ascii="Calibri" w:hAnsi="Calibri"/>
                <w:color w:val="000000"/>
                <w:sz w:val="20"/>
                <w:szCs w:val="20"/>
              </w:rPr>
              <w:t xml:space="preserve">, </w:t>
            </w:r>
            <w:r w:rsidRPr="00410A3E">
              <w:rPr>
                <w:rFonts w:ascii="Calibri" w:hAnsi="Calibri"/>
                <w:color w:val="000000"/>
                <w:sz w:val="20"/>
                <w:szCs w:val="20"/>
              </w:rPr>
              <w:t>1.42%)</w:t>
            </w:r>
          </w:p>
        </w:tc>
      </w:tr>
      <w:tr w:rsidR="00336520" w:rsidRPr="00463E99" w14:paraId="58B8214D" w14:textId="77777777" w:rsidTr="00410A3E">
        <w:trPr>
          <w:trHeight w:val="27"/>
        </w:trPr>
        <w:tc>
          <w:tcPr>
            <w:tcW w:w="1838" w:type="dxa"/>
            <w:vAlign w:val="center"/>
          </w:tcPr>
          <w:p w14:paraId="1EA0F9EB" w14:textId="1DEDC456" w:rsidR="00336520" w:rsidRPr="007A223F" w:rsidRDefault="00336520" w:rsidP="00410A3E">
            <w:pPr>
              <w:rPr>
                <w:rFonts w:cstheme="minorHAnsi"/>
                <w:b/>
                <w:bCs/>
                <w:sz w:val="18"/>
                <w:szCs w:val="18"/>
              </w:rPr>
            </w:pPr>
            <w:r>
              <w:rPr>
                <w:rFonts w:cstheme="minorHAnsi"/>
                <w:bCs/>
                <w:color w:val="000000" w:themeColor="text1"/>
                <w:sz w:val="20"/>
                <w:szCs w:val="20"/>
              </w:rPr>
              <w:t>(</w:t>
            </w:r>
            <w:proofErr w:type="spellStart"/>
            <w:r>
              <w:rPr>
                <w:rFonts w:cstheme="minorHAnsi"/>
                <w:bCs/>
                <w:color w:val="000000" w:themeColor="text1"/>
                <w:sz w:val="20"/>
                <w:szCs w:val="20"/>
              </w:rPr>
              <w:t>IIIb</w:t>
            </w:r>
            <w:proofErr w:type="spellEnd"/>
            <w:r>
              <w:rPr>
                <w:rFonts w:cstheme="minorHAnsi"/>
                <w:bCs/>
                <w:color w:val="000000" w:themeColor="text1"/>
                <w:sz w:val="20"/>
                <w:szCs w:val="20"/>
              </w:rPr>
              <w:t>) Lipid lowering medication</w:t>
            </w:r>
          </w:p>
        </w:tc>
        <w:tc>
          <w:tcPr>
            <w:tcW w:w="1501" w:type="dxa"/>
            <w:vAlign w:val="bottom"/>
          </w:tcPr>
          <w:p w14:paraId="20A05EBA" w14:textId="242D5B6A" w:rsidR="00336520" w:rsidRPr="00410A3E" w:rsidRDefault="00336520" w:rsidP="00336520">
            <w:pPr>
              <w:jc w:val="center"/>
              <w:rPr>
                <w:rFonts w:cstheme="minorHAnsi"/>
                <w:sz w:val="20"/>
                <w:szCs w:val="20"/>
              </w:rPr>
            </w:pPr>
            <w:r w:rsidRPr="00410A3E">
              <w:rPr>
                <w:rFonts w:ascii="Calibri" w:hAnsi="Calibri"/>
                <w:color w:val="000000"/>
                <w:sz w:val="20"/>
                <w:szCs w:val="20"/>
              </w:rPr>
              <w:t>0.77% (0.44%, 1.42%)</w:t>
            </w:r>
          </w:p>
        </w:tc>
        <w:tc>
          <w:tcPr>
            <w:tcW w:w="1565" w:type="dxa"/>
            <w:vAlign w:val="bottom"/>
          </w:tcPr>
          <w:p w14:paraId="435EBB72" w14:textId="3752AEEB"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0.39% (0.23%</w:t>
            </w:r>
            <w:r w:rsidR="004A7BE1">
              <w:rPr>
                <w:rFonts w:ascii="Calibri" w:hAnsi="Calibri"/>
                <w:color w:val="000000"/>
                <w:sz w:val="20"/>
                <w:szCs w:val="20"/>
              </w:rPr>
              <w:t xml:space="preserve">, </w:t>
            </w:r>
            <w:r w:rsidRPr="00410A3E">
              <w:rPr>
                <w:rFonts w:ascii="Calibri" w:hAnsi="Calibri"/>
                <w:color w:val="000000"/>
                <w:sz w:val="20"/>
                <w:szCs w:val="20"/>
              </w:rPr>
              <w:t>0.70%)</w:t>
            </w:r>
          </w:p>
        </w:tc>
        <w:tc>
          <w:tcPr>
            <w:tcW w:w="1430" w:type="dxa"/>
            <w:vAlign w:val="bottom"/>
          </w:tcPr>
          <w:p w14:paraId="2449CEE5" w14:textId="74062301"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-0.39</w:t>
            </w:r>
            <w:r w:rsidR="004A7BE1">
              <w:rPr>
                <w:rFonts w:ascii="Calibri" w:hAnsi="Calibri"/>
                <w:color w:val="000000"/>
                <w:sz w:val="20"/>
                <w:szCs w:val="20"/>
              </w:rPr>
              <w:t>% (</w:t>
            </w:r>
            <w:r w:rsidRPr="00410A3E">
              <w:rPr>
                <w:rFonts w:ascii="Calibri" w:hAnsi="Calibri"/>
                <w:color w:val="000000"/>
                <w:sz w:val="20"/>
                <w:szCs w:val="20"/>
              </w:rPr>
              <w:t>-0.70%, -0.23%)</w:t>
            </w:r>
          </w:p>
        </w:tc>
        <w:tc>
          <w:tcPr>
            <w:tcW w:w="1458" w:type="dxa"/>
            <w:vAlign w:val="bottom"/>
          </w:tcPr>
          <w:p w14:paraId="3E92EFCC" w14:textId="35AECDD4"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0.06% (-0.10%, -0.03%)</w:t>
            </w:r>
          </w:p>
        </w:tc>
        <w:tc>
          <w:tcPr>
            <w:tcW w:w="1701" w:type="dxa"/>
            <w:vAlign w:val="bottom"/>
          </w:tcPr>
          <w:p w14:paraId="26063F53" w14:textId="6B1B1EA7" w:rsidR="00336520" w:rsidRPr="00410A3E" w:rsidRDefault="00336520" w:rsidP="00336520">
            <w:pPr>
              <w:jc w:val="center"/>
              <w:rPr>
                <w:rFonts w:cstheme="minorHAnsi"/>
                <w:sz w:val="20"/>
                <w:szCs w:val="20"/>
              </w:rPr>
            </w:pPr>
            <w:r w:rsidRPr="00410A3E">
              <w:rPr>
                <w:rFonts w:ascii="Calibri" w:hAnsi="Calibri"/>
                <w:color w:val="000000"/>
                <w:sz w:val="20"/>
                <w:szCs w:val="20"/>
              </w:rPr>
              <w:t xml:space="preserve"> 0.70% (0.41%</w:t>
            </w:r>
            <w:r w:rsidR="004A7BE1">
              <w:rPr>
                <w:rFonts w:ascii="Calibri" w:hAnsi="Calibri"/>
                <w:color w:val="000000"/>
                <w:sz w:val="20"/>
                <w:szCs w:val="20"/>
              </w:rPr>
              <w:t xml:space="preserve">, </w:t>
            </w:r>
            <w:r w:rsidRPr="00410A3E">
              <w:rPr>
                <w:rFonts w:ascii="Calibri" w:hAnsi="Calibri"/>
                <w:color w:val="000000"/>
                <w:sz w:val="20"/>
                <w:szCs w:val="20"/>
              </w:rPr>
              <w:t>1.26%)</w:t>
            </w:r>
          </w:p>
        </w:tc>
      </w:tr>
    </w:tbl>
    <w:p w14:paraId="7480C03A" w14:textId="7071350F" w:rsidR="005F58EC" w:rsidRDefault="005F58EC">
      <w:r>
        <w:br w:type="page"/>
      </w:r>
    </w:p>
    <w:p w14:paraId="0F071B25" w14:textId="1EA92047" w:rsidR="0080048C" w:rsidRDefault="0080048C" w:rsidP="0080048C">
      <w:pPr>
        <w:pStyle w:val="Heading2"/>
        <w:rPr>
          <w:noProof/>
        </w:rPr>
      </w:pPr>
      <w:r>
        <w:rPr>
          <w:noProof/>
        </w:rPr>
        <w:lastRenderedPageBreak/>
        <w:t>Supplementary Figures</w:t>
      </w:r>
    </w:p>
    <w:p w14:paraId="79297D68" w14:textId="77777777" w:rsidR="00B42B9B" w:rsidRDefault="00B42B9B" w:rsidP="00B42B9B"/>
    <w:p w14:paraId="47BCFCE3" w14:textId="77777777" w:rsidR="00B42B9B" w:rsidRPr="00647011" w:rsidRDefault="00B42B9B" w:rsidP="00B42B9B">
      <w:r w:rsidRPr="00647011">
        <w:rPr>
          <w:noProof/>
        </w:rPr>
        <w:drawing>
          <wp:inline distT="0" distB="0" distL="0" distR="0" wp14:anchorId="2E7EB289" wp14:editId="6428A868">
            <wp:extent cx="2905548" cy="189044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916373" cy="1897488"/>
                    </a:xfrm>
                    <a:prstGeom prst="rect">
                      <a:avLst/>
                    </a:prstGeom>
                  </pic:spPr>
                </pic:pic>
              </a:graphicData>
            </a:graphic>
          </wp:inline>
        </w:drawing>
      </w:r>
      <w:r w:rsidRPr="00647011">
        <w:rPr>
          <w:noProof/>
        </w:rPr>
        <w:t xml:space="preserve"> </w:t>
      </w:r>
    </w:p>
    <w:p w14:paraId="383E5EEA" w14:textId="5D5593F9" w:rsidR="00B42B9B" w:rsidRPr="003B3925" w:rsidRDefault="00677D19" w:rsidP="00B42B9B">
      <w:pPr>
        <w:pStyle w:val="Caption"/>
      </w:pPr>
      <w:r w:rsidRPr="006D4590">
        <w:rPr>
          <w:b/>
        </w:rPr>
        <w:t>Fig. E</w:t>
      </w:r>
      <w:r>
        <w:rPr>
          <w:b/>
        </w:rPr>
        <w:t xml:space="preserve">1 </w:t>
      </w:r>
      <w:r w:rsidR="00B42B9B" w:rsidRPr="00647011">
        <w:t xml:space="preserve">Causal diagram for IPW approaches. </w:t>
      </w:r>
      <m:oMath>
        <m:sSub>
          <m:sSubPr>
            <m:ctrlPr>
              <w:rPr>
                <w:rFonts w:ascii="Cambria Math" w:hAnsi="Cambria Math"/>
              </w:rPr>
            </m:ctrlPr>
          </m:sSubPr>
          <m:e>
            <m:r>
              <w:rPr>
                <w:rFonts w:ascii="Cambria Math" w:hAnsi="Cambria Math"/>
              </w:rPr>
              <m:t>D</m:t>
            </m:r>
          </m:e>
          <m:sub>
            <m:r>
              <w:rPr>
                <w:rFonts w:ascii="Cambria Math" w:hAnsi="Cambria Math"/>
              </w:rPr>
              <m:t>k</m:t>
            </m:r>
          </m:sub>
        </m:sSub>
      </m:oMath>
      <w:r w:rsidR="00B42B9B" w:rsidRPr="00647011">
        <w:t xml:space="preserve"> indicates CVD status at time k (months of follow-up).</w:t>
      </w:r>
    </w:p>
    <w:p w14:paraId="4BCC17AA" w14:textId="77777777" w:rsidR="00B42B9B" w:rsidRDefault="00B42B9B" w:rsidP="00B42B9B"/>
    <w:p w14:paraId="6FB4BABC" w14:textId="77777777" w:rsidR="00B42B9B" w:rsidRDefault="00B42B9B" w:rsidP="00B42B9B">
      <w:r>
        <w:rPr>
          <w:noProof/>
        </w:rPr>
        <w:drawing>
          <wp:inline distT="0" distB="0" distL="0" distR="0" wp14:anchorId="437FD1FE" wp14:editId="19A7C4E8">
            <wp:extent cx="6458600" cy="198555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 2021-11-06 at 15.48.34.png"/>
                    <pic:cNvPicPr/>
                  </pic:nvPicPr>
                  <pic:blipFill>
                    <a:blip r:embed="rId7">
                      <a:extLst>
                        <a:ext uri="{28A0092B-C50C-407E-A947-70E740481C1C}">
                          <a14:useLocalDpi xmlns:a14="http://schemas.microsoft.com/office/drawing/2010/main" val="0"/>
                        </a:ext>
                      </a:extLst>
                    </a:blip>
                    <a:stretch>
                      <a:fillRect/>
                    </a:stretch>
                  </pic:blipFill>
                  <pic:spPr>
                    <a:xfrm>
                      <a:off x="0" y="0"/>
                      <a:ext cx="6476710" cy="1991122"/>
                    </a:xfrm>
                    <a:prstGeom prst="rect">
                      <a:avLst/>
                    </a:prstGeom>
                  </pic:spPr>
                </pic:pic>
              </a:graphicData>
            </a:graphic>
          </wp:inline>
        </w:drawing>
      </w:r>
    </w:p>
    <w:p w14:paraId="036CA04F" w14:textId="77777777" w:rsidR="00B42B9B" w:rsidRDefault="00B42B9B" w:rsidP="00B42B9B">
      <w:pPr>
        <w:pStyle w:val="Caption"/>
      </w:pPr>
    </w:p>
    <w:p w14:paraId="794E9A49" w14:textId="17E90DBD" w:rsidR="00B42B9B" w:rsidRDefault="00954FAF" w:rsidP="00B42B9B">
      <w:pPr>
        <w:pStyle w:val="Caption"/>
      </w:pPr>
      <w:r w:rsidRPr="00954FAF">
        <w:rPr>
          <w:b/>
        </w:rPr>
        <w:t>Fig. E</w:t>
      </w:r>
      <w:r w:rsidR="00B42B9B" w:rsidRPr="00410A3E">
        <w:rPr>
          <w:b/>
        </w:rPr>
        <w:t>2</w:t>
      </w:r>
      <w:r>
        <w:t xml:space="preserve"> </w:t>
      </w:r>
      <w:r w:rsidR="00B42B9B" w:rsidRPr="007834B3">
        <w:t>Kaplan-Meier</w:t>
      </w:r>
      <w:r w:rsidR="00B42B9B">
        <w:t xml:space="preserve"> plots of s</w:t>
      </w:r>
      <w:r w:rsidR="00B42B9B" w:rsidRPr="00647011">
        <w:t xml:space="preserve">urvival probability </w:t>
      </w:r>
      <w:r w:rsidR="00B42B9B">
        <w:t xml:space="preserve">in different patient groups. </w:t>
      </w:r>
    </w:p>
    <w:p w14:paraId="300DF9A1" w14:textId="196B045A" w:rsidR="0050651E" w:rsidRDefault="0050651E">
      <w:r>
        <w:br w:type="page"/>
      </w:r>
    </w:p>
    <w:p w14:paraId="15E06A07" w14:textId="77777777" w:rsidR="003137D5" w:rsidRDefault="003137D5" w:rsidP="003137D5">
      <w:r>
        <w:rPr>
          <w:noProof/>
        </w:rPr>
        <w:lastRenderedPageBreak/>
        <w:drawing>
          <wp:inline distT="0" distB="0" distL="0" distR="0" wp14:anchorId="07A0C4A0" wp14:editId="3DA3D8C2">
            <wp:extent cx="5727700" cy="3932555"/>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 2021-11-05 at 13.14.12.png"/>
                    <pic:cNvPicPr/>
                  </pic:nvPicPr>
                  <pic:blipFill>
                    <a:blip r:embed="rId8">
                      <a:extLst>
                        <a:ext uri="{28A0092B-C50C-407E-A947-70E740481C1C}">
                          <a14:useLocalDpi xmlns:a14="http://schemas.microsoft.com/office/drawing/2010/main" val="0"/>
                        </a:ext>
                      </a:extLst>
                    </a:blip>
                    <a:stretch>
                      <a:fillRect/>
                    </a:stretch>
                  </pic:blipFill>
                  <pic:spPr>
                    <a:xfrm>
                      <a:off x="0" y="0"/>
                      <a:ext cx="5727700" cy="3932555"/>
                    </a:xfrm>
                    <a:prstGeom prst="rect">
                      <a:avLst/>
                    </a:prstGeom>
                  </pic:spPr>
                </pic:pic>
              </a:graphicData>
            </a:graphic>
          </wp:inline>
        </w:drawing>
      </w:r>
    </w:p>
    <w:p w14:paraId="5D5051E7" w14:textId="77777777" w:rsidR="003137D5" w:rsidRPr="00647011" w:rsidRDefault="003137D5" w:rsidP="003137D5"/>
    <w:p w14:paraId="6D62F012" w14:textId="701DA22D" w:rsidR="0050651E" w:rsidRDefault="00C772D5" w:rsidP="009F1DCA">
      <w:pPr>
        <w:pStyle w:val="Caption"/>
      </w:pPr>
      <w:r w:rsidRPr="00C772D5">
        <w:rPr>
          <w:b/>
        </w:rPr>
        <w:t>Fig. E</w:t>
      </w:r>
      <w:r w:rsidR="003137D5" w:rsidRPr="00410A3E">
        <w:rPr>
          <w:b/>
        </w:rPr>
        <w:t>3</w:t>
      </w:r>
      <w:r>
        <w:t xml:space="preserve"> </w:t>
      </w:r>
      <w:r w:rsidR="003137D5" w:rsidRPr="00647011">
        <w:t xml:space="preserve">Survival probability from an IP weighted hazards model: </w:t>
      </w:r>
      <w:r w:rsidR="009F1DCA" w:rsidRPr="009F1DCA">
        <w:t xml:space="preserve">(I) </w:t>
      </w:r>
      <w:r w:rsidR="003137D5" w:rsidRPr="00410A3E">
        <w:t>smoking cessation</w:t>
      </w:r>
      <w:r w:rsidR="003137D5" w:rsidRPr="009F1DCA">
        <w:t xml:space="preserve">, </w:t>
      </w:r>
      <w:r w:rsidR="009F1DCA" w:rsidRPr="009F1DCA">
        <w:t>(</w:t>
      </w:r>
      <w:proofErr w:type="spellStart"/>
      <w:r w:rsidR="009F1DCA" w:rsidRPr="009F1DCA">
        <w:t>IIa</w:t>
      </w:r>
      <w:proofErr w:type="spellEnd"/>
      <w:r w:rsidR="009F1DCA" w:rsidRPr="009F1DCA">
        <w:t xml:space="preserve">) </w:t>
      </w:r>
      <w:r w:rsidR="009F1DCA" w:rsidRPr="00410A3E">
        <w:t xml:space="preserve">lowering SBP, (IIIa) </w:t>
      </w:r>
      <w:r w:rsidR="00655D52">
        <w:t>l</w:t>
      </w:r>
      <w:r w:rsidR="00655D52" w:rsidRPr="00410A3E">
        <w:t xml:space="preserve">owering </w:t>
      </w:r>
      <w:r w:rsidR="009F1DCA" w:rsidRPr="00410A3E">
        <w:t>TC/HDL-C</w:t>
      </w:r>
      <w:r w:rsidR="00FB7D16">
        <w:t xml:space="preserve">. </w:t>
      </w:r>
      <w:r w:rsidR="003137D5" w:rsidRPr="00647011">
        <w:t>The solid curves represent the treated group and the dotted is for untreated group</w:t>
      </w:r>
      <w:r w:rsidR="003137D5">
        <w:t>.</w:t>
      </w:r>
    </w:p>
    <w:p w14:paraId="520BC48D" w14:textId="77777777" w:rsidR="0050651E" w:rsidRDefault="0050651E">
      <w:pPr>
        <w:rPr>
          <w:rFonts w:ascii="Times New Roman" w:eastAsia="Times New Roman" w:hAnsi="Times New Roman" w:cs="Times New Roman"/>
          <w:i/>
          <w:iCs/>
          <w:color w:val="44546A" w:themeColor="text2"/>
          <w:sz w:val="18"/>
          <w:szCs w:val="18"/>
        </w:rPr>
      </w:pPr>
      <w:r>
        <w:br w:type="page"/>
      </w:r>
    </w:p>
    <w:p w14:paraId="0A29155A" w14:textId="77777777" w:rsidR="003137D5" w:rsidRPr="00647011" w:rsidRDefault="003137D5" w:rsidP="003137D5">
      <w:pPr>
        <w:pStyle w:val="Caption"/>
        <w:sectPr w:rsidR="003137D5" w:rsidRPr="00647011" w:rsidSect="00A8250D">
          <w:pgSz w:w="11900" w:h="16840"/>
          <w:pgMar w:top="1440" w:right="1440" w:bottom="1440" w:left="1440" w:header="720" w:footer="720" w:gutter="0"/>
          <w:cols w:space="720"/>
          <w:docGrid w:linePitch="360"/>
        </w:sectPr>
      </w:pPr>
    </w:p>
    <w:p w14:paraId="0434D058" w14:textId="37973E96" w:rsidR="00B42B9B" w:rsidRDefault="00B42B9B"/>
    <w:p w14:paraId="34CECFB4" w14:textId="443295F5" w:rsidR="00611174" w:rsidRPr="00611174" w:rsidRDefault="005C6E2C" w:rsidP="00611174">
      <w:r>
        <w:rPr>
          <w:noProof/>
        </w:rPr>
        <w:drawing>
          <wp:inline distT="0" distB="0" distL="0" distR="0" wp14:anchorId="63AFBAC2" wp14:editId="3B8DDD37">
            <wp:extent cx="5742795" cy="2988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shot 2021-11-05 at 11.09.00.png"/>
                    <pic:cNvPicPr/>
                  </pic:nvPicPr>
                  <pic:blipFill rotWithShape="1">
                    <a:blip r:embed="rId9">
                      <a:extLst>
                        <a:ext uri="{28A0092B-C50C-407E-A947-70E740481C1C}">
                          <a14:useLocalDpi xmlns:a14="http://schemas.microsoft.com/office/drawing/2010/main" val="0"/>
                        </a:ext>
                      </a:extLst>
                    </a:blip>
                    <a:srcRect t="2145"/>
                    <a:stretch/>
                  </pic:blipFill>
                  <pic:spPr bwMode="auto">
                    <a:xfrm>
                      <a:off x="0" y="0"/>
                      <a:ext cx="5742795" cy="2988000"/>
                    </a:xfrm>
                    <a:prstGeom prst="rect">
                      <a:avLst/>
                    </a:prstGeom>
                    <a:ln>
                      <a:noFill/>
                    </a:ln>
                    <a:extLst>
                      <a:ext uri="{53640926-AAD7-44D8-BBD7-CCE9431645EC}">
                        <a14:shadowObscured xmlns:a14="http://schemas.microsoft.com/office/drawing/2010/main"/>
                      </a:ext>
                    </a:extLst>
                  </pic:spPr>
                </pic:pic>
              </a:graphicData>
            </a:graphic>
          </wp:inline>
        </w:drawing>
      </w:r>
    </w:p>
    <w:p w14:paraId="7C432B8E" w14:textId="05135D74" w:rsidR="0050651E" w:rsidRDefault="00CD4977" w:rsidP="009F1DCA">
      <w:pPr>
        <w:pStyle w:val="Caption"/>
      </w:pPr>
      <w:r w:rsidRPr="00410A3E">
        <w:rPr>
          <w:b/>
        </w:rPr>
        <w:t>Fi</w:t>
      </w:r>
      <w:r w:rsidR="00C772D5">
        <w:rPr>
          <w:b/>
        </w:rPr>
        <w:t>g.</w:t>
      </w:r>
      <w:r w:rsidRPr="00410A3E">
        <w:rPr>
          <w:b/>
        </w:rPr>
        <w:t xml:space="preserve"> E4</w:t>
      </w:r>
      <w:r w:rsidR="00C772D5">
        <w:rPr>
          <w:b/>
        </w:rPr>
        <w:t xml:space="preserve"> </w:t>
      </w:r>
      <w:r w:rsidRPr="00647011">
        <w:t xml:space="preserve">Survival probability from an IP weighted hazards model: </w:t>
      </w:r>
      <w:r w:rsidR="009F1DCA" w:rsidRPr="009F1DCA">
        <w:t xml:space="preserve">(IIb) </w:t>
      </w:r>
      <w:r w:rsidR="009F1DCA" w:rsidRPr="00410A3E">
        <w:t>BP lowering medication</w:t>
      </w:r>
      <w:r w:rsidR="009F1DCA">
        <w:t xml:space="preserve"> and </w:t>
      </w:r>
      <w:r w:rsidR="009F1DCA" w:rsidRPr="00410A3E">
        <w:t>(</w:t>
      </w:r>
      <w:proofErr w:type="spellStart"/>
      <w:r w:rsidR="009F1DCA" w:rsidRPr="00410A3E">
        <w:t>IIIb</w:t>
      </w:r>
      <w:proofErr w:type="spellEnd"/>
      <w:r w:rsidR="009F1DCA" w:rsidRPr="00410A3E">
        <w:t xml:space="preserve">) </w:t>
      </w:r>
      <w:r w:rsidR="00523853">
        <w:t>l</w:t>
      </w:r>
      <w:r w:rsidR="00523853" w:rsidRPr="00410A3E">
        <w:t xml:space="preserve">ipid </w:t>
      </w:r>
      <w:r w:rsidR="009F1DCA" w:rsidRPr="00410A3E">
        <w:t>lowering medication</w:t>
      </w:r>
      <w:r w:rsidR="004039FF">
        <w:t xml:space="preserve">. </w:t>
      </w:r>
      <w:r w:rsidRPr="00647011">
        <w:t>The solid curves represent the treated group and the dotted is for untreated group</w:t>
      </w:r>
      <w:r>
        <w:t>.</w:t>
      </w:r>
    </w:p>
    <w:p w14:paraId="20E19E22" w14:textId="24C81303" w:rsidR="002A506F" w:rsidRDefault="002A506F" w:rsidP="002A506F"/>
    <w:p w14:paraId="4E514CE7" w14:textId="77777777" w:rsidR="00A668C6" w:rsidRDefault="00A668C6" w:rsidP="002A506F">
      <w:pPr>
        <w:pStyle w:val="Caption"/>
        <w:sectPr w:rsidR="00A668C6" w:rsidSect="00CD1188">
          <w:pgSz w:w="11900" w:h="16840"/>
          <w:pgMar w:top="1440" w:right="1440" w:bottom="1440" w:left="1440" w:header="720" w:footer="720" w:gutter="0"/>
          <w:cols w:space="720"/>
          <w:docGrid w:linePitch="360"/>
        </w:sectPr>
      </w:pPr>
    </w:p>
    <w:p w14:paraId="4367F23D" w14:textId="006D0DAE" w:rsidR="00D522D5" w:rsidRDefault="004242CB" w:rsidP="00D522D5">
      <w:r>
        <w:rPr>
          <w:noProof/>
        </w:rPr>
        <w:lastRenderedPageBreak/>
        <w:drawing>
          <wp:inline distT="0" distB="0" distL="0" distR="0" wp14:anchorId="72B26EE6" wp14:editId="246FB8B4">
            <wp:extent cx="8864600" cy="511937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E5.png"/>
                    <pic:cNvPicPr/>
                  </pic:nvPicPr>
                  <pic:blipFill>
                    <a:blip r:embed="rId10">
                      <a:extLst>
                        <a:ext uri="{28A0092B-C50C-407E-A947-70E740481C1C}">
                          <a14:useLocalDpi xmlns:a14="http://schemas.microsoft.com/office/drawing/2010/main" val="0"/>
                        </a:ext>
                      </a:extLst>
                    </a:blip>
                    <a:stretch>
                      <a:fillRect/>
                    </a:stretch>
                  </pic:blipFill>
                  <pic:spPr>
                    <a:xfrm>
                      <a:off x="0" y="0"/>
                      <a:ext cx="8864600" cy="5119370"/>
                    </a:xfrm>
                    <a:prstGeom prst="rect">
                      <a:avLst/>
                    </a:prstGeom>
                  </pic:spPr>
                </pic:pic>
              </a:graphicData>
            </a:graphic>
          </wp:inline>
        </w:drawing>
      </w:r>
    </w:p>
    <w:p w14:paraId="24E97877" w14:textId="188B73DF" w:rsidR="00A668C6" w:rsidRDefault="008F60BF">
      <w:pPr>
        <w:pStyle w:val="Caption"/>
        <w:sectPr w:rsidR="00A668C6" w:rsidSect="00410A3E">
          <w:pgSz w:w="16840" w:h="11900" w:orient="landscape"/>
          <w:pgMar w:top="782" w:right="1440" w:bottom="734" w:left="1440" w:header="720" w:footer="720" w:gutter="0"/>
          <w:cols w:space="720"/>
          <w:docGrid w:linePitch="360"/>
        </w:sectPr>
      </w:pPr>
      <w:r w:rsidRPr="008F60BF">
        <w:rPr>
          <w:noProof/>
        </w:rPr>
        <w:t xml:space="preserve"> </w:t>
      </w:r>
      <w:r w:rsidR="00541CE8" w:rsidRPr="00410A3E">
        <w:rPr>
          <w:b/>
          <w:iCs w:val="0"/>
        </w:rPr>
        <w:t>Fig</w:t>
      </w:r>
      <w:r w:rsidR="001C3D28" w:rsidRPr="00410A3E">
        <w:rPr>
          <w:b/>
        </w:rPr>
        <w:t xml:space="preserve"> E5</w:t>
      </w:r>
      <w:r w:rsidR="00C772D5">
        <w:t xml:space="preserve"> </w:t>
      </w:r>
      <w:r w:rsidR="001C3D28">
        <w:t xml:space="preserve">Distribution of absolute risk estimated </w:t>
      </w:r>
      <w:r w:rsidR="0092754B">
        <w:t xml:space="preserve">from </w:t>
      </w:r>
      <w:r w:rsidR="001C3D28">
        <w:t>different approaches</w:t>
      </w:r>
      <w:r w:rsidR="004911BF">
        <w:t xml:space="preserve"> in different scenarios:</w:t>
      </w:r>
      <w:r w:rsidR="0092754B" w:rsidRPr="0092754B">
        <w:t xml:space="preserve"> </w:t>
      </w:r>
      <w:r w:rsidR="0092754B">
        <w:t xml:space="preserve">(I) Smoking cessation, </w:t>
      </w:r>
      <w:r w:rsidR="0092754B" w:rsidRPr="0092754B">
        <w:t>(</w:t>
      </w:r>
      <w:proofErr w:type="spellStart"/>
      <w:r w:rsidR="0092754B" w:rsidRPr="0092754B">
        <w:t>IIa</w:t>
      </w:r>
      <w:proofErr w:type="spellEnd"/>
      <w:r w:rsidR="0092754B" w:rsidRPr="0092754B">
        <w:t>) Lowering SBP</w:t>
      </w:r>
      <w:r w:rsidR="004242CB">
        <w:t xml:space="preserve">, </w:t>
      </w:r>
      <w:r w:rsidR="0092754B" w:rsidRPr="0092754B">
        <w:t>(IIb) BP lowering medication</w:t>
      </w:r>
      <w:r w:rsidR="007A505C">
        <w:t xml:space="preserve">, </w:t>
      </w:r>
      <w:r w:rsidR="0092754B" w:rsidRPr="0092754B">
        <w:t>(IIIa) Lowering TC/HDL-C</w:t>
      </w:r>
      <w:r w:rsidR="0092754B">
        <w:t>,</w:t>
      </w:r>
      <w:r w:rsidR="0092754B" w:rsidRPr="0092754B">
        <w:t xml:space="preserve"> </w:t>
      </w:r>
      <w:r w:rsidR="0092754B">
        <w:t xml:space="preserve">and </w:t>
      </w:r>
      <w:r w:rsidR="0092754B" w:rsidRPr="0092754B">
        <w:t>(</w:t>
      </w:r>
      <w:proofErr w:type="spellStart"/>
      <w:r w:rsidR="0092754B" w:rsidRPr="0092754B">
        <w:t>I</w:t>
      </w:r>
      <w:r w:rsidR="0092754B">
        <w:t>IIb</w:t>
      </w:r>
      <w:proofErr w:type="spellEnd"/>
      <w:r w:rsidR="0092754B">
        <w:t xml:space="preserve">) Lipid lowering medication. </w:t>
      </w:r>
      <w:r w:rsidR="001C3D28">
        <w:t xml:space="preserve">Dashed line represents corresponding mean. </w:t>
      </w:r>
      <w:r w:rsidR="0081637F">
        <w:t xml:space="preserve">Blue, with interventions; Red, without interventions; Dashed lines: lower and upper </w:t>
      </w:r>
      <w:r w:rsidR="0081637F" w:rsidRPr="002A241C">
        <w:t>quartiles</w:t>
      </w:r>
      <w:r w:rsidR="0081637F">
        <w:t>; Solid lines: median</w:t>
      </w:r>
    </w:p>
    <w:p w14:paraId="6F8EE7F4" w14:textId="51D616A4" w:rsidR="00D522D5" w:rsidRDefault="00D522D5" w:rsidP="00410A3E">
      <w:r>
        <w:lastRenderedPageBreak/>
        <w:t>Reference:</w:t>
      </w:r>
    </w:p>
    <w:p w14:paraId="07115C94" w14:textId="77777777" w:rsidR="002F5DC9" w:rsidRPr="002F5DC9" w:rsidRDefault="00D522D5" w:rsidP="002F5DC9">
      <w:pPr>
        <w:pStyle w:val="Bibliography"/>
        <w:rPr>
          <w:rFonts w:ascii="Calibri"/>
          <w:lang w:val="en-US"/>
        </w:rPr>
      </w:pPr>
      <w:r>
        <w:fldChar w:fldCharType="begin"/>
      </w:r>
      <w:r w:rsidR="009A5290">
        <w:instrText xml:space="preserve"> ADDIN ZOTERO_BIBL {"uncited":[],"omitted":[],"custom":[]} CSL_BIBLIOGRAPHY </w:instrText>
      </w:r>
      <w:r>
        <w:fldChar w:fldCharType="separate"/>
      </w:r>
      <w:r w:rsidR="002F5DC9" w:rsidRPr="002F5DC9">
        <w:rPr>
          <w:rFonts w:ascii="Calibri"/>
          <w:lang w:val="en-US"/>
        </w:rPr>
        <w:t xml:space="preserve">1. </w:t>
      </w:r>
      <w:r w:rsidR="002F5DC9" w:rsidRPr="002F5DC9">
        <w:rPr>
          <w:rFonts w:ascii="Calibri"/>
          <w:lang w:val="en-US"/>
        </w:rPr>
        <w:tab/>
        <w:t>Velentgas P, Dreyer NA, Nourjah P, Smith SR, Torchia MM, editors. Developing a Protocol for Observational Comparative Effectiveness Research: A User’s Guide [Internet]. Rockville (MD): Agency for Healthcare Research and Quality (US); 2013 [cited 2022 Mar 11]. (AHRQ Methods for Effective Health Care). Available from: http://www.ncbi.nlm.nih.gov/books/NBK126190/</w:t>
      </w:r>
    </w:p>
    <w:p w14:paraId="4019599B" w14:textId="77777777" w:rsidR="002F5DC9" w:rsidRPr="002F5DC9" w:rsidRDefault="002F5DC9" w:rsidP="002F5DC9">
      <w:pPr>
        <w:pStyle w:val="Bibliography"/>
        <w:rPr>
          <w:rFonts w:ascii="Calibri"/>
          <w:lang w:val="en-US"/>
        </w:rPr>
      </w:pPr>
      <w:r w:rsidRPr="002F5DC9">
        <w:rPr>
          <w:rFonts w:ascii="Calibri"/>
          <w:lang w:val="en-US"/>
        </w:rPr>
        <w:t xml:space="preserve">2. </w:t>
      </w:r>
      <w:r w:rsidRPr="002F5DC9">
        <w:rPr>
          <w:rFonts w:ascii="Calibri"/>
          <w:lang w:val="en-US"/>
        </w:rPr>
        <w:tab/>
        <w:t xml:space="preserve">Rubin DB. The design versus the analysis of observational studies for causal effects: parallels with the design of randomized trials. Stat Med. 2007 Jan 15;26(1):20–36. </w:t>
      </w:r>
    </w:p>
    <w:p w14:paraId="278F5FDC" w14:textId="77777777" w:rsidR="002F5DC9" w:rsidRPr="002F5DC9" w:rsidRDefault="002F5DC9" w:rsidP="002F5DC9">
      <w:pPr>
        <w:pStyle w:val="Bibliography"/>
        <w:rPr>
          <w:rFonts w:ascii="Calibri"/>
          <w:lang w:val="en-US"/>
        </w:rPr>
      </w:pPr>
      <w:r w:rsidRPr="002F5DC9">
        <w:rPr>
          <w:rFonts w:ascii="Calibri"/>
          <w:lang w:val="en-US"/>
        </w:rPr>
        <w:t xml:space="preserve">3. </w:t>
      </w:r>
      <w:r w:rsidRPr="002F5DC9">
        <w:rPr>
          <w:rFonts w:ascii="Calibri"/>
          <w:lang w:val="en-US"/>
        </w:rPr>
        <w:tab/>
        <w:t xml:space="preserve">Brookhart MA, Schneeweiss S, Rothman KJ, Glynn RJ, Avorn J, Stürmer T. Variable selection for propensity score models. Am J Epidemiol. 2006 Jun 15;163(12):1149–56. </w:t>
      </w:r>
    </w:p>
    <w:p w14:paraId="425D3883" w14:textId="77777777" w:rsidR="002F5DC9" w:rsidRPr="002F5DC9" w:rsidRDefault="002F5DC9" w:rsidP="002F5DC9">
      <w:pPr>
        <w:pStyle w:val="Bibliography"/>
        <w:rPr>
          <w:rFonts w:ascii="Calibri"/>
          <w:lang w:val="en-US"/>
        </w:rPr>
      </w:pPr>
      <w:r w:rsidRPr="002F5DC9">
        <w:rPr>
          <w:rFonts w:ascii="Calibri"/>
          <w:lang w:val="en-US"/>
        </w:rPr>
        <w:t xml:space="preserve">4. </w:t>
      </w:r>
      <w:r w:rsidRPr="002F5DC9">
        <w:rPr>
          <w:rFonts w:ascii="Calibri"/>
          <w:lang w:val="en-US"/>
        </w:rPr>
        <w:tab/>
        <w:t xml:space="preserve">Myers JA, Rassen JA, Gagne JJ, Huybrechts KF, Schneeweiss S, Rothman KJ, et al. Effects of Adjusting for Instrumental Variables on Bias and Precision of Effect Estimates. Am J Epidemiol. 2011 Dec 1;174(11):1213–22. </w:t>
      </w:r>
    </w:p>
    <w:p w14:paraId="0D4DDF45" w14:textId="77777777" w:rsidR="002F5DC9" w:rsidRPr="002F5DC9" w:rsidRDefault="002F5DC9" w:rsidP="002F5DC9">
      <w:pPr>
        <w:pStyle w:val="Bibliography"/>
        <w:rPr>
          <w:rFonts w:ascii="Calibri"/>
          <w:lang w:val="en-US"/>
        </w:rPr>
      </w:pPr>
      <w:r w:rsidRPr="002F5DC9">
        <w:rPr>
          <w:rFonts w:ascii="Calibri"/>
          <w:lang w:val="en-US"/>
        </w:rPr>
        <w:t xml:space="preserve">5. </w:t>
      </w:r>
      <w:r w:rsidRPr="002F5DC9">
        <w:rPr>
          <w:rFonts w:ascii="Calibri"/>
          <w:lang w:val="en-US"/>
        </w:rPr>
        <w:tab/>
        <w:t xml:space="preserve">VanderWeele TJ, Shpitser I. A new criterion for confounder selection. Biometrics. 2011 Dec;67(4):1406–13. </w:t>
      </w:r>
    </w:p>
    <w:p w14:paraId="7F7B2032" w14:textId="77777777" w:rsidR="002F5DC9" w:rsidRPr="002F5DC9" w:rsidRDefault="002F5DC9" w:rsidP="002F5DC9">
      <w:pPr>
        <w:pStyle w:val="Bibliography"/>
        <w:rPr>
          <w:rFonts w:ascii="Calibri"/>
          <w:lang w:val="en-US"/>
        </w:rPr>
      </w:pPr>
      <w:r w:rsidRPr="002F5DC9">
        <w:rPr>
          <w:rFonts w:ascii="Calibri"/>
          <w:lang w:val="en-US"/>
        </w:rPr>
        <w:t xml:space="preserve">6. </w:t>
      </w:r>
      <w:r w:rsidRPr="002F5DC9">
        <w:rPr>
          <w:rFonts w:ascii="Calibri"/>
          <w:lang w:val="en-US"/>
        </w:rPr>
        <w:tab/>
        <w:t xml:space="preserve">Pearl J. Remarks on the method of propensity score. Stat Med. 2009 Apr 30;28(9):1415–6; author reply 1420-1423. </w:t>
      </w:r>
    </w:p>
    <w:p w14:paraId="318F1EF8" w14:textId="77777777" w:rsidR="002F5DC9" w:rsidRPr="002F5DC9" w:rsidRDefault="002F5DC9" w:rsidP="002F5DC9">
      <w:pPr>
        <w:pStyle w:val="Bibliography"/>
        <w:rPr>
          <w:rFonts w:ascii="Calibri"/>
          <w:lang w:val="en-US"/>
        </w:rPr>
      </w:pPr>
      <w:r w:rsidRPr="002F5DC9">
        <w:rPr>
          <w:rFonts w:ascii="Calibri"/>
          <w:lang w:val="en-US"/>
        </w:rPr>
        <w:t xml:space="preserve">7. </w:t>
      </w:r>
      <w:r w:rsidRPr="002F5DC9">
        <w:rPr>
          <w:rFonts w:ascii="Calibri"/>
          <w:lang w:val="en-US"/>
        </w:rPr>
        <w:tab/>
        <w:t xml:space="preserve">Ames RP. Antihypertensive drugs and lipid profiles. Am J Hypertens. 1988 Oct;1(4 Pt 1):421–7. </w:t>
      </w:r>
    </w:p>
    <w:p w14:paraId="5AA3CCDC" w14:textId="77777777" w:rsidR="002F5DC9" w:rsidRPr="002F5DC9" w:rsidRDefault="002F5DC9" w:rsidP="002F5DC9">
      <w:pPr>
        <w:pStyle w:val="Bibliography"/>
        <w:rPr>
          <w:rFonts w:ascii="Calibri"/>
          <w:lang w:val="en-US"/>
        </w:rPr>
      </w:pPr>
      <w:r w:rsidRPr="002F5DC9">
        <w:rPr>
          <w:rFonts w:ascii="Calibri"/>
          <w:lang w:val="en-US"/>
        </w:rPr>
        <w:t xml:space="preserve">8. </w:t>
      </w:r>
      <w:r w:rsidRPr="002F5DC9">
        <w:rPr>
          <w:rFonts w:ascii="Calibri"/>
          <w:lang w:val="en-US"/>
        </w:rPr>
        <w:tab/>
        <w:t xml:space="preserve">Strazzullo P, Kerry SM, Barbato A, Versiero M, D’Elia L, Cappuccio FP. Do statins reduce blood pressure? A meta-analysis of randomized, controlled trials. Hypertension. 2007 Apr 1;49(4):792–8. </w:t>
      </w:r>
    </w:p>
    <w:p w14:paraId="58F6F9AC" w14:textId="77777777" w:rsidR="002F5DC9" w:rsidRPr="002F5DC9" w:rsidRDefault="002F5DC9" w:rsidP="002F5DC9">
      <w:pPr>
        <w:pStyle w:val="Bibliography"/>
        <w:rPr>
          <w:rFonts w:ascii="Calibri"/>
          <w:lang w:val="en-US"/>
        </w:rPr>
      </w:pPr>
      <w:r w:rsidRPr="002F5DC9">
        <w:rPr>
          <w:rFonts w:ascii="Calibri"/>
          <w:lang w:val="en-US"/>
        </w:rPr>
        <w:t xml:space="preserve">9. </w:t>
      </w:r>
      <w:r w:rsidRPr="002F5DC9">
        <w:rPr>
          <w:rFonts w:ascii="Calibri"/>
          <w:lang w:val="en-US"/>
        </w:rPr>
        <w:tab/>
        <w:t xml:space="preserve">Schultz WM, Kelli HM, Lisko JC, Varghese T, Shen J, Sandesara P, et al. Socioeconomic Status and Cardiovascular Outcomes. Circulation. 2018 May 15;137(20):2166–78. </w:t>
      </w:r>
    </w:p>
    <w:p w14:paraId="15D52EF4" w14:textId="77777777" w:rsidR="002F5DC9" w:rsidRPr="002F5DC9" w:rsidRDefault="002F5DC9" w:rsidP="002F5DC9">
      <w:pPr>
        <w:pStyle w:val="Bibliography"/>
        <w:rPr>
          <w:rFonts w:ascii="Calibri"/>
          <w:lang w:val="en-US"/>
        </w:rPr>
      </w:pPr>
      <w:r w:rsidRPr="002F5DC9">
        <w:rPr>
          <w:rFonts w:ascii="Calibri"/>
          <w:lang w:val="en-US"/>
        </w:rPr>
        <w:t xml:space="preserve">10. </w:t>
      </w:r>
      <w:r w:rsidRPr="002F5DC9">
        <w:rPr>
          <w:rFonts w:ascii="Calibri"/>
          <w:lang w:val="en-US"/>
        </w:rPr>
        <w:tab/>
        <w:t xml:space="preserve">Vitale C, Mendelsohn ME, Rosano GMC. Gender differences in the cardiovascular effect of sex hormones. Nat Rev Cardiol. 2009 Aug;6(8):532–42. </w:t>
      </w:r>
    </w:p>
    <w:p w14:paraId="2E76F699" w14:textId="77777777" w:rsidR="002F5DC9" w:rsidRPr="002F5DC9" w:rsidRDefault="002F5DC9" w:rsidP="002F5DC9">
      <w:pPr>
        <w:pStyle w:val="Bibliography"/>
        <w:rPr>
          <w:rFonts w:ascii="Calibri"/>
          <w:lang w:val="en-US"/>
        </w:rPr>
      </w:pPr>
      <w:r w:rsidRPr="002F5DC9">
        <w:rPr>
          <w:rFonts w:ascii="Calibri"/>
          <w:lang w:val="en-US"/>
        </w:rPr>
        <w:t xml:space="preserve">11. </w:t>
      </w:r>
      <w:r w:rsidRPr="002F5DC9">
        <w:rPr>
          <w:rFonts w:ascii="Calibri"/>
          <w:lang w:val="en-US"/>
        </w:rPr>
        <w:tab/>
        <w:t xml:space="preserve">Lüscher TF. Prevention: further insights on age and lipids. Eur Heart J. 2017 May 21;38(20):1525–9. </w:t>
      </w:r>
    </w:p>
    <w:p w14:paraId="24DF08A7" w14:textId="77777777" w:rsidR="002F5DC9" w:rsidRPr="002F5DC9" w:rsidRDefault="002F5DC9" w:rsidP="002F5DC9">
      <w:pPr>
        <w:pStyle w:val="Bibliography"/>
        <w:rPr>
          <w:rFonts w:ascii="Calibri"/>
          <w:lang w:val="en-US"/>
        </w:rPr>
      </w:pPr>
      <w:r w:rsidRPr="002F5DC9">
        <w:rPr>
          <w:rFonts w:ascii="Calibri"/>
          <w:lang w:val="en-US"/>
        </w:rPr>
        <w:t xml:space="preserve">12. </w:t>
      </w:r>
      <w:r w:rsidRPr="002F5DC9">
        <w:rPr>
          <w:rFonts w:ascii="Calibri"/>
          <w:lang w:val="en-US"/>
        </w:rPr>
        <w:tab/>
        <w:t xml:space="preserve">B.o A, J.h B, D C, M.e G, F S, G.d S, et al. Causal associations of tobacco smoking with cardiovascular risk factors: A Mendelian randomization analysis of the HUNT study in Norway. Int J Epidemiol. 1464th–3685th ed. 2014 Aug;43(5):1458–70. </w:t>
      </w:r>
    </w:p>
    <w:p w14:paraId="1B5BA392" w14:textId="77777777" w:rsidR="002F5DC9" w:rsidRPr="002F5DC9" w:rsidRDefault="002F5DC9" w:rsidP="002F5DC9">
      <w:pPr>
        <w:pStyle w:val="Bibliography"/>
        <w:rPr>
          <w:rFonts w:ascii="Calibri"/>
          <w:lang w:val="en-US"/>
        </w:rPr>
      </w:pPr>
      <w:r w:rsidRPr="002F5DC9">
        <w:rPr>
          <w:rFonts w:ascii="Calibri"/>
          <w:lang w:val="en-US"/>
        </w:rPr>
        <w:t xml:space="preserve">13. </w:t>
      </w:r>
      <w:r w:rsidRPr="002F5DC9">
        <w:rPr>
          <w:rFonts w:ascii="Calibri"/>
          <w:lang w:val="en-US"/>
        </w:rPr>
        <w:tab/>
        <w:t xml:space="preserve">M.g L, D K, T.l A, M.s F, E I, J L, et al. Genetics of Smoking and Risk of Atherosclerotic Cardiovascular Diseases: A Mendelian Randomization Study. JAMA Netw Open. 2574th–3805th ed. 2020;no pagination. </w:t>
      </w:r>
    </w:p>
    <w:p w14:paraId="259ED4A8" w14:textId="77777777" w:rsidR="002F5DC9" w:rsidRPr="002F5DC9" w:rsidRDefault="002F5DC9" w:rsidP="002F5DC9">
      <w:pPr>
        <w:pStyle w:val="Bibliography"/>
        <w:rPr>
          <w:rFonts w:ascii="Calibri"/>
          <w:lang w:val="en-US"/>
        </w:rPr>
      </w:pPr>
      <w:r w:rsidRPr="002F5DC9">
        <w:rPr>
          <w:rFonts w:ascii="Calibri"/>
          <w:lang w:val="en-US"/>
        </w:rPr>
        <w:t xml:space="preserve">14. </w:t>
      </w:r>
      <w:r w:rsidRPr="002F5DC9">
        <w:rPr>
          <w:rFonts w:ascii="Calibri"/>
          <w:lang w:val="en-US"/>
        </w:rPr>
        <w:tab/>
        <w:t xml:space="preserve">Lakier JB. Smoking and cardiovascular disease. Am J Med. 1992 Jul 15;93(1, Supplement 1):S8–12. </w:t>
      </w:r>
    </w:p>
    <w:p w14:paraId="595108D9" w14:textId="77777777" w:rsidR="002F5DC9" w:rsidRPr="002F5DC9" w:rsidRDefault="002F5DC9" w:rsidP="002F5DC9">
      <w:pPr>
        <w:pStyle w:val="Bibliography"/>
        <w:rPr>
          <w:rFonts w:ascii="Calibri"/>
          <w:lang w:val="en-US"/>
        </w:rPr>
      </w:pPr>
      <w:r w:rsidRPr="002F5DC9">
        <w:rPr>
          <w:rFonts w:ascii="Calibri"/>
          <w:lang w:val="en-US"/>
        </w:rPr>
        <w:lastRenderedPageBreak/>
        <w:t xml:space="preserve">15. </w:t>
      </w:r>
      <w:r w:rsidRPr="002F5DC9">
        <w:rPr>
          <w:rFonts w:ascii="Calibri"/>
          <w:lang w:val="en-US"/>
        </w:rPr>
        <w:tab/>
        <w:t xml:space="preserve">Qazi MU, Malik S. Diabetes and Cardiovascular Disease: Insights from the Framingham Heart Study. Glob Heart. 2013 Mar 1;8(1):43–8. </w:t>
      </w:r>
    </w:p>
    <w:p w14:paraId="14CD422E" w14:textId="77777777" w:rsidR="002F5DC9" w:rsidRPr="002F5DC9" w:rsidRDefault="002F5DC9" w:rsidP="002F5DC9">
      <w:pPr>
        <w:pStyle w:val="Bibliography"/>
        <w:rPr>
          <w:rFonts w:ascii="Calibri"/>
          <w:lang w:val="en-US"/>
        </w:rPr>
      </w:pPr>
      <w:r w:rsidRPr="002F5DC9">
        <w:rPr>
          <w:rFonts w:ascii="Calibri"/>
          <w:lang w:val="en-US"/>
        </w:rPr>
        <w:t xml:space="preserve">16. </w:t>
      </w:r>
      <w:r w:rsidRPr="002F5DC9">
        <w:rPr>
          <w:rFonts w:ascii="Calibri"/>
          <w:lang w:val="en-US"/>
        </w:rPr>
        <w:tab/>
        <w:t xml:space="preserve">Larsson SC, Scott RA, Traylor M, Langenberg CC, Hindy G, Melander O, et al. Type 2 diabetes, glucose, insulin, BMI, and ischemic stroke subtypes. Neurology. 2017 Aug 1;89(5):454–60. </w:t>
      </w:r>
    </w:p>
    <w:p w14:paraId="21708DEB" w14:textId="77777777" w:rsidR="002F5DC9" w:rsidRPr="002F5DC9" w:rsidRDefault="002F5DC9" w:rsidP="002F5DC9">
      <w:pPr>
        <w:pStyle w:val="Bibliography"/>
        <w:rPr>
          <w:rFonts w:ascii="Calibri"/>
          <w:lang w:val="en-US"/>
        </w:rPr>
      </w:pPr>
      <w:r w:rsidRPr="002F5DC9">
        <w:rPr>
          <w:rFonts w:ascii="Calibri"/>
          <w:lang w:val="en-US"/>
        </w:rPr>
        <w:t xml:space="preserve">17. </w:t>
      </w:r>
      <w:r w:rsidRPr="002F5DC9">
        <w:rPr>
          <w:rFonts w:ascii="Calibri"/>
          <w:lang w:val="en-US"/>
        </w:rPr>
        <w:tab/>
        <w:t xml:space="preserve">Odutayo A, Wong CX, Hsiao AJ, Hopewell S, Altman DG, Emdin CA. Atrial fibrillation and risks of cardiovascular disease, renal disease, and death: systematic review and meta-analysis. BMJ. 2016 Sep 6;354:i4482. </w:t>
      </w:r>
    </w:p>
    <w:p w14:paraId="7601347A" w14:textId="77777777" w:rsidR="002F5DC9" w:rsidRPr="002F5DC9" w:rsidRDefault="002F5DC9" w:rsidP="002F5DC9">
      <w:pPr>
        <w:pStyle w:val="Bibliography"/>
        <w:rPr>
          <w:rFonts w:ascii="Calibri"/>
          <w:lang w:val="en-US"/>
        </w:rPr>
      </w:pPr>
      <w:r w:rsidRPr="002F5DC9">
        <w:rPr>
          <w:rFonts w:ascii="Calibri"/>
          <w:lang w:val="en-US"/>
        </w:rPr>
        <w:t xml:space="preserve">18. </w:t>
      </w:r>
      <w:r w:rsidRPr="002F5DC9">
        <w:rPr>
          <w:rFonts w:ascii="Calibri"/>
          <w:lang w:val="en-US"/>
        </w:rPr>
        <w:tab/>
        <w:t xml:space="preserve">Nauffal V, Weng L-C, Treu T, Gunn S, Morrill VN, Galloway A, et al. Abstract 10816: Causal Effect of Atrial Fibrillation on Cardiovascular Diseases - A Mendelian Randomization Analysis in the Million Veteran Program. Circulation. 2021 Nov 16;144(Suppl_1):A10816–A10816. </w:t>
      </w:r>
    </w:p>
    <w:p w14:paraId="274730CC" w14:textId="77777777" w:rsidR="002F5DC9" w:rsidRPr="002F5DC9" w:rsidRDefault="002F5DC9" w:rsidP="002F5DC9">
      <w:pPr>
        <w:pStyle w:val="Bibliography"/>
        <w:rPr>
          <w:rFonts w:ascii="Calibri"/>
          <w:lang w:val="en-US"/>
        </w:rPr>
      </w:pPr>
      <w:r w:rsidRPr="002F5DC9">
        <w:rPr>
          <w:rFonts w:ascii="Calibri"/>
          <w:lang w:val="en-US"/>
        </w:rPr>
        <w:t xml:space="preserve">19. </w:t>
      </w:r>
      <w:r w:rsidRPr="002F5DC9">
        <w:rPr>
          <w:rFonts w:ascii="Calibri"/>
          <w:lang w:val="en-US"/>
        </w:rPr>
        <w:tab/>
        <w:t xml:space="preserve">Fuchs FD, Whelton PK. High Blood Pressure and Cardiovascular Disease. Hypertension. 2020 Feb;75(2):285–92. </w:t>
      </w:r>
    </w:p>
    <w:p w14:paraId="7127BAFA" w14:textId="77777777" w:rsidR="002F5DC9" w:rsidRPr="002F5DC9" w:rsidRDefault="002F5DC9" w:rsidP="002F5DC9">
      <w:pPr>
        <w:pStyle w:val="Bibliography"/>
        <w:rPr>
          <w:rFonts w:ascii="Calibri"/>
          <w:lang w:val="en-US"/>
        </w:rPr>
      </w:pPr>
      <w:r w:rsidRPr="002F5DC9">
        <w:rPr>
          <w:rFonts w:ascii="Calibri"/>
          <w:lang w:val="en-US"/>
        </w:rPr>
        <w:t xml:space="preserve">20. </w:t>
      </w:r>
      <w:r w:rsidRPr="002F5DC9">
        <w:rPr>
          <w:rFonts w:ascii="Calibri"/>
          <w:lang w:val="en-US"/>
        </w:rPr>
        <w:tab/>
        <w:t xml:space="preserve">Burgess S, Harshfield E. Mendelian randomization to assess causal effects of blood lipids on coronary heart disease: lessons from the past and applications to the future. Curr Opin Endocrinol Diabetes Obes. 2016 Apr;23(2):124–30. </w:t>
      </w:r>
    </w:p>
    <w:p w14:paraId="1C3D03DB" w14:textId="77777777" w:rsidR="002F5DC9" w:rsidRPr="002F5DC9" w:rsidRDefault="002F5DC9" w:rsidP="002F5DC9">
      <w:pPr>
        <w:pStyle w:val="Bibliography"/>
        <w:rPr>
          <w:rFonts w:ascii="Calibri"/>
          <w:lang w:val="en-US"/>
        </w:rPr>
      </w:pPr>
      <w:r w:rsidRPr="002F5DC9">
        <w:rPr>
          <w:rFonts w:ascii="Calibri"/>
          <w:lang w:val="en-US"/>
        </w:rPr>
        <w:t xml:space="preserve">21. </w:t>
      </w:r>
      <w:r w:rsidRPr="002F5DC9">
        <w:rPr>
          <w:rFonts w:ascii="Calibri"/>
          <w:lang w:val="en-US"/>
        </w:rPr>
        <w:tab/>
        <w:t xml:space="preserve">Haire-Joshu D, Glasgow RE, Tibbs TL. Smoking and diabetes. Diabetes Care. 1999 Nov 1;22(11):1887–98. </w:t>
      </w:r>
    </w:p>
    <w:p w14:paraId="6BC9A5EC" w14:textId="77777777" w:rsidR="002F5DC9" w:rsidRPr="002F5DC9" w:rsidRDefault="002F5DC9" w:rsidP="002F5DC9">
      <w:pPr>
        <w:pStyle w:val="Bibliography"/>
        <w:rPr>
          <w:rFonts w:ascii="Calibri"/>
          <w:lang w:val="en-US"/>
        </w:rPr>
      </w:pPr>
      <w:r w:rsidRPr="002F5DC9">
        <w:rPr>
          <w:rFonts w:ascii="Calibri"/>
          <w:lang w:val="en-US"/>
        </w:rPr>
        <w:t xml:space="preserve">22. </w:t>
      </w:r>
      <w:r w:rsidRPr="002F5DC9">
        <w:rPr>
          <w:rFonts w:ascii="Calibri"/>
          <w:lang w:val="en-US"/>
        </w:rPr>
        <w:tab/>
        <w:t xml:space="preserve">Larsson SC, Mason AM, Bäck M, Klarin D, Damrauer SM, Million Veteran Program, et al. Genetic predisposition to smoking in relation to 14 cardiovascular diseases. Eur Heart J. 2020 Sep 14;41(35):3304–10. </w:t>
      </w:r>
    </w:p>
    <w:p w14:paraId="31EF45DF" w14:textId="77777777" w:rsidR="002F5DC9" w:rsidRPr="002F5DC9" w:rsidRDefault="002F5DC9" w:rsidP="002F5DC9">
      <w:pPr>
        <w:pStyle w:val="Bibliography"/>
        <w:rPr>
          <w:rFonts w:ascii="Calibri"/>
          <w:lang w:val="en-US"/>
        </w:rPr>
      </w:pPr>
      <w:r w:rsidRPr="002F5DC9">
        <w:rPr>
          <w:rFonts w:ascii="Calibri"/>
          <w:lang w:val="en-US"/>
        </w:rPr>
        <w:t xml:space="preserve">23. </w:t>
      </w:r>
      <w:r w:rsidRPr="002F5DC9">
        <w:rPr>
          <w:rFonts w:ascii="Calibri"/>
          <w:lang w:val="en-US"/>
        </w:rPr>
        <w:tab/>
        <w:t>High blood pressure (hypertension). https://www.nhs.uk/conditions/high-blood-pressure-hypertension/No Title [Internet]. Available from: https://www.nhs.uk/conditions/high-blood-pressure-hypertension</w:t>
      </w:r>
    </w:p>
    <w:p w14:paraId="1A4D5EF9" w14:textId="41EC5840" w:rsidR="00D522D5" w:rsidRPr="00D522D5" w:rsidRDefault="00D522D5" w:rsidP="00D522D5">
      <w:r>
        <w:fldChar w:fldCharType="end"/>
      </w:r>
    </w:p>
    <w:sectPr w:rsidR="00D522D5" w:rsidRPr="00D522D5" w:rsidSect="00CD4977">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Shaker2Lance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E6118"/>
    <w:multiLevelType w:val="hybridMultilevel"/>
    <w:tmpl w:val="A22E624C"/>
    <w:lvl w:ilvl="0" w:tplc="5136E92C">
      <w:start w:val="1"/>
      <w:numFmt w:val="decimal"/>
      <w:lvlText w:val="Step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0C6231"/>
    <w:multiLevelType w:val="hybridMultilevel"/>
    <w:tmpl w:val="1282797E"/>
    <w:lvl w:ilvl="0" w:tplc="956E250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C1773BD"/>
    <w:multiLevelType w:val="hybridMultilevel"/>
    <w:tmpl w:val="81A40F6C"/>
    <w:lvl w:ilvl="0" w:tplc="04090001">
      <w:start w:val="1"/>
      <w:numFmt w:val="bullet"/>
      <w:lvlText w:val=""/>
      <w:lvlJc w:val="left"/>
      <w:pPr>
        <w:ind w:left="720" w:hanging="360"/>
      </w:pPr>
      <w:rPr>
        <w:rFonts w:ascii="Symbol" w:hAnsi="Symbol" w:hint="default"/>
      </w:rPr>
    </w:lvl>
    <w:lvl w:ilvl="1" w:tplc="23A0172C">
      <w:numFmt w:val="bullet"/>
      <w:lvlText w:val="•"/>
      <w:lvlJc w:val="left"/>
      <w:pPr>
        <w:ind w:left="1800" w:hanging="720"/>
      </w:pPr>
      <w:rPr>
        <w:rFonts w:ascii="Calibri" w:eastAsiaTheme="minorEastAsia"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212B36"/>
    <w:multiLevelType w:val="hybridMultilevel"/>
    <w:tmpl w:val="AF7E1402"/>
    <w:lvl w:ilvl="0" w:tplc="93640C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FB6038"/>
    <w:multiLevelType w:val="hybridMultilevel"/>
    <w:tmpl w:val="A08805B6"/>
    <w:lvl w:ilvl="0" w:tplc="EB326BFE">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B621A48"/>
    <w:multiLevelType w:val="hybridMultilevel"/>
    <w:tmpl w:val="5924533E"/>
    <w:lvl w:ilvl="0" w:tplc="93640C02">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6" w15:restartNumberingAfterBreak="0">
    <w:nsid w:val="2D4269D0"/>
    <w:multiLevelType w:val="hybridMultilevel"/>
    <w:tmpl w:val="A0460BF2"/>
    <w:lvl w:ilvl="0" w:tplc="EE4A2592">
      <w:numFmt w:val="bullet"/>
      <w:lvlText w:val="•"/>
      <w:lvlJc w:val="left"/>
      <w:pPr>
        <w:ind w:left="1080" w:hanging="72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BD249C"/>
    <w:multiLevelType w:val="hybridMultilevel"/>
    <w:tmpl w:val="65B2C478"/>
    <w:lvl w:ilvl="0" w:tplc="EB326BFE">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29E09A3"/>
    <w:multiLevelType w:val="hybridMultilevel"/>
    <w:tmpl w:val="E2C8C0D0"/>
    <w:lvl w:ilvl="0" w:tplc="EB326BFE">
      <w:start w:val="1"/>
      <w:numFmt w:val="bullet"/>
      <w:lvlText w:val="•"/>
      <w:lvlJc w:val="left"/>
      <w:pPr>
        <w:ind w:left="360" w:hanging="360"/>
      </w:pPr>
      <w:rPr>
        <w:rFonts w:hint="default"/>
      </w:rPr>
    </w:lvl>
    <w:lvl w:ilvl="1" w:tplc="04090003" w:tentative="1">
      <w:start w:val="1"/>
      <w:numFmt w:val="bullet"/>
      <w:lvlText w:val="o"/>
      <w:lvlJc w:val="left"/>
      <w:pPr>
        <w:ind w:left="589" w:hanging="360"/>
      </w:pPr>
      <w:rPr>
        <w:rFonts w:ascii="Courier New" w:hAnsi="Courier New" w:cs="Courier New" w:hint="default"/>
      </w:rPr>
    </w:lvl>
    <w:lvl w:ilvl="2" w:tplc="04090005" w:tentative="1">
      <w:start w:val="1"/>
      <w:numFmt w:val="bullet"/>
      <w:lvlText w:val=""/>
      <w:lvlJc w:val="left"/>
      <w:pPr>
        <w:ind w:left="1309" w:hanging="360"/>
      </w:pPr>
      <w:rPr>
        <w:rFonts w:ascii="Wingdings" w:hAnsi="Wingdings" w:hint="default"/>
      </w:rPr>
    </w:lvl>
    <w:lvl w:ilvl="3" w:tplc="04090001" w:tentative="1">
      <w:start w:val="1"/>
      <w:numFmt w:val="bullet"/>
      <w:lvlText w:val=""/>
      <w:lvlJc w:val="left"/>
      <w:pPr>
        <w:ind w:left="2029" w:hanging="360"/>
      </w:pPr>
      <w:rPr>
        <w:rFonts w:ascii="Symbol" w:hAnsi="Symbol" w:hint="default"/>
      </w:rPr>
    </w:lvl>
    <w:lvl w:ilvl="4" w:tplc="04090003" w:tentative="1">
      <w:start w:val="1"/>
      <w:numFmt w:val="bullet"/>
      <w:lvlText w:val="o"/>
      <w:lvlJc w:val="left"/>
      <w:pPr>
        <w:ind w:left="2749" w:hanging="360"/>
      </w:pPr>
      <w:rPr>
        <w:rFonts w:ascii="Courier New" w:hAnsi="Courier New" w:cs="Courier New" w:hint="default"/>
      </w:rPr>
    </w:lvl>
    <w:lvl w:ilvl="5" w:tplc="04090005" w:tentative="1">
      <w:start w:val="1"/>
      <w:numFmt w:val="bullet"/>
      <w:lvlText w:val=""/>
      <w:lvlJc w:val="left"/>
      <w:pPr>
        <w:ind w:left="3469" w:hanging="360"/>
      </w:pPr>
      <w:rPr>
        <w:rFonts w:ascii="Wingdings" w:hAnsi="Wingdings" w:hint="default"/>
      </w:rPr>
    </w:lvl>
    <w:lvl w:ilvl="6" w:tplc="04090001" w:tentative="1">
      <w:start w:val="1"/>
      <w:numFmt w:val="bullet"/>
      <w:lvlText w:val=""/>
      <w:lvlJc w:val="left"/>
      <w:pPr>
        <w:ind w:left="4189" w:hanging="360"/>
      </w:pPr>
      <w:rPr>
        <w:rFonts w:ascii="Symbol" w:hAnsi="Symbol" w:hint="default"/>
      </w:rPr>
    </w:lvl>
    <w:lvl w:ilvl="7" w:tplc="04090003" w:tentative="1">
      <w:start w:val="1"/>
      <w:numFmt w:val="bullet"/>
      <w:lvlText w:val="o"/>
      <w:lvlJc w:val="left"/>
      <w:pPr>
        <w:ind w:left="4909" w:hanging="360"/>
      </w:pPr>
      <w:rPr>
        <w:rFonts w:ascii="Courier New" w:hAnsi="Courier New" w:cs="Courier New" w:hint="default"/>
      </w:rPr>
    </w:lvl>
    <w:lvl w:ilvl="8" w:tplc="04090005" w:tentative="1">
      <w:start w:val="1"/>
      <w:numFmt w:val="bullet"/>
      <w:lvlText w:val=""/>
      <w:lvlJc w:val="left"/>
      <w:pPr>
        <w:ind w:left="5629" w:hanging="360"/>
      </w:pPr>
      <w:rPr>
        <w:rFonts w:ascii="Wingdings" w:hAnsi="Wingdings" w:hint="default"/>
      </w:rPr>
    </w:lvl>
  </w:abstractNum>
  <w:abstractNum w:abstractNumId="9" w15:restartNumberingAfterBreak="0">
    <w:nsid w:val="729C12FA"/>
    <w:multiLevelType w:val="hybridMultilevel"/>
    <w:tmpl w:val="8F3EB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5367712">
    <w:abstractNumId w:val="0"/>
  </w:num>
  <w:num w:numId="2" w16cid:durableId="1300263211">
    <w:abstractNumId w:val="5"/>
  </w:num>
  <w:num w:numId="3" w16cid:durableId="685524656">
    <w:abstractNumId w:val="8"/>
  </w:num>
  <w:num w:numId="4" w16cid:durableId="1987278561">
    <w:abstractNumId w:val="7"/>
  </w:num>
  <w:num w:numId="5" w16cid:durableId="1198544038">
    <w:abstractNumId w:val="4"/>
  </w:num>
  <w:num w:numId="6" w16cid:durableId="1667588792">
    <w:abstractNumId w:val="1"/>
  </w:num>
  <w:num w:numId="7" w16cid:durableId="1068456323">
    <w:abstractNumId w:val="9"/>
  </w:num>
  <w:num w:numId="8" w16cid:durableId="288436624">
    <w:abstractNumId w:val="6"/>
  </w:num>
  <w:num w:numId="9" w16cid:durableId="685714126">
    <w:abstractNumId w:val="3"/>
  </w:num>
  <w:num w:numId="10" w16cid:durableId="5338076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F1A"/>
    <w:rsid w:val="00002B67"/>
    <w:rsid w:val="00004D4F"/>
    <w:rsid w:val="0000657E"/>
    <w:rsid w:val="000073F0"/>
    <w:rsid w:val="00007870"/>
    <w:rsid w:val="000205F7"/>
    <w:rsid w:val="00023371"/>
    <w:rsid w:val="00023C32"/>
    <w:rsid w:val="00034DFB"/>
    <w:rsid w:val="000433BE"/>
    <w:rsid w:val="0004575A"/>
    <w:rsid w:val="00047558"/>
    <w:rsid w:val="00051A06"/>
    <w:rsid w:val="00054A5B"/>
    <w:rsid w:val="000578C7"/>
    <w:rsid w:val="00060154"/>
    <w:rsid w:val="00063245"/>
    <w:rsid w:val="00072C4B"/>
    <w:rsid w:val="000732EA"/>
    <w:rsid w:val="00077CD5"/>
    <w:rsid w:val="000833CA"/>
    <w:rsid w:val="00084D5B"/>
    <w:rsid w:val="000866C1"/>
    <w:rsid w:val="00087BEC"/>
    <w:rsid w:val="00093F55"/>
    <w:rsid w:val="0009497A"/>
    <w:rsid w:val="00095550"/>
    <w:rsid w:val="000A36FD"/>
    <w:rsid w:val="000A60DB"/>
    <w:rsid w:val="000B2EF9"/>
    <w:rsid w:val="000B4713"/>
    <w:rsid w:val="000B5EF6"/>
    <w:rsid w:val="000B7065"/>
    <w:rsid w:val="000D358C"/>
    <w:rsid w:val="000F4047"/>
    <w:rsid w:val="000F52BC"/>
    <w:rsid w:val="000F6847"/>
    <w:rsid w:val="000F7785"/>
    <w:rsid w:val="00100036"/>
    <w:rsid w:val="00105BDF"/>
    <w:rsid w:val="00111A75"/>
    <w:rsid w:val="001123D8"/>
    <w:rsid w:val="00115B9E"/>
    <w:rsid w:val="00116849"/>
    <w:rsid w:val="0012288C"/>
    <w:rsid w:val="00123FB5"/>
    <w:rsid w:val="00130B68"/>
    <w:rsid w:val="00136139"/>
    <w:rsid w:val="001412D9"/>
    <w:rsid w:val="00147F07"/>
    <w:rsid w:val="00153BA1"/>
    <w:rsid w:val="0015688B"/>
    <w:rsid w:val="00162145"/>
    <w:rsid w:val="00171435"/>
    <w:rsid w:val="00177181"/>
    <w:rsid w:val="0018435D"/>
    <w:rsid w:val="00186959"/>
    <w:rsid w:val="00192174"/>
    <w:rsid w:val="001A4B2D"/>
    <w:rsid w:val="001A4B37"/>
    <w:rsid w:val="001A7976"/>
    <w:rsid w:val="001A7ED3"/>
    <w:rsid w:val="001B20C4"/>
    <w:rsid w:val="001B3CFF"/>
    <w:rsid w:val="001B4819"/>
    <w:rsid w:val="001B51E2"/>
    <w:rsid w:val="001B57E1"/>
    <w:rsid w:val="001B6906"/>
    <w:rsid w:val="001C011C"/>
    <w:rsid w:val="001C3D28"/>
    <w:rsid w:val="001C67CF"/>
    <w:rsid w:val="001D0885"/>
    <w:rsid w:val="001F3AFA"/>
    <w:rsid w:val="001F42DF"/>
    <w:rsid w:val="0020654C"/>
    <w:rsid w:val="00207694"/>
    <w:rsid w:val="002107D1"/>
    <w:rsid w:val="0022351C"/>
    <w:rsid w:val="00230FF4"/>
    <w:rsid w:val="0023779C"/>
    <w:rsid w:val="00245696"/>
    <w:rsid w:val="002602D7"/>
    <w:rsid w:val="002664AC"/>
    <w:rsid w:val="00276B5B"/>
    <w:rsid w:val="00281747"/>
    <w:rsid w:val="00283815"/>
    <w:rsid w:val="00291DEC"/>
    <w:rsid w:val="002943A0"/>
    <w:rsid w:val="002A506F"/>
    <w:rsid w:val="002A6E7E"/>
    <w:rsid w:val="002B0782"/>
    <w:rsid w:val="002B3E86"/>
    <w:rsid w:val="002C4CC5"/>
    <w:rsid w:val="002D48A5"/>
    <w:rsid w:val="002E223A"/>
    <w:rsid w:val="002F5DC9"/>
    <w:rsid w:val="002F6BA3"/>
    <w:rsid w:val="00300F45"/>
    <w:rsid w:val="00304757"/>
    <w:rsid w:val="003104F8"/>
    <w:rsid w:val="003110CF"/>
    <w:rsid w:val="003137D5"/>
    <w:rsid w:val="0031435B"/>
    <w:rsid w:val="00317270"/>
    <w:rsid w:val="00320948"/>
    <w:rsid w:val="0033011B"/>
    <w:rsid w:val="003311D1"/>
    <w:rsid w:val="003350FB"/>
    <w:rsid w:val="00335131"/>
    <w:rsid w:val="00336520"/>
    <w:rsid w:val="00336760"/>
    <w:rsid w:val="00342CDD"/>
    <w:rsid w:val="00344431"/>
    <w:rsid w:val="0035481A"/>
    <w:rsid w:val="00372BBD"/>
    <w:rsid w:val="00376B39"/>
    <w:rsid w:val="00377782"/>
    <w:rsid w:val="00397298"/>
    <w:rsid w:val="003A2365"/>
    <w:rsid w:val="003A6272"/>
    <w:rsid w:val="003B0B47"/>
    <w:rsid w:val="003B3925"/>
    <w:rsid w:val="003E11B2"/>
    <w:rsid w:val="003E6CB7"/>
    <w:rsid w:val="003E7B2A"/>
    <w:rsid w:val="003F506E"/>
    <w:rsid w:val="00403962"/>
    <w:rsid w:val="004039FF"/>
    <w:rsid w:val="00410A3E"/>
    <w:rsid w:val="00412191"/>
    <w:rsid w:val="004242CB"/>
    <w:rsid w:val="00425817"/>
    <w:rsid w:val="00433991"/>
    <w:rsid w:val="00435C3E"/>
    <w:rsid w:val="00450ED7"/>
    <w:rsid w:val="0045178F"/>
    <w:rsid w:val="00461470"/>
    <w:rsid w:val="00467E21"/>
    <w:rsid w:val="00471FFE"/>
    <w:rsid w:val="0048104D"/>
    <w:rsid w:val="00486D6F"/>
    <w:rsid w:val="004911BF"/>
    <w:rsid w:val="00497E4E"/>
    <w:rsid w:val="004A4AEA"/>
    <w:rsid w:val="004A596B"/>
    <w:rsid w:val="004A7BE1"/>
    <w:rsid w:val="004A7D6B"/>
    <w:rsid w:val="004C0F74"/>
    <w:rsid w:val="004C4064"/>
    <w:rsid w:val="004C5E7E"/>
    <w:rsid w:val="004C71A2"/>
    <w:rsid w:val="004D5E7A"/>
    <w:rsid w:val="004D6389"/>
    <w:rsid w:val="004D7200"/>
    <w:rsid w:val="004E33E9"/>
    <w:rsid w:val="004E6562"/>
    <w:rsid w:val="004F39B4"/>
    <w:rsid w:val="004F5D90"/>
    <w:rsid w:val="004F7625"/>
    <w:rsid w:val="0050146D"/>
    <w:rsid w:val="005022F6"/>
    <w:rsid w:val="0050651E"/>
    <w:rsid w:val="005137F9"/>
    <w:rsid w:val="00521E27"/>
    <w:rsid w:val="00523853"/>
    <w:rsid w:val="005313A0"/>
    <w:rsid w:val="00533274"/>
    <w:rsid w:val="00537C85"/>
    <w:rsid w:val="00541CE8"/>
    <w:rsid w:val="00542061"/>
    <w:rsid w:val="005427DA"/>
    <w:rsid w:val="005630AB"/>
    <w:rsid w:val="005709D2"/>
    <w:rsid w:val="00574603"/>
    <w:rsid w:val="005767B9"/>
    <w:rsid w:val="0058508E"/>
    <w:rsid w:val="005A1CD6"/>
    <w:rsid w:val="005A236C"/>
    <w:rsid w:val="005A3ED1"/>
    <w:rsid w:val="005A5C2B"/>
    <w:rsid w:val="005B2F18"/>
    <w:rsid w:val="005B7ABB"/>
    <w:rsid w:val="005C61E4"/>
    <w:rsid w:val="005C6E2C"/>
    <w:rsid w:val="005D10E5"/>
    <w:rsid w:val="005E08A9"/>
    <w:rsid w:val="005F58EC"/>
    <w:rsid w:val="005F711A"/>
    <w:rsid w:val="006004FD"/>
    <w:rsid w:val="00604EBE"/>
    <w:rsid w:val="0060561A"/>
    <w:rsid w:val="00611174"/>
    <w:rsid w:val="00620BE6"/>
    <w:rsid w:val="006346CE"/>
    <w:rsid w:val="006409BF"/>
    <w:rsid w:val="00650ADA"/>
    <w:rsid w:val="00653345"/>
    <w:rsid w:val="00655D52"/>
    <w:rsid w:val="006571D6"/>
    <w:rsid w:val="00657B4D"/>
    <w:rsid w:val="00661B4B"/>
    <w:rsid w:val="006622CF"/>
    <w:rsid w:val="00667A46"/>
    <w:rsid w:val="0067222F"/>
    <w:rsid w:val="00677D19"/>
    <w:rsid w:val="0068101B"/>
    <w:rsid w:val="0069547D"/>
    <w:rsid w:val="006A3824"/>
    <w:rsid w:val="006A533E"/>
    <w:rsid w:val="006A61C7"/>
    <w:rsid w:val="006C3481"/>
    <w:rsid w:val="006D012F"/>
    <w:rsid w:val="006E00A2"/>
    <w:rsid w:val="006E44E7"/>
    <w:rsid w:val="006E7043"/>
    <w:rsid w:val="006F1D6B"/>
    <w:rsid w:val="006F1D9E"/>
    <w:rsid w:val="00701190"/>
    <w:rsid w:val="00705640"/>
    <w:rsid w:val="00705BA8"/>
    <w:rsid w:val="007114E5"/>
    <w:rsid w:val="00732809"/>
    <w:rsid w:val="007330CB"/>
    <w:rsid w:val="007379D2"/>
    <w:rsid w:val="00763F5D"/>
    <w:rsid w:val="00766BC5"/>
    <w:rsid w:val="007672B4"/>
    <w:rsid w:val="007833F9"/>
    <w:rsid w:val="00784E0B"/>
    <w:rsid w:val="007862E7"/>
    <w:rsid w:val="007A2A63"/>
    <w:rsid w:val="007A3EE9"/>
    <w:rsid w:val="007A505C"/>
    <w:rsid w:val="007A5BC2"/>
    <w:rsid w:val="007B0613"/>
    <w:rsid w:val="007C08B1"/>
    <w:rsid w:val="007C3D02"/>
    <w:rsid w:val="007D0F23"/>
    <w:rsid w:val="007D35B7"/>
    <w:rsid w:val="007E4497"/>
    <w:rsid w:val="007E5148"/>
    <w:rsid w:val="007F0913"/>
    <w:rsid w:val="007F4E4B"/>
    <w:rsid w:val="007F6234"/>
    <w:rsid w:val="007F6C24"/>
    <w:rsid w:val="0080048C"/>
    <w:rsid w:val="00801AD7"/>
    <w:rsid w:val="00803A13"/>
    <w:rsid w:val="00807C24"/>
    <w:rsid w:val="00814F09"/>
    <w:rsid w:val="008155F5"/>
    <w:rsid w:val="0081637F"/>
    <w:rsid w:val="00825A21"/>
    <w:rsid w:val="0084100A"/>
    <w:rsid w:val="008448F7"/>
    <w:rsid w:val="00850ECD"/>
    <w:rsid w:val="00855442"/>
    <w:rsid w:val="008752D4"/>
    <w:rsid w:val="0087625C"/>
    <w:rsid w:val="008767DB"/>
    <w:rsid w:val="008773E6"/>
    <w:rsid w:val="0087775B"/>
    <w:rsid w:val="008853CA"/>
    <w:rsid w:val="008A7E9C"/>
    <w:rsid w:val="008B18E9"/>
    <w:rsid w:val="008B1BB0"/>
    <w:rsid w:val="008B46A8"/>
    <w:rsid w:val="008D343D"/>
    <w:rsid w:val="008E4954"/>
    <w:rsid w:val="008E7B53"/>
    <w:rsid w:val="008F4874"/>
    <w:rsid w:val="008F60BF"/>
    <w:rsid w:val="008F7F84"/>
    <w:rsid w:val="009003AC"/>
    <w:rsid w:val="009053D9"/>
    <w:rsid w:val="00906E5E"/>
    <w:rsid w:val="0091347C"/>
    <w:rsid w:val="00916BA7"/>
    <w:rsid w:val="0091728D"/>
    <w:rsid w:val="00920358"/>
    <w:rsid w:val="0092754B"/>
    <w:rsid w:val="00936263"/>
    <w:rsid w:val="009374AE"/>
    <w:rsid w:val="009455B5"/>
    <w:rsid w:val="009530B7"/>
    <w:rsid w:val="00954FAF"/>
    <w:rsid w:val="00955204"/>
    <w:rsid w:val="00964BE5"/>
    <w:rsid w:val="00967799"/>
    <w:rsid w:val="009677A7"/>
    <w:rsid w:val="0096796F"/>
    <w:rsid w:val="00990399"/>
    <w:rsid w:val="00995BAF"/>
    <w:rsid w:val="009A272E"/>
    <w:rsid w:val="009A3628"/>
    <w:rsid w:val="009A4989"/>
    <w:rsid w:val="009A5290"/>
    <w:rsid w:val="009A696D"/>
    <w:rsid w:val="009C31BF"/>
    <w:rsid w:val="009D3F65"/>
    <w:rsid w:val="009D6B52"/>
    <w:rsid w:val="009D7BCF"/>
    <w:rsid w:val="009F1DCA"/>
    <w:rsid w:val="009F4D4F"/>
    <w:rsid w:val="00A0281C"/>
    <w:rsid w:val="00A05AC1"/>
    <w:rsid w:val="00A132F9"/>
    <w:rsid w:val="00A13E29"/>
    <w:rsid w:val="00A16496"/>
    <w:rsid w:val="00A2152C"/>
    <w:rsid w:val="00A2404B"/>
    <w:rsid w:val="00A337D4"/>
    <w:rsid w:val="00A347C7"/>
    <w:rsid w:val="00A47AA1"/>
    <w:rsid w:val="00A47B1E"/>
    <w:rsid w:val="00A52F3A"/>
    <w:rsid w:val="00A64A07"/>
    <w:rsid w:val="00A668C6"/>
    <w:rsid w:val="00A724D0"/>
    <w:rsid w:val="00A73436"/>
    <w:rsid w:val="00A8250D"/>
    <w:rsid w:val="00A90A93"/>
    <w:rsid w:val="00A94288"/>
    <w:rsid w:val="00A95E1D"/>
    <w:rsid w:val="00A96021"/>
    <w:rsid w:val="00A97A4F"/>
    <w:rsid w:val="00AA0479"/>
    <w:rsid w:val="00AA0B74"/>
    <w:rsid w:val="00AB5EC6"/>
    <w:rsid w:val="00AC6DDC"/>
    <w:rsid w:val="00AC7E2C"/>
    <w:rsid w:val="00AE1E33"/>
    <w:rsid w:val="00AE75A0"/>
    <w:rsid w:val="00AF0146"/>
    <w:rsid w:val="00AF1D54"/>
    <w:rsid w:val="00AF442B"/>
    <w:rsid w:val="00AF533F"/>
    <w:rsid w:val="00B00DF5"/>
    <w:rsid w:val="00B06FB4"/>
    <w:rsid w:val="00B07360"/>
    <w:rsid w:val="00B114ED"/>
    <w:rsid w:val="00B11734"/>
    <w:rsid w:val="00B153D2"/>
    <w:rsid w:val="00B153E0"/>
    <w:rsid w:val="00B16E1A"/>
    <w:rsid w:val="00B23474"/>
    <w:rsid w:val="00B2492F"/>
    <w:rsid w:val="00B310A1"/>
    <w:rsid w:val="00B35D7C"/>
    <w:rsid w:val="00B3731E"/>
    <w:rsid w:val="00B42B9B"/>
    <w:rsid w:val="00B44EA8"/>
    <w:rsid w:val="00B46BEC"/>
    <w:rsid w:val="00B513EE"/>
    <w:rsid w:val="00B52EBF"/>
    <w:rsid w:val="00B533DB"/>
    <w:rsid w:val="00B53907"/>
    <w:rsid w:val="00B56D34"/>
    <w:rsid w:val="00B56EB0"/>
    <w:rsid w:val="00B604F8"/>
    <w:rsid w:val="00B60F55"/>
    <w:rsid w:val="00B6338E"/>
    <w:rsid w:val="00B66B95"/>
    <w:rsid w:val="00B70471"/>
    <w:rsid w:val="00B72F70"/>
    <w:rsid w:val="00B77CCF"/>
    <w:rsid w:val="00B86B98"/>
    <w:rsid w:val="00B92B91"/>
    <w:rsid w:val="00B94B10"/>
    <w:rsid w:val="00BA55E9"/>
    <w:rsid w:val="00BA5EE7"/>
    <w:rsid w:val="00BB020E"/>
    <w:rsid w:val="00BB078B"/>
    <w:rsid w:val="00BB53F7"/>
    <w:rsid w:val="00BC13B8"/>
    <w:rsid w:val="00BD101A"/>
    <w:rsid w:val="00BE5967"/>
    <w:rsid w:val="00BF2AC2"/>
    <w:rsid w:val="00BF2C8B"/>
    <w:rsid w:val="00BF6AAB"/>
    <w:rsid w:val="00C00381"/>
    <w:rsid w:val="00C02C95"/>
    <w:rsid w:val="00C1613E"/>
    <w:rsid w:val="00C17B43"/>
    <w:rsid w:val="00C20831"/>
    <w:rsid w:val="00C25E27"/>
    <w:rsid w:val="00C2720B"/>
    <w:rsid w:val="00C321F1"/>
    <w:rsid w:val="00C36F2B"/>
    <w:rsid w:val="00C4688F"/>
    <w:rsid w:val="00C46945"/>
    <w:rsid w:val="00C51546"/>
    <w:rsid w:val="00C5285C"/>
    <w:rsid w:val="00C6521B"/>
    <w:rsid w:val="00C719C7"/>
    <w:rsid w:val="00C7550E"/>
    <w:rsid w:val="00C772D5"/>
    <w:rsid w:val="00C84E39"/>
    <w:rsid w:val="00C91CAE"/>
    <w:rsid w:val="00C948D8"/>
    <w:rsid w:val="00C94A48"/>
    <w:rsid w:val="00CB171B"/>
    <w:rsid w:val="00CB18E6"/>
    <w:rsid w:val="00CC1303"/>
    <w:rsid w:val="00CC138F"/>
    <w:rsid w:val="00CC5234"/>
    <w:rsid w:val="00CD1188"/>
    <w:rsid w:val="00CD215B"/>
    <w:rsid w:val="00CD39BE"/>
    <w:rsid w:val="00CD4977"/>
    <w:rsid w:val="00CE0F99"/>
    <w:rsid w:val="00CE6C78"/>
    <w:rsid w:val="00CF44EF"/>
    <w:rsid w:val="00CF5275"/>
    <w:rsid w:val="00D07D77"/>
    <w:rsid w:val="00D12161"/>
    <w:rsid w:val="00D12227"/>
    <w:rsid w:val="00D15AA5"/>
    <w:rsid w:val="00D25EA5"/>
    <w:rsid w:val="00D32164"/>
    <w:rsid w:val="00D360CB"/>
    <w:rsid w:val="00D41487"/>
    <w:rsid w:val="00D522D5"/>
    <w:rsid w:val="00D5481E"/>
    <w:rsid w:val="00D63A56"/>
    <w:rsid w:val="00D80971"/>
    <w:rsid w:val="00D82906"/>
    <w:rsid w:val="00D83040"/>
    <w:rsid w:val="00D9189B"/>
    <w:rsid w:val="00D96FD2"/>
    <w:rsid w:val="00D97058"/>
    <w:rsid w:val="00D97BA3"/>
    <w:rsid w:val="00DA3941"/>
    <w:rsid w:val="00DA3F55"/>
    <w:rsid w:val="00DB0FC3"/>
    <w:rsid w:val="00DB1061"/>
    <w:rsid w:val="00DB1522"/>
    <w:rsid w:val="00DB36F7"/>
    <w:rsid w:val="00DB3C04"/>
    <w:rsid w:val="00DB7D16"/>
    <w:rsid w:val="00DC5F21"/>
    <w:rsid w:val="00DD4AD6"/>
    <w:rsid w:val="00DD6876"/>
    <w:rsid w:val="00DE0183"/>
    <w:rsid w:val="00DE2EBB"/>
    <w:rsid w:val="00DF551B"/>
    <w:rsid w:val="00DF586D"/>
    <w:rsid w:val="00DF61E9"/>
    <w:rsid w:val="00E0216F"/>
    <w:rsid w:val="00E0477A"/>
    <w:rsid w:val="00E0597F"/>
    <w:rsid w:val="00E12BCC"/>
    <w:rsid w:val="00E26786"/>
    <w:rsid w:val="00E32460"/>
    <w:rsid w:val="00E458F6"/>
    <w:rsid w:val="00E47095"/>
    <w:rsid w:val="00E54034"/>
    <w:rsid w:val="00E620C9"/>
    <w:rsid w:val="00E654ED"/>
    <w:rsid w:val="00E66761"/>
    <w:rsid w:val="00E74883"/>
    <w:rsid w:val="00E7677C"/>
    <w:rsid w:val="00E77A31"/>
    <w:rsid w:val="00E828BD"/>
    <w:rsid w:val="00E83CAA"/>
    <w:rsid w:val="00E8509C"/>
    <w:rsid w:val="00E94F1A"/>
    <w:rsid w:val="00EA13BD"/>
    <w:rsid w:val="00EA4942"/>
    <w:rsid w:val="00EA72E0"/>
    <w:rsid w:val="00EB78BD"/>
    <w:rsid w:val="00EC78AE"/>
    <w:rsid w:val="00ED16FC"/>
    <w:rsid w:val="00ED4D76"/>
    <w:rsid w:val="00EE012D"/>
    <w:rsid w:val="00EF69CB"/>
    <w:rsid w:val="00F10315"/>
    <w:rsid w:val="00F1672A"/>
    <w:rsid w:val="00F233D2"/>
    <w:rsid w:val="00F25AB0"/>
    <w:rsid w:val="00F33300"/>
    <w:rsid w:val="00F34EE3"/>
    <w:rsid w:val="00F4399C"/>
    <w:rsid w:val="00F46EA1"/>
    <w:rsid w:val="00F57786"/>
    <w:rsid w:val="00F61473"/>
    <w:rsid w:val="00F659CB"/>
    <w:rsid w:val="00F667D5"/>
    <w:rsid w:val="00F67B39"/>
    <w:rsid w:val="00F7296F"/>
    <w:rsid w:val="00F729D9"/>
    <w:rsid w:val="00F76732"/>
    <w:rsid w:val="00F77A68"/>
    <w:rsid w:val="00F8314B"/>
    <w:rsid w:val="00F864CA"/>
    <w:rsid w:val="00F90E80"/>
    <w:rsid w:val="00FA3B9F"/>
    <w:rsid w:val="00FA4A7C"/>
    <w:rsid w:val="00FB2FDA"/>
    <w:rsid w:val="00FB3C7B"/>
    <w:rsid w:val="00FB7D16"/>
    <w:rsid w:val="00FC05A3"/>
    <w:rsid w:val="00FC2EC1"/>
    <w:rsid w:val="00FD3E2D"/>
    <w:rsid w:val="00FD595D"/>
    <w:rsid w:val="00FE1746"/>
    <w:rsid w:val="00FF56B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54780"/>
  <w14:defaultImageDpi w14:val="32767"/>
  <w15:chartTrackingRefBased/>
  <w15:docId w15:val="{A0189469-9888-434E-A401-EAB9AE0BC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495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455B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E495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4D4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04D4F"/>
    <w:rPr>
      <w:rFonts w:ascii="Times New Roman" w:hAnsi="Times New Roman" w:cs="Times New Roman"/>
      <w:sz w:val="18"/>
      <w:szCs w:val="18"/>
    </w:rPr>
  </w:style>
  <w:style w:type="character" w:customStyle="1" w:styleId="Heading2Char">
    <w:name w:val="Heading 2 Char"/>
    <w:basedOn w:val="DefaultParagraphFont"/>
    <w:link w:val="Heading2"/>
    <w:uiPriority w:val="9"/>
    <w:rsid w:val="009455B5"/>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916BA7"/>
    <w:pPr>
      <w:ind w:firstLine="420"/>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916BA7"/>
    <w:rPr>
      <w:sz w:val="16"/>
      <w:szCs w:val="16"/>
    </w:rPr>
  </w:style>
  <w:style w:type="paragraph" w:styleId="CommentText">
    <w:name w:val="annotation text"/>
    <w:basedOn w:val="Normal"/>
    <w:link w:val="CommentTextChar"/>
    <w:uiPriority w:val="99"/>
    <w:unhideWhenUsed/>
    <w:rsid w:val="00916BA7"/>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916BA7"/>
    <w:rPr>
      <w:rFonts w:ascii="Times New Roman" w:eastAsia="Times New Roman" w:hAnsi="Times New Roman" w:cs="Times New Roman"/>
      <w:sz w:val="20"/>
      <w:szCs w:val="20"/>
    </w:rPr>
  </w:style>
  <w:style w:type="paragraph" w:styleId="Caption">
    <w:name w:val="caption"/>
    <w:basedOn w:val="Normal"/>
    <w:next w:val="Normal"/>
    <w:uiPriority w:val="35"/>
    <w:unhideWhenUsed/>
    <w:qFormat/>
    <w:rsid w:val="00C719C7"/>
    <w:pPr>
      <w:spacing w:after="200"/>
    </w:pPr>
    <w:rPr>
      <w:rFonts w:ascii="Times New Roman" w:eastAsia="Times New Roman" w:hAnsi="Times New Roman" w:cs="Times New Roman"/>
      <w:i/>
      <w:iCs/>
      <w:color w:val="44546A" w:themeColor="text2"/>
      <w:sz w:val="18"/>
      <w:szCs w:val="18"/>
    </w:rPr>
  </w:style>
  <w:style w:type="character" w:customStyle="1" w:styleId="Heading1Char">
    <w:name w:val="Heading 1 Char"/>
    <w:basedOn w:val="DefaultParagraphFont"/>
    <w:link w:val="Heading1"/>
    <w:uiPriority w:val="9"/>
    <w:rsid w:val="008E495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8E4954"/>
    <w:rPr>
      <w:rFonts w:asciiTheme="majorHAnsi" w:eastAsiaTheme="majorEastAsia" w:hAnsiTheme="majorHAnsi" w:cstheme="majorBidi"/>
      <w:color w:val="1F3763" w:themeColor="accent1" w:themeShade="7F"/>
    </w:rPr>
  </w:style>
  <w:style w:type="paragraph" w:styleId="CommentSubject">
    <w:name w:val="annotation subject"/>
    <w:basedOn w:val="CommentText"/>
    <w:next w:val="CommentText"/>
    <w:link w:val="CommentSubjectChar"/>
    <w:uiPriority w:val="99"/>
    <w:semiHidden/>
    <w:unhideWhenUsed/>
    <w:rsid w:val="009530B7"/>
    <w:rPr>
      <w:rFonts w:asciiTheme="minorHAnsi" w:eastAsiaTheme="minorEastAsia" w:hAnsiTheme="minorHAnsi" w:cstheme="minorBidi"/>
      <w:b/>
      <w:bCs/>
    </w:rPr>
  </w:style>
  <w:style w:type="character" w:customStyle="1" w:styleId="CommentSubjectChar">
    <w:name w:val="Comment Subject Char"/>
    <w:basedOn w:val="CommentTextChar"/>
    <w:link w:val="CommentSubject"/>
    <w:uiPriority w:val="99"/>
    <w:semiHidden/>
    <w:rsid w:val="009530B7"/>
    <w:rPr>
      <w:rFonts w:ascii="Times New Roman" w:eastAsia="Times New Roman" w:hAnsi="Times New Roman" w:cs="Times New Roman"/>
      <w:b/>
      <w:bCs/>
      <w:sz w:val="20"/>
      <w:szCs w:val="20"/>
    </w:rPr>
  </w:style>
  <w:style w:type="table" w:styleId="TableGrid">
    <w:name w:val="Table Grid"/>
    <w:basedOn w:val="TableNormal"/>
    <w:uiPriority w:val="39"/>
    <w:rsid w:val="002F6B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D522D5"/>
    <w:pPr>
      <w:tabs>
        <w:tab w:val="left" w:pos="380"/>
      </w:tabs>
      <w:spacing w:after="240"/>
      <w:ind w:left="384" w:hanging="384"/>
    </w:pPr>
  </w:style>
  <w:style w:type="paragraph" w:styleId="NormalWeb">
    <w:name w:val="Normal (Web)"/>
    <w:basedOn w:val="Normal"/>
    <w:uiPriority w:val="99"/>
    <w:semiHidden/>
    <w:unhideWhenUsed/>
    <w:rsid w:val="00D63A56"/>
    <w:pPr>
      <w:spacing w:before="100" w:beforeAutospacing="1" w:after="100" w:afterAutospacing="1"/>
    </w:pPr>
    <w:rPr>
      <w:rFonts w:ascii="Times New Roman" w:eastAsia="Times New Roman" w:hAnsi="Times New Roman" w:cs="Times New Roman"/>
    </w:rPr>
  </w:style>
  <w:style w:type="character" w:styleId="PlaceholderText">
    <w:name w:val="Placeholder Text"/>
    <w:basedOn w:val="DefaultParagraphFont"/>
    <w:uiPriority w:val="99"/>
    <w:semiHidden/>
    <w:rsid w:val="002F5DC9"/>
    <w:rPr>
      <w:color w:val="808080"/>
    </w:rPr>
  </w:style>
  <w:style w:type="paragraph" w:styleId="Revision">
    <w:name w:val="Revision"/>
    <w:hidden/>
    <w:uiPriority w:val="99"/>
    <w:semiHidden/>
    <w:rsid w:val="0050651E"/>
  </w:style>
  <w:style w:type="table" w:styleId="GridTable1Light-Accent1">
    <w:name w:val="Grid Table 1 Light Accent 1"/>
    <w:basedOn w:val="TableNormal"/>
    <w:uiPriority w:val="46"/>
    <w:rsid w:val="00801AD7"/>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989943">
      <w:bodyDiv w:val="1"/>
      <w:marLeft w:val="0"/>
      <w:marRight w:val="0"/>
      <w:marTop w:val="0"/>
      <w:marBottom w:val="0"/>
      <w:divBdr>
        <w:top w:val="none" w:sz="0" w:space="0" w:color="auto"/>
        <w:left w:val="none" w:sz="0" w:space="0" w:color="auto"/>
        <w:bottom w:val="none" w:sz="0" w:space="0" w:color="auto"/>
        <w:right w:val="none" w:sz="0" w:space="0" w:color="auto"/>
      </w:divBdr>
      <w:divsChild>
        <w:div w:id="385761078">
          <w:marLeft w:val="0"/>
          <w:marRight w:val="0"/>
          <w:marTop w:val="0"/>
          <w:marBottom w:val="0"/>
          <w:divBdr>
            <w:top w:val="none" w:sz="0" w:space="0" w:color="auto"/>
            <w:left w:val="none" w:sz="0" w:space="0" w:color="auto"/>
            <w:bottom w:val="none" w:sz="0" w:space="0" w:color="auto"/>
            <w:right w:val="none" w:sz="0" w:space="0" w:color="auto"/>
          </w:divBdr>
          <w:divsChild>
            <w:div w:id="70663113">
              <w:marLeft w:val="0"/>
              <w:marRight w:val="0"/>
              <w:marTop w:val="0"/>
              <w:marBottom w:val="0"/>
              <w:divBdr>
                <w:top w:val="none" w:sz="0" w:space="0" w:color="auto"/>
                <w:left w:val="none" w:sz="0" w:space="0" w:color="auto"/>
                <w:bottom w:val="none" w:sz="0" w:space="0" w:color="auto"/>
                <w:right w:val="none" w:sz="0" w:space="0" w:color="auto"/>
              </w:divBdr>
              <w:divsChild>
                <w:div w:id="2065257034">
                  <w:marLeft w:val="0"/>
                  <w:marRight w:val="0"/>
                  <w:marTop w:val="0"/>
                  <w:marBottom w:val="0"/>
                  <w:divBdr>
                    <w:top w:val="none" w:sz="0" w:space="0" w:color="auto"/>
                    <w:left w:val="none" w:sz="0" w:space="0" w:color="auto"/>
                    <w:bottom w:val="none" w:sz="0" w:space="0" w:color="auto"/>
                    <w:right w:val="none" w:sz="0" w:space="0" w:color="auto"/>
                  </w:divBdr>
                  <w:divsChild>
                    <w:div w:id="32532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649136">
      <w:bodyDiv w:val="1"/>
      <w:marLeft w:val="0"/>
      <w:marRight w:val="0"/>
      <w:marTop w:val="0"/>
      <w:marBottom w:val="0"/>
      <w:divBdr>
        <w:top w:val="none" w:sz="0" w:space="0" w:color="auto"/>
        <w:left w:val="none" w:sz="0" w:space="0" w:color="auto"/>
        <w:bottom w:val="none" w:sz="0" w:space="0" w:color="auto"/>
        <w:right w:val="none" w:sz="0" w:space="0" w:color="auto"/>
      </w:divBdr>
      <w:divsChild>
        <w:div w:id="645206671">
          <w:marLeft w:val="0"/>
          <w:marRight w:val="0"/>
          <w:marTop w:val="0"/>
          <w:marBottom w:val="0"/>
          <w:divBdr>
            <w:top w:val="none" w:sz="0" w:space="0" w:color="auto"/>
            <w:left w:val="none" w:sz="0" w:space="0" w:color="auto"/>
            <w:bottom w:val="none" w:sz="0" w:space="0" w:color="auto"/>
            <w:right w:val="none" w:sz="0" w:space="0" w:color="auto"/>
          </w:divBdr>
          <w:divsChild>
            <w:div w:id="1382631376">
              <w:marLeft w:val="0"/>
              <w:marRight w:val="0"/>
              <w:marTop w:val="0"/>
              <w:marBottom w:val="0"/>
              <w:divBdr>
                <w:top w:val="none" w:sz="0" w:space="0" w:color="auto"/>
                <w:left w:val="none" w:sz="0" w:space="0" w:color="auto"/>
                <w:bottom w:val="none" w:sz="0" w:space="0" w:color="auto"/>
                <w:right w:val="none" w:sz="0" w:space="0" w:color="auto"/>
              </w:divBdr>
              <w:divsChild>
                <w:div w:id="668675684">
                  <w:marLeft w:val="0"/>
                  <w:marRight w:val="0"/>
                  <w:marTop w:val="0"/>
                  <w:marBottom w:val="0"/>
                  <w:divBdr>
                    <w:top w:val="none" w:sz="0" w:space="0" w:color="auto"/>
                    <w:left w:val="none" w:sz="0" w:space="0" w:color="auto"/>
                    <w:bottom w:val="none" w:sz="0" w:space="0" w:color="auto"/>
                    <w:right w:val="none" w:sz="0" w:space="0" w:color="auto"/>
                  </w:divBdr>
                  <w:divsChild>
                    <w:div w:id="32829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73645">
      <w:bodyDiv w:val="1"/>
      <w:marLeft w:val="0"/>
      <w:marRight w:val="0"/>
      <w:marTop w:val="0"/>
      <w:marBottom w:val="0"/>
      <w:divBdr>
        <w:top w:val="none" w:sz="0" w:space="0" w:color="auto"/>
        <w:left w:val="none" w:sz="0" w:space="0" w:color="auto"/>
        <w:bottom w:val="none" w:sz="0" w:space="0" w:color="auto"/>
        <w:right w:val="none" w:sz="0" w:space="0" w:color="auto"/>
      </w:divBdr>
      <w:divsChild>
        <w:div w:id="1701202122">
          <w:marLeft w:val="0"/>
          <w:marRight w:val="0"/>
          <w:marTop w:val="0"/>
          <w:marBottom w:val="0"/>
          <w:divBdr>
            <w:top w:val="none" w:sz="0" w:space="0" w:color="auto"/>
            <w:left w:val="none" w:sz="0" w:space="0" w:color="auto"/>
            <w:bottom w:val="none" w:sz="0" w:space="0" w:color="auto"/>
            <w:right w:val="none" w:sz="0" w:space="0" w:color="auto"/>
          </w:divBdr>
          <w:divsChild>
            <w:div w:id="631516593">
              <w:marLeft w:val="0"/>
              <w:marRight w:val="0"/>
              <w:marTop w:val="0"/>
              <w:marBottom w:val="0"/>
              <w:divBdr>
                <w:top w:val="none" w:sz="0" w:space="0" w:color="auto"/>
                <w:left w:val="none" w:sz="0" w:space="0" w:color="auto"/>
                <w:bottom w:val="none" w:sz="0" w:space="0" w:color="auto"/>
                <w:right w:val="none" w:sz="0" w:space="0" w:color="auto"/>
              </w:divBdr>
              <w:divsChild>
                <w:div w:id="789781300">
                  <w:marLeft w:val="0"/>
                  <w:marRight w:val="0"/>
                  <w:marTop w:val="0"/>
                  <w:marBottom w:val="0"/>
                  <w:divBdr>
                    <w:top w:val="none" w:sz="0" w:space="0" w:color="auto"/>
                    <w:left w:val="none" w:sz="0" w:space="0" w:color="auto"/>
                    <w:bottom w:val="none" w:sz="0" w:space="0" w:color="auto"/>
                    <w:right w:val="none" w:sz="0" w:space="0" w:color="auto"/>
                  </w:divBdr>
                  <w:divsChild>
                    <w:div w:id="213378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005081">
      <w:bodyDiv w:val="1"/>
      <w:marLeft w:val="0"/>
      <w:marRight w:val="0"/>
      <w:marTop w:val="0"/>
      <w:marBottom w:val="0"/>
      <w:divBdr>
        <w:top w:val="none" w:sz="0" w:space="0" w:color="auto"/>
        <w:left w:val="none" w:sz="0" w:space="0" w:color="auto"/>
        <w:bottom w:val="none" w:sz="0" w:space="0" w:color="auto"/>
        <w:right w:val="none" w:sz="0" w:space="0" w:color="auto"/>
      </w:divBdr>
      <w:divsChild>
        <w:div w:id="2036886880">
          <w:marLeft w:val="0"/>
          <w:marRight w:val="0"/>
          <w:marTop w:val="0"/>
          <w:marBottom w:val="0"/>
          <w:divBdr>
            <w:top w:val="none" w:sz="0" w:space="0" w:color="auto"/>
            <w:left w:val="none" w:sz="0" w:space="0" w:color="auto"/>
            <w:bottom w:val="none" w:sz="0" w:space="0" w:color="auto"/>
            <w:right w:val="none" w:sz="0" w:space="0" w:color="auto"/>
          </w:divBdr>
          <w:divsChild>
            <w:div w:id="230896423">
              <w:marLeft w:val="0"/>
              <w:marRight w:val="0"/>
              <w:marTop w:val="0"/>
              <w:marBottom w:val="0"/>
              <w:divBdr>
                <w:top w:val="none" w:sz="0" w:space="0" w:color="auto"/>
                <w:left w:val="none" w:sz="0" w:space="0" w:color="auto"/>
                <w:bottom w:val="none" w:sz="0" w:space="0" w:color="auto"/>
                <w:right w:val="none" w:sz="0" w:space="0" w:color="auto"/>
              </w:divBdr>
              <w:divsChild>
                <w:div w:id="1298727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11517">
      <w:bodyDiv w:val="1"/>
      <w:marLeft w:val="0"/>
      <w:marRight w:val="0"/>
      <w:marTop w:val="0"/>
      <w:marBottom w:val="0"/>
      <w:divBdr>
        <w:top w:val="none" w:sz="0" w:space="0" w:color="auto"/>
        <w:left w:val="none" w:sz="0" w:space="0" w:color="auto"/>
        <w:bottom w:val="none" w:sz="0" w:space="0" w:color="auto"/>
        <w:right w:val="none" w:sz="0" w:space="0" w:color="auto"/>
      </w:divBdr>
      <w:divsChild>
        <w:div w:id="942342655">
          <w:marLeft w:val="0"/>
          <w:marRight w:val="0"/>
          <w:marTop w:val="0"/>
          <w:marBottom w:val="0"/>
          <w:divBdr>
            <w:top w:val="none" w:sz="0" w:space="0" w:color="auto"/>
            <w:left w:val="none" w:sz="0" w:space="0" w:color="auto"/>
            <w:bottom w:val="none" w:sz="0" w:space="0" w:color="auto"/>
            <w:right w:val="none" w:sz="0" w:space="0" w:color="auto"/>
          </w:divBdr>
          <w:divsChild>
            <w:div w:id="1813135276">
              <w:marLeft w:val="0"/>
              <w:marRight w:val="0"/>
              <w:marTop w:val="0"/>
              <w:marBottom w:val="0"/>
              <w:divBdr>
                <w:top w:val="none" w:sz="0" w:space="0" w:color="auto"/>
                <w:left w:val="none" w:sz="0" w:space="0" w:color="auto"/>
                <w:bottom w:val="none" w:sz="0" w:space="0" w:color="auto"/>
                <w:right w:val="none" w:sz="0" w:space="0" w:color="auto"/>
              </w:divBdr>
              <w:divsChild>
                <w:div w:id="22560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152021">
      <w:bodyDiv w:val="1"/>
      <w:marLeft w:val="0"/>
      <w:marRight w:val="0"/>
      <w:marTop w:val="0"/>
      <w:marBottom w:val="0"/>
      <w:divBdr>
        <w:top w:val="none" w:sz="0" w:space="0" w:color="auto"/>
        <w:left w:val="none" w:sz="0" w:space="0" w:color="auto"/>
        <w:bottom w:val="none" w:sz="0" w:space="0" w:color="auto"/>
        <w:right w:val="none" w:sz="0" w:space="0" w:color="auto"/>
      </w:divBdr>
    </w:div>
    <w:div w:id="433013622">
      <w:bodyDiv w:val="1"/>
      <w:marLeft w:val="0"/>
      <w:marRight w:val="0"/>
      <w:marTop w:val="0"/>
      <w:marBottom w:val="0"/>
      <w:divBdr>
        <w:top w:val="none" w:sz="0" w:space="0" w:color="auto"/>
        <w:left w:val="none" w:sz="0" w:space="0" w:color="auto"/>
        <w:bottom w:val="none" w:sz="0" w:space="0" w:color="auto"/>
        <w:right w:val="none" w:sz="0" w:space="0" w:color="auto"/>
      </w:divBdr>
    </w:div>
    <w:div w:id="462310235">
      <w:bodyDiv w:val="1"/>
      <w:marLeft w:val="0"/>
      <w:marRight w:val="0"/>
      <w:marTop w:val="0"/>
      <w:marBottom w:val="0"/>
      <w:divBdr>
        <w:top w:val="none" w:sz="0" w:space="0" w:color="auto"/>
        <w:left w:val="none" w:sz="0" w:space="0" w:color="auto"/>
        <w:bottom w:val="none" w:sz="0" w:space="0" w:color="auto"/>
        <w:right w:val="none" w:sz="0" w:space="0" w:color="auto"/>
      </w:divBdr>
    </w:div>
    <w:div w:id="637614696">
      <w:bodyDiv w:val="1"/>
      <w:marLeft w:val="0"/>
      <w:marRight w:val="0"/>
      <w:marTop w:val="0"/>
      <w:marBottom w:val="0"/>
      <w:divBdr>
        <w:top w:val="none" w:sz="0" w:space="0" w:color="auto"/>
        <w:left w:val="none" w:sz="0" w:space="0" w:color="auto"/>
        <w:bottom w:val="none" w:sz="0" w:space="0" w:color="auto"/>
        <w:right w:val="none" w:sz="0" w:space="0" w:color="auto"/>
      </w:divBdr>
      <w:divsChild>
        <w:div w:id="1844129776">
          <w:marLeft w:val="0"/>
          <w:marRight w:val="0"/>
          <w:marTop w:val="0"/>
          <w:marBottom w:val="0"/>
          <w:divBdr>
            <w:top w:val="none" w:sz="0" w:space="0" w:color="auto"/>
            <w:left w:val="none" w:sz="0" w:space="0" w:color="auto"/>
            <w:bottom w:val="none" w:sz="0" w:space="0" w:color="auto"/>
            <w:right w:val="none" w:sz="0" w:space="0" w:color="auto"/>
          </w:divBdr>
          <w:divsChild>
            <w:div w:id="642659948">
              <w:marLeft w:val="0"/>
              <w:marRight w:val="0"/>
              <w:marTop w:val="0"/>
              <w:marBottom w:val="0"/>
              <w:divBdr>
                <w:top w:val="none" w:sz="0" w:space="0" w:color="auto"/>
                <w:left w:val="none" w:sz="0" w:space="0" w:color="auto"/>
                <w:bottom w:val="none" w:sz="0" w:space="0" w:color="auto"/>
                <w:right w:val="none" w:sz="0" w:space="0" w:color="auto"/>
              </w:divBdr>
              <w:divsChild>
                <w:div w:id="112989853">
                  <w:marLeft w:val="0"/>
                  <w:marRight w:val="0"/>
                  <w:marTop w:val="0"/>
                  <w:marBottom w:val="0"/>
                  <w:divBdr>
                    <w:top w:val="none" w:sz="0" w:space="0" w:color="auto"/>
                    <w:left w:val="none" w:sz="0" w:space="0" w:color="auto"/>
                    <w:bottom w:val="none" w:sz="0" w:space="0" w:color="auto"/>
                    <w:right w:val="none" w:sz="0" w:space="0" w:color="auto"/>
                  </w:divBdr>
                  <w:divsChild>
                    <w:div w:id="96222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7447031">
      <w:bodyDiv w:val="1"/>
      <w:marLeft w:val="0"/>
      <w:marRight w:val="0"/>
      <w:marTop w:val="0"/>
      <w:marBottom w:val="0"/>
      <w:divBdr>
        <w:top w:val="none" w:sz="0" w:space="0" w:color="auto"/>
        <w:left w:val="none" w:sz="0" w:space="0" w:color="auto"/>
        <w:bottom w:val="none" w:sz="0" w:space="0" w:color="auto"/>
        <w:right w:val="none" w:sz="0" w:space="0" w:color="auto"/>
      </w:divBdr>
    </w:div>
    <w:div w:id="698160580">
      <w:bodyDiv w:val="1"/>
      <w:marLeft w:val="0"/>
      <w:marRight w:val="0"/>
      <w:marTop w:val="0"/>
      <w:marBottom w:val="0"/>
      <w:divBdr>
        <w:top w:val="none" w:sz="0" w:space="0" w:color="auto"/>
        <w:left w:val="none" w:sz="0" w:space="0" w:color="auto"/>
        <w:bottom w:val="none" w:sz="0" w:space="0" w:color="auto"/>
        <w:right w:val="none" w:sz="0" w:space="0" w:color="auto"/>
      </w:divBdr>
    </w:div>
    <w:div w:id="802429394">
      <w:bodyDiv w:val="1"/>
      <w:marLeft w:val="0"/>
      <w:marRight w:val="0"/>
      <w:marTop w:val="0"/>
      <w:marBottom w:val="0"/>
      <w:divBdr>
        <w:top w:val="none" w:sz="0" w:space="0" w:color="auto"/>
        <w:left w:val="none" w:sz="0" w:space="0" w:color="auto"/>
        <w:bottom w:val="none" w:sz="0" w:space="0" w:color="auto"/>
        <w:right w:val="none" w:sz="0" w:space="0" w:color="auto"/>
      </w:divBdr>
      <w:divsChild>
        <w:div w:id="1210534317">
          <w:marLeft w:val="0"/>
          <w:marRight w:val="0"/>
          <w:marTop w:val="0"/>
          <w:marBottom w:val="0"/>
          <w:divBdr>
            <w:top w:val="none" w:sz="0" w:space="0" w:color="auto"/>
            <w:left w:val="none" w:sz="0" w:space="0" w:color="auto"/>
            <w:bottom w:val="none" w:sz="0" w:space="0" w:color="auto"/>
            <w:right w:val="none" w:sz="0" w:space="0" w:color="auto"/>
          </w:divBdr>
        </w:div>
        <w:div w:id="417680761">
          <w:marLeft w:val="0"/>
          <w:marRight w:val="0"/>
          <w:marTop w:val="0"/>
          <w:marBottom w:val="0"/>
          <w:divBdr>
            <w:top w:val="none" w:sz="0" w:space="0" w:color="auto"/>
            <w:left w:val="none" w:sz="0" w:space="0" w:color="auto"/>
            <w:bottom w:val="none" w:sz="0" w:space="0" w:color="auto"/>
            <w:right w:val="none" w:sz="0" w:space="0" w:color="auto"/>
          </w:divBdr>
          <w:divsChild>
            <w:div w:id="6017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221949">
      <w:bodyDiv w:val="1"/>
      <w:marLeft w:val="0"/>
      <w:marRight w:val="0"/>
      <w:marTop w:val="0"/>
      <w:marBottom w:val="0"/>
      <w:divBdr>
        <w:top w:val="none" w:sz="0" w:space="0" w:color="auto"/>
        <w:left w:val="none" w:sz="0" w:space="0" w:color="auto"/>
        <w:bottom w:val="none" w:sz="0" w:space="0" w:color="auto"/>
        <w:right w:val="none" w:sz="0" w:space="0" w:color="auto"/>
      </w:divBdr>
      <w:divsChild>
        <w:div w:id="439841735">
          <w:marLeft w:val="0"/>
          <w:marRight w:val="0"/>
          <w:marTop w:val="0"/>
          <w:marBottom w:val="0"/>
          <w:divBdr>
            <w:top w:val="none" w:sz="0" w:space="0" w:color="auto"/>
            <w:left w:val="none" w:sz="0" w:space="0" w:color="auto"/>
            <w:bottom w:val="none" w:sz="0" w:space="0" w:color="auto"/>
            <w:right w:val="none" w:sz="0" w:space="0" w:color="auto"/>
          </w:divBdr>
          <w:divsChild>
            <w:div w:id="1931768717">
              <w:marLeft w:val="0"/>
              <w:marRight w:val="0"/>
              <w:marTop w:val="0"/>
              <w:marBottom w:val="0"/>
              <w:divBdr>
                <w:top w:val="none" w:sz="0" w:space="0" w:color="auto"/>
                <w:left w:val="none" w:sz="0" w:space="0" w:color="auto"/>
                <w:bottom w:val="none" w:sz="0" w:space="0" w:color="auto"/>
                <w:right w:val="none" w:sz="0" w:space="0" w:color="auto"/>
              </w:divBdr>
              <w:divsChild>
                <w:div w:id="1231237443">
                  <w:marLeft w:val="0"/>
                  <w:marRight w:val="0"/>
                  <w:marTop w:val="0"/>
                  <w:marBottom w:val="0"/>
                  <w:divBdr>
                    <w:top w:val="none" w:sz="0" w:space="0" w:color="auto"/>
                    <w:left w:val="none" w:sz="0" w:space="0" w:color="auto"/>
                    <w:bottom w:val="none" w:sz="0" w:space="0" w:color="auto"/>
                    <w:right w:val="none" w:sz="0" w:space="0" w:color="auto"/>
                  </w:divBdr>
                  <w:divsChild>
                    <w:div w:id="2068870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6685">
      <w:bodyDiv w:val="1"/>
      <w:marLeft w:val="0"/>
      <w:marRight w:val="0"/>
      <w:marTop w:val="0"/>
      <w:marBottom w:val="0"/>
      <w:divBdr>
        <w:top w:val="none" w:sz="0" w:space="0" w:color="auto"/>
        <w:left w:val="none" w:sz="0" w:space="0" w:color="auto"/>
        <w:bottom w:val="none" w:sz="0" w:space="0" w:color="auto"/>
        <w:right w:val="none" w:sz="0" w:space="0" w:color="auto"/>
      </w:divBdr>
      <w:divsChild>
        <w:div w:id="203176161">
          <w:marLeft w:val="0"/>
          <w:marRight w:val="0"/>
          <w:marTop w:val="0"/>
          <w:marBottom w:val="0"/>
          <w:divBdr>
            <w:top w:val="none" w:sz="0" w:space="0" w:color="auto"/>
            <w:left w:val="none" w:sz="0" w:space="0" w:color="auto"/>
            <w:bottom w:val="none" w:sz="0" w:space="0" w:color="auto"/>
            <w:right w:val="none" w:sz="0" w:space="0" w:color="auto"/>
          </w:divBdr>
          <w:divsChild>
            <w:div w:id="1570968397">
              <w:marLeft w:val="0"/>
              <w:marRight w:val="0"/>
              <w:marTop w:val="0"/>
              <w:marBottom w:val="0"/>
              <w:divBdr>
                <w:top w:val="none" w:sz="0" w:space="0" w:color="auto"/>
                <w:left w:val="none" w:sz="0" w:space="0" w:color="auto"/>
                <w:bottom w:val="none" w:sz="0" w:space="0" w:color="auto"/>
                <w:right w:val="none" w:sz="0" w:space="0" w:color="auto"/>
              </w:divBdr>
              <w:divsChild>
                <w:div w:id="659961849">
                  <w:marLeft w:val="0"/>
                  <w:marRight w:val="0"/>
                  <w:marTop w:val="0"/>
                  <w:marBottom w:val="0"/>
                  <w:divBdr>
                    <w:top w:val="none" w:sz="0" w:space="0" w:color="auto"/>
                    <w:left w:val="none" w:sz="0" w:space="0" w:color="auto"/>
                    <w:bottom w:val="none" w:sz="0" w:space="0" w:color="auto"/>
                    <w:right w:val="none" w:sz="0" w:space="0" w:color="auto"/>
                  </w:divBdr>
                  <w:divsChild>
                    <w:div w:id="17977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618071">
      <w:bodyDiv w:val="1"/>
      <w:marLeft w:val="0"/>
      <w:marRight w:val="0"/>
      <w:marTop w:val="0"/>
      <w:marBottom w:val="0"/>
      <w:divBdr>
        <w:top w:val="none" w:sz="0" w:space="0" w:color="auto"/>
        <w:left w:val="none" w:sz="0" w:space="0" w:color="auto"/>
        <w:bottom w:val="none" w:sz="0" w:space="0" w:color="auto"/>
        <w:right w:val="none" w:sz="0" w:space="0" w:color="auto"/>
      </w:divBdr>
    </w:div>
    <w:div w:id="968363918">
      <w:bodyDiv w:val="1"/>
      <w:marLeft w:val="0"/>
      <w:marRight w:val="0"/>
      <w:marTop w:val="0"/>
      <w:marBottom w:val="0"/>
      <w:divBdr>
        <w:top w:val="none" w:sz="0" w:space="0" w:color="auto"/>
        <w:left w:val="none" w:sz="0" w:space="0" w:color="auto"/>
        <w:bottom w:val="none" w:sz="0" w:space="0" w:color="auto"/>
        <w:right w:val="none" w:sz="0" w:space="0" w:color="auto"/>
      </w:divBdr>
      <w:divsChild>
        <w:div w:id="1449662964">
          <w:marLeft w:val="0"/>
          <w:marRight w:val="0"/>
          <w:marTop w:val="0"/>
          <w:marBottom w:val="0"/>
          <w:divBdr>
            <w:top w:val="none" w:sz="0" w:space="0" w:color="auto"/>
            <w:left w:val="none" w:sz="0" w:space="0" w:color="auto"/>
            <w:bottom w:val="none" w:sz="0" w:space="0" w:color="auto"/>
            <w:right w:val="none" w:sz="0" w:space="0" w:color="auto"/>
          </w:divBdr>
          <w:divsChild>
            <w:div w:id="1967421641">
              <w:marLeft w:val="0"/>
              <w:marRight w:val="0"/>
              <w:marTop w:val="0"/>
              <w:marBottom w:val="0"/>
              <w:divBdr>
                <w:top w:val="none" w:sz="0" w:space="0" w:color="auto"/>
                <w:left w:val="none" w:sz="0" w:space="0" w:color="auto"/>
                <w:bottom w:val="none" w:sz="0" w:space="0" w:color="auto"/>
                <w:right w:val="none" w:sz="0" w:space="0" w:color="auto"/>
              </w:divBdr>
              <w:divsChild>
                <w:div w:id="1314145374">
                  <w:marLeft w:val="0"/>
                  <w:marRight w:val="0"/>
                  <w:marTop w:val="0"/>
                  <w:marBottom w:val="0"/>
                  <w:divBdr>
                    <w:top w:val="none" w:sz="0" w:space="0" w:color="auto"/>
                    <w:left w:val="none" w:sz="0" w:space="0" w:color="auto"/>
                    <w:bottom w:val="none" w:sz="0" w:space="0" w:color="auto"/>
                    <w:right w:val="none" w:sz="0" w:space="0" w:color="auto"/>
                  </w:divBdr>
                  <w:divsChild>
                    <w:div w:id="826480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5256839">
      <w:bodyDiv w:val="1"/>
      <w:marLeft w:val="0"/>
      <w:marRight w:val="0"/>
      <w:marTop w:val="0"/>
      <w:marBottom w:val="0"/>
      <w:divBdr>
        <w:top w:val="none" w:sz="0" w:space="0" w:color="auto"/>
        <w:left w:val="none" w:sz="0" w:space="0" w:color="auto"/>
        <w:bottom w:val="none" w:sz="0" w:space="0" w:color="auto"/>
        <w:right w:val="none" w:sz="0" w:space="0" w:color="auto"/>
      </w:divBdr>
      <w:divsChild>
        <w:div w:id="1606305545">
          <w:marLeft w:val="0"/>
          <w:marRight w:val="0"/>
          <w:marTop w:val="0"/>
          <w:marBottom w:val="0"/>
          <w:divBdr>
            <w:top w:val="none" w:sz="0" w:space="0" w:color="auto"/>
            <w:left w:val="none" w:sz="0" w:space="0" w:color="auto"/>
            <w:bottom w:val="none" w:sz="0" w:space="0" w:color="auto"/>
            <w:right w:val="none" w:sz="0" w:space="0" w:color="auto"/>
          </w:divBdr>
          <w:divsChild>
            <w:div w:id="1365709224">
              <w:marLeft w:val="0"/>
              <w:marRight w:val="0"/>
              <w:marTop w:val="0"/>
              <w:marBottom w:val="0"/>
              <w:divBdr>
                <w:top w:val="none" w:sz="0" w:space="0" w:color="auto"/>
                <w:left w:val="none" w:sz="0" w:space="0" w:color="auto"/>
                <w:bottom w:val="none" w:sz="0" w:space="0" w:color="auto"/>
                <w:right w:val="none" w:sz="0" w:space="0" w:color="auto"/>
              </w:divBdr>
              <w:divsChild>
                <w:div w:id="1242060498">
                  <w:marLeft w:val="0"/>
                  <w:marRight w:val="0"/>
                  <w:marTop w:val="0"/>
                  <w:marBottom w:val="0"/>
                  <w:divBdr>
                    <w:top w:val="none" w:sz="0" w:space="0" w:color="auto"/>
                    <w:left w:val="none" w:sz="0" w:space="0" w:color="auto"/>
                    <w:bottom w:val="none" w:sz="0" w:space="0" w:color="auto"/>
                    <w:right w:val="none" w:sz="0" w:space="0" w:color="auto"/>
                  </w:divBdr>
                  <w:divsChild>
                    <w:div w:id="5047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9063047">
      <w:bodyDiv w:val="1"/>
      <w:marLeft w:val="0"/>
      <w:marRight w:val="0"/>
      <w:marTop w:val="0"/>
      <w:marBottom w:val="0"/>
      <w:divBdr>
        <w:top w:val="none" w:sz="0" w:space="0" w:color="auto"/>
        <w:left w:val="none" w:sz="0" w:space="0" w:color="auto"/>
        <w:bottom w:val="none" w:sz="0" w:space="0" w:color="auto"/>
        <w:right w:val="none" w:sz="0" w:space="0" w:color="auto"/>
      </w:divBdr>
      <w:divsChild>
        <w:div w:id="622464189">
          <w:marLeft w:val="0"/>
          <w:marRight w:val="0"/>
          <w:marTop w:val="0"/>
          <w:marBottom w:val="0"/>
          <w:divBdr>
            <w:top w:val="none" w:sz="0" w:space="0" w:color="auto"/>
            <w:left w:val="none" w:sz="0" w:space="0" w:color="auto"/>
            <w:bottom w:val="none" w:sz="0" w:space="0" w:color="auto"/>
            <w:right w:val="none" w:sz="0" w:space="0" w:color="auto"/>
          </w:divBdr>
          <w:divsChild>
            <w:div w:id="1357586545">
              <w:marLeft w:val="0"/>
              <w:marRight w:val="0"/>
              <w:marTop w:val="0"/>
              <w:marBottom w:val="0"/>
              <w:divBdr>
                <w:top w:val="none" w:sz="0" w:space="0" w:color="auto"/>
                <w:left w:val="none" w:sz="0" w:space="0" w:color="auto"/>
                <w:bottom w:val="none" w:sz="0" w:space="0" w:color="auto"/>
                <w:right w:val="none" w:sz="0" w:space="0" w:color="auto"/>
              </w:divBdr>
              <w:divsChild>
                <w:div w:id="874463268">
                  <w:marLeft w:val="0"/>
                  <w:marRight w:val="0"/>
                  <w:marTop w:val="0"/>
                  <w:marBottom w:val="0"/>
                  <w:divBdr>
                    <w:top w:val="none" w:sz="0" w:space="0" w:color="auto"/>
                    <w:left w:val="none" w:sz="0" w:space="0" w:color="auto"/>
                    <w:bottom w:val="none" w:sz="0" w:space="0" w:color="auto"/>
                    <w:right w:val="none" w:sz="0" w:space="0" w:color="auto"/>
                  </w:divBdr>
                  <w:divsChild>
                    <w:div w:id="12832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776476">
      <w:bodyDiv w:val="1"/>
      <w:marLeft w:val="0"/>
      <w:marRight w:val="0"/>
      <w:marTop w:val="0"/>
      <w:marBottom w:val="0"/>
      <w:divBdr>
        <w:top w:val="none" w:sz="0" w:space="0" w:color="auto"/>
        <w:left w:val="none" w:sz="0" w:space="0" w:color="auto"/>
        <w:bottom w:val="none" w:sz="0" w:space="0" w:color="auto"/>
        <w:right w:val="none" w:sz="0" w:space="0" w:color="auto"/>
      </w:divBdr>
      <w:divsChild>
        <w:div w:id="1590237154">
          <w:marLeft w:val="0"/>
          <w:marRight w:val="0"/>
          <w:marTop w:val="0"/>
          <w:marBottom w:val="0"/>
          <w:divBdr>
            <w:top w:val="none" w:sz="0" w:space="0" w:color="auto"/>
            <w:left w:val="none" w:sz="0" w:space="0" w:color="auto"/>
            <w:bottom w:val="none" w:sz="0" w:space="0" w:color="auto"/>
            <w:right w:val="none" w:sz="0" w:space="0" w:color="auto"/>
          </w:divBdr>
          <w:divsChild>
            <w:div w:id="1288899457">
              <w:marLeft w:val="0"/>
              <w:marRight w:val="0"/>
              <w:marTop w:val="0"/>
              <w:marBottom w:val="0"/>
              <w:divBdr>
                <w:top w:val="none" w:sz="0" w:space="0" w:color="auto"/>
                <w:left w:val="none" w:sz="0" w:space="0" w:color="auto"/>
                <w:bottom w:val="none" w:sz="0" w:space="0" w:color="auto"/>
                <w:right w:val="none" w:sz="0" w:space="0" w:color="auto"/>
              </w:divBdr>
              <w:divsChild>
                <w:div w:id="344333753">
                  <w:marLeft w:val="0"/>
                  <w:marRight w:val="0"/>
                  <w:marTop w:val="0"/>
                  <w:marBottom w:val="0"/>
                  <w:divBdr>
                    <w:top w:val="none" w:sz="0" w:space="0" w:color="auto"/>
                    <w:left w:val="none" w:sz="0" w:space="0" w:color="auto"/>
                    <w:bottom w:val="none" w:sz="0" w:space="0" w:color="auto"/>
                    <w:right w:val="none" w:sz="0" w:space="0" w:color="auto"/>
                  </w:divBdr>
                  <w:divsChild>
                    <w:div w:id="182068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336720">
      <w:bodyDiv w:val="1"/>
      <w:marLeft w:val="0"/>
      <w:marRight w:val="0"/>
      <w:marTop w:val="0"/>
      <w:marBottom w:val="0"/>
      <w:divBdr>
        <w:top w:val="none" w:sz="0" w:space="0" w:color="auto"/>
        <w:left w:val="none" w:sz="0" w:space="0" w:color="auto"/>
        <w:bottom w:val="none" w:sz="0" w:space="0" w:color="auto"/>
        <w:right w:val="none" w:sz="0" w:space="0" w:color="auto"/>
      </w:divBdr>
      <w:divsChild>
        <w:div w:id="303655335">
          <w:marLeft w:val="0"/>
          <w:marRight w:val="0"/>
          <w:marTop w:val="0"/>
          <w:marBottom w:val="0"/>
          <w:divBdr>
            <w:top w:val="none" w:sz="0" w:space="0" w:color="auto"/>
            <w:left w:val="none" w:sz="0" w:space="0" w:color="auto"/>
            <w:bottom w:val="none" w:sz="0" w:space="0" w:color="auto"/>
            <w:right w:val="none" w:sz="0" w:space="0" w:color="auto"/>
          </w:divBdr>
          <w:divsChild>
            <w:div w:id="802235965">
              <w:marLeft w:val="0"/>
              <w:marRight w:val="0"/>
              <w:marTop w:val="0"/>
              <w:marBottom w:val="0"/>
              <w:divBdr>
                <w:top w:val="none" w:sz="0" w:space="0" w:color="auto"/>
                <w:left w:val="none" w:sz="0" w:space="0" w:color="auto"/>
                <w:bottom w:val="none" w:sz="0" w:space="0" w:color="auto"/>
                <w:right w:val="none" w:sz="0" w:space="0" w:color="auto"/>
              </w:divBdr>
              <w:divsChild>
                <w:div w:id="456217794">
                  <w:marLeft w:val="0"/>
                  <w:marRight w:val="0"/>
                  <w:marTop w:val="0"/>
                  <w:marBottom w:val="0"/>
                  <w:divBdr>
                    <w:top w:val="none" w:sz="0" w:space="0" w:color="auto"/>
                    <w:left w:val="none" w:sz="0" w:space="0" w:color="auto"/>
                    <w:bottom w:val="none" w:sz="0" w:space="0" w:color="auto"/>
                    <w:right w:val="none" w:sz="0" w:space="0" w:color="auto"/>
                  </w:divBdr>
                  <w:divsChild>
                    <w:div w:id="155261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8779647">
      <w:bodyDiv w:val="1"/>
      <w:marLeft w:val="0"/>
      <w:marRight w:val="0"/>
      <w:marTop w:val="0"/>
      <w:marBottom w:val="0"/>
      <w:divBdr>
        <w:top w:val="none" w:sz="0" w:space="0" w:color="auto"/>
        <w:left w:val="none" w:sz="0" w:space="0" w:color="auto"/>
        <w:bottom w:val="none" w:sz="0" w:space="0" w:color="auto"/>
        <w:right w:val="none" w:sz="0" w:space="0" w:color="auto"/>
      </w:divBdr>
      <w:divsChild>
        <w:div w:id="58942030">
          <w:marLeft w:val="0"/>
          <w:marRight w:val="0"/>
          <w:marTop w:val="0"/>
          <w:marBottom w:val="0"/>
          <w:divBdr>
            <w:top w:val="none" w:sz="0" w:space="0" w:color="auto"/>
            <w:left w:val="none" w:sz="0" w:space="0" w:color="auto"/>
            <w:bottom w:val="none" w:sz="0" w:space="0" w:color="auto"/>
            <w:right w:val="none" w:sz="0" w:space="0" w:color="auto"/>
          </w:divBdr>
        </w:div>
      </w:divsChild>
    </w:div>
    <w:div w:id="1441294216">
      <w:bodyDiv w:val="1"/>
      <w:marLeft w:val="0"/>
      <w:marRight w:val="0"/>
      <w:marTop w:val="0"/>
      <w:marBottom w:val="0"/>
      <w:divBdr>
        <w:top w:val="none" w:sz="0" w:space="0" w:color="auto"/>
        <w:left w:val="none" w:sz="0" w:space="0" w:color="auto"/>
        <w:bottom w:val="none" w:sz="0" w:space="0" w:color="auto"/>
        <w:right w:val="none" w:sz="0" w:space="0" w:color="auto"/>
      </w:divBdr>
    </w:div>
    <w:div w:id="1569145859">
      <w:bodyDiv w:val="1"/>
      <w:marLeft w:val="0"/>
      <w:marRight w:val="0"/>
      <w:marTop w:val="0"/>
      <w:marBottom w:val="0"/>
      <w:divBdr>
        <w:top w:val="none" w:sz="0" w:space="0" w:color="auto"/>
        <w:left w:val="none" w:sz="0" w:space="0" w:color="auto"/>
        <w:bottom w:val="none" w:sz="0" w:space="0" w:color="auto"/>
        <w:right w:val="none" w:sz="0" w:space="0" w:color="auto"/>
      </w:divBdr>
      <w:divsChild>
        <w:div w:id="460613551">
          <w:marLeft w:val="0"/>
          <w:marRight w:val="0"/>
          <w:marTop w:val="0"/>
          <w:marBottom w:val="0"/>
          <w:divBdr>
            <w:top w:val="none" w:sz="0" w:space="0" w:color="auto"/>
            <w:left w:val="none" w:sz="0" w:space="0" w:color="auto"/>
            <w:bottom w:val="none" w:sz="0" w:space="0" w:color="auto"/>
            <w:right w:val="none" w:sz="0" w:space="0" w:color="auto"/>
          </w:divBdr>
          <w:divsChild>
            <w:div w:id="1241410198">
              <w:marLeft w:val="0"/>
              <w:marRight w:val="0"/>
              <w:marTop w:val="0"/>
              <w:marBottom w:val="0"/>
              <w:divBdr>
                <w:top w:val="none" w:sz="0" w:space="0" w:color="auto"/>
                <w:left w:val="none" w:sz="0" w:space="0" w:color="auto"/>
                <w:bottom w:val="none" w:sz="0" w:space="0" w:color="auto"/>
                <w:right w:val="none" w:sz="0" w:space="0" w:color="auto"/>
              </w:divBdr>
              <w:divsChild>
                <w:div w:id="138964264">
                  <w:marLeft w:val="0"/>
                  <w:marRight w:val="0"/>
                  <w:marTop w:val="0"/>
                  <w:marBottom w:val="0"/>
                  <w:divBdr>
                    <w:top w:val="none" w:sz="0" w:space="0" w:color="auto"/>
                    <w:left w:val="none" w:sz="0" w:space="0" w:color="auto"/>
                    <w:bottom w:val="none" w:sz="0" w:space="0" w:color="auto"/>
                    <w:right w:val="none" w:sz="0" w:space="0" w:color="auto"/>
                  </w:divBdr>
                  <w:divsChild>
                    <w:div w:id="150485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7053881">
      <w:bodyDiv w:val="1"/>
      <w:marLeft w:val="0"/>
      <w:marRight w:val="0"/>
      <w:marTop w:val="0"/>
      <w:marBottom w:val="0"/>
      <w:divBdr>
        <w:top w:val="none" w:sz="0" w:space="0" w:color="auto"/>
        <w:left w:val="none" w:sz="0" w:space="0" w:color="auto"/>
        <w:bottom w:val="none" w:sz="0" w:space="0" w:color="auto"/>
        <w:right w:val="none" w:sz="0" w:space="0" w:color="auto"/>
      </w:divBdr>
    </w:div>
    <w:div w:id="1672950494">
      <w:bodyDiv w:val="1"/>
      <w:marLeft w:val="0"/>
      <w:marRight w:val="0"/>
      <w:marTop w:val="0"/>
      <w:marBottom w:val="0"/>
      <w:divBdr>
        <w:top w:val="none" w:sz="0" w:space="0" w:color="auto"/>
        <w:left w:val="none" w:sz="0" w:space="0" w:color="auto"/>
        <w:bottom w:val="none" w:sz="0" w:space="0" w:color="auto"/>
        <w:right w:val="none" w:sz="0" w:space="0" w:color="auto"/>
      </w:divBdr>
      <w:divsChild>
        <w:div w:id="1237399058">
          <w:marLeft w:val="0"/>
          <w:marRight w:val="0"/>
          <w:marTop w:val="0"/>
          <w:marBottom w:val="0"/>
          <w:divBdr>
            <w:top w:val="none" w:sz="0" w:space="0" w:color="auto"/>
            <w:left w:val="none" w:sz="0" w:space="0" w:color="auto"/>
            <w:bottom w:val="none" w:sz="0" w:space="0" w:color="auto"/>
            <w:right w:val="none" w:sz="0" w:space="0" w:color="auto"/>
          </w:divBdr>
          <w:divsChild>
            <w:div w:id="1733430415">
              <w:marLeft w:val="0"/>
              <w:marRight w:val="0"/>
              <w:marTop w:val="0"/>
              <w:marBottom w:val="0"/>
              <w:divBdr>
                <w:top w:val="none" w:sz="0" w:space="0" w:color="auto"/>
                <w:left w:val="none" w:sz="0" w:space="0" w:color="auto"/>
                <w:bottom w:val="none" w:sz="0" w:space="0" w:color="auto"/>
                <w:right w:val="none" w:sz="0" w:space="0" w:color="auto"/>
              </w:divBdr>
              <w:divsChild>
                <w:div w:id="1071391546">
                  <w:marLeft w:val="0"/>
                  <w:marRight w:val="0"/>
                  <w:marTop w:val="0"/>
                  <w:marBottom w:val="0"/>
                  <w:divBdr>
                    <w:top w:val="none" w:sz="0" w:space="0" w:color="auto"/>
                    <w:left w:val="none" w:sz="0" w:space="0" w:color="auto"/>
                    <w:bottom w:val="none" w:sz="0" w:space="0" w:color="auto"/>
                    <w:right w:val="none" w:sz="0" w:space="0" w:color="auto"/>
                  </w:divBdr>
                  <w:divsChild>
                    <w:div w:id="15941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5456714">
      <w:bodyDiv w:val="1"/>
      <w:marLeft w:val="0"/>
      <w:marRight w:val="0"/>
      <w:marTop w:val="0"/>
      <w:marBottom w:val="0"/>
      <w:divBdr>
        <w:top w:val="none" w:sz="0" w:space="0" w:color="auto"/>
        <w:left w:val="none" w:sz="0" w:space="0" w:color="auto"/>
        <w:bottom w:val="none" w:sz="0" w:space="0" w:color="auto"/>
        <w:right w:val="none" w:sz="0" w:space="0" w:color="auto"/>
      </w:divBdr>
    </w:div>
    <w:div w:id="1689410634">
      <w:bodyDiv w:val="1"/>
      <w:marLeft w:val="0"/>
      <w:marRight w:val="0"/>
      <w:marTop w:val="0"/>
      <w:marBottom w:val="0"/>
      <w:divBdr>
        <w:top w:val="none" w:sz="0" w:space="0" w:color="auto"/>
        <w:left w:val="none" w:sz="0" w:space="0" w:color="auto"/>
        <w:bottom w:val="none" w:sz="0" w:space="0" w:color="auto"/>
        <w:right w:val="none" w:sz="0" w:space="0" w:color="auto"/>
      </w:divBdr>
      <w:divsChild>
        <w:div w:id="1983579763">
          <w:marLeft w:val="0"/>
          <w:marRight w:val="0"/>
          <w:marTop w:val="0"/>
          <w:marBottom w:val="0"/>
          <w:divBdr>
            <w:top w:val="none" w:sz="0" w:space="0" w:color="auto"/>
            <w:left w:val="none" w:sz="0" w:space="0" w:color="auto"/>
            <w:bottom w:val="none" w:sz="0" w:space="0" w:color="auto"/>
            <w:right w:val="none" w:sz="0" w:space="0" w:color="auto"/>
          </w:divBdr>
          <w:divsChild>
            <w:div w:id="390158919">
              <w:marLeft w:val="0"/>
              <w:marRight w:val="0"/>
              <w:marTop w:val="0"/>
              <w:marBottom w:val="0"/>
              <w:divBdr>
                <w:top w:val="none" w:sz="0" w:space="0" w:color="auto"/>
                <w:left w:val="none" w:sz="0" w:space="0" w:color="auto"/>
                <w:bottom w:val="none" w:sz="0" w:space="0" w:color="auto"/>
                <w:right w:val="none" w:sz="0" w:space="0" w:color="auto"/>
              </w:divBdr>
              <w:divsChild>
                <w:div w:id="839855324">
                  <w:marLeft w:val="0"/>
                  <w:marRight w:val="0"/>
                  <w:marTop w:val="0"/>
                  <w:marBottom w:val="0"/>
                  <w:divBdr>
                    <w:top w:val="none" w:sz="0" w:space="0" w:color="auto"/>
                    <w:left w:val="none" w:sz="0" w:space="0" w:color="auto"/>
                    <w:bottom w:val="none" w:sz="0" w:space="0" w:color="auto"/>
                    <w:right w:val="none" w:sz="0" w:space="0" w:color="auto"/>
                  </w:divBdr>
                  <w:divsChild>
                    <w:div w:id="2439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275414">
      <w:bodyDiv w:val="1"/>
      <w:marLeft w:val="0"/>
      <w:marRight w:val="0"/>
      <w:marTop w:val="0"/>
      <w:marBottom w:val="0"/>
      <w:divBdr>
        <w:top w:val="none" w:sz="0" w:space="0" w:color="auto"/>
        <w:left w:val="none" w:sz="0" w:space="0" w:color="auto"/>
        <w:bottom w:val="none" w:sz="0" w:space="0" w:color="auto"/>
        <w:right w:val="none" w:sz="0" w:space="0" w:color="auto"/>
      </w:divBdr>
      <w:divsChild>
        <w:div w:id="907037731">
          <w:marLeft w:val="0"/>
          <w:marRight w:val="0"/>
          <w:marTop w:val="0"/>
          <w:marBottom w:val="0"/>
          <w:divBdr>
            <w:top w:val="none" w:sz="0" w:space="0" w:color="auto"/>
            <w:left w:val="none" w:sz="0" w:space="0" w:color="auto"/>
            <w:bottom w:val="none" w:sz="0" w:space="0" w:color="auto"/>
            <w:right w:val="none" w:sz="0" w:space="0" w:color="auto"/>
          </w:divBdr>
        </w:div>
      </w:divsChild>
    </w:div>
    <w:div w:id="1781148896">
      <w:bodyDiv w:val="1"/>
      <w:marLeft w:val="0"/>
      <w:marRight w:val="0"/>
      <w:marTop w:val="0"/>
      <w:marBottom w:val="0"/>
      <w:divBdr>
        <w:top w:val="none" w:sz="0" w:space="0" w:color="auto"/>
        <w:left w:val="none" w:sz="0" w:space="0" w:color="auto"/>
        <w:bottom w:val="none" w:sz="0" w:space="0" w:color="auto"/>
        <w:right w:val="none" w:sz="0" w:space="0" w:color="auto"/>
      </w:divBdr>
      <w:divsChild>
        <w:div w:id="1008555821">
          <w:marLeft w:val="0"/>
          <w:marRight w:val="0"/>
          <w:marTop w:val="0"/>
          <w:marBottom w:val="0"/>
          <w:divBdr>
            <w:top w:val="none" w:sz="0" w:space="0" w:color="auto"/>
            <w:left w:val="none" w:sz="0" w:space="0" w:color="auto"/>
            <w:bottom w:val="none" w:sz="0" w:space="0" w:color="auto"/>
            <w:right w:val="none" w:sz="0" w:space="0" w:color="auto"/>
          </w:divBdr>
          <w:divsChild>
            <w:div w:id="977997560">
              <w:marLeft w:val="0"/>
              <w:marRight w:val="0"/>
              <w:marTop w:val="0"/>
              <w:marBottom w:val="0"/>
              <w:divBdr>
                <w:top w:val="none" w:sz="0" w:space="0" w:color="auto"/>
                <w:left w:val="none" w:sz="0" w:space="0" w:color="auto"/>
                <w:bottom w:val="none" w:sz="0" w:space="0" w:color="auto"/>
                <w:right w:val="none" w:sz="0" w:space="0" w:color="auto"/>
              </w:divBdr>
              <w:divsChild>
                <w:div w:id="1328629249">
                  <w:marLeft w:val="0"/>
                  <w:marRight w:val="0"/>
                  <w:marTop w:val="0"/>
                  <w:marBottom w:val="0"/>
                  <w:divBdr>
                    <w:top w:val="none" w:sz="0" w:space="0" w:color="auto"/>
                    <w:left w:val="none" w:sz="0" w:space="0" w:color="auto"/>
                    <w:bottom w:val="none" w:sz="0" w:space="0" w:color="auto"/>
                    <w:right w:val="none" w:sz="0" w:space="0" w:color="auto"/>
                  </w:divBdr>
                  <w:divsChild>
                    <w:div w:id="14361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525940">
      <w:bodyDiv w:val="1"/>
      <w:marLeft w:val="0"/>
      <w:marRight w:val="0"/>
      <w:marTop w:val="0"/>
      <w:marBottom w:val="0"/>
      <w:divBdr>
        <w:top w:val="none" w:sz="0" w:space="0" w:color="auto"/>
        <w:left w:val="none" w:sz="0" w:space="0" w:color="auto"/>
        <w:bottom w:val="none" w:sz="0" w:space="0" w:color="auto"/>
        <w:right w:val="none" w:sz="0" w:space="0" w:color="auto"/>
      </w:divBdr>
    </w:div>
    <w:div w:id="1871915000">
      <w:bodyDiv w:val="1"/>
      <w:marLeft w:val="0"/>
      <w:marRight w:val="0"/>
      <w:marTop w:val="0"/>
      <w:marBottom w:val="0"/>
      <w:divBdr>
        <w:top w:val="none" w:sz="0" w:space="0" w:color="auto"/>
        <w:left w:val="none" w:sz="0" w:space="0" w:color="auto"/>
        <w:bottom w:val="none" w:sz="0" w:space="0" w:color="auto"/>
        <w:right w:val="none" w:sz="0" w:space="0" w:color="auto"/>
      </w:divBdr>
    </w:div>
    <w:div w:id="2085294676">
      <w:bodyDiv w:val="1"/>
      <w:marLeft w:val="0"/>
      <w:marRight w:val="0"/>
      <w:marTop w:val="0"/>
      <w:marBottom w:val="0"/>
      <w:divBdr>
        <w:top w:val="none" w:sz="0" w:space="0" w:color="auto"/>
        <w:left w:val="none" w:sz="0" w:space="0" w:color="auto"/>
        <w:bottom w:val="none" w:sz="0" w:space="0" w:color="auto"/>
        <w:right w:val="none" w:sz="0" w:space="0" w:color="auto"/>
      </w:divBdr>
      <w:divsChild>
        <w:div w:id="42677068">
          <w:marLeft w:val="0"/>
          <w:marRight w:val="0"/>
          <w:marTop w:val="0"/>
          <w:marBottom w:val="0"/>
          <w:divBdr>
            <w:top w:val="none" w:sz="0" w:space="0" w:color="auto"/>
            <w:left w:val="none" w:sz="0" w:space="0" w:color="auto"/>
            <w:bottom w:val="none" w:sz="0" w:space="0" w:color="auto"/>
            <w:right w:val="none" w:sz="0" w:space="0" w:color="auto"/>
          </w:divBdr>
          <w:divsChild>
            <w:div w:id="1551072144">
              <w:marLeft w:val="0"/>
              <w:marRight w:val="0"/>
              <w:marTop w:val="0"/>
              <w:marBottom w:val="0"/>
              <w:divBdr>
                <w:top w:val="none" w:sz="0" w:space="0" w:color="auto"/>
                <w:left w:val="none" w:sz="0" w:space="0" w:color="auto"/>
                <w:bottom w:val="none" w:sz="0" w:space="0" w:color="auto"/>
                <w:right w:val="none" w:sz="0" w:space="0" w:color="auto"/>
              </w:divBdr>
              <w:divsChild>
                <w:div w:id="679234107">
                  <w:marLeft w:val="0"/>
                  <w:marRight w:val="0"/>
                  <w:marTop w:val="0"/>
                  <w:marBottom w:val="0"/>
                  <w:divBdr>
                    <w:top w:val="none" w:sz="0" w:space="0" w:color="auto"/>
                    <w:left w:val="none" w:sz="0" w:space="0" w:color="auto"/>
                    <w:bottom w:val="none" w:sz="0" w:space="0" w:color="auto"/>
                    <w:right w:val="none" w:sz="0" w:space="0" w:color="auto"/>
                  </w:divBdr>
                  <w:divsChild>
                    <w:div w:id="56669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58E020-7037-374F-91AC-8D1499F63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5428</Words>
  <Characters>30943</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Lijing Lin</dc:creator>
  <cp:keywords/>
  <dc:description/>
  <cp:lastModifiedBy>Matt Sperrin</cp:lastModifiedBy>
  <cp:revision>3</cp:revision>
  <dcterms:created xsi:type="dcterms:W3CDTF">2022-06-20T14:49:00Z</dcterms:created>
  <dcterms:modified xsi:type="dcterms:W3CDTF">2022-07-04T08:59:00Z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id="a3WXg6eV"/&gt;&lt;style id="http://www.zotero.org/styles/vancouver" locale="en-GB" hasBibliography="1" bibliographyStyleHasBeenSet="1"/&gt;&lt;prefs&gt;&lt;pref name="fieldType" value="Field"/&gt;&lt;pref name="automa</vt:lpwstr>
  </property>
  <property fmtid="{D5CDD505-2E9C-101B-9397-08002B2CF9AE}" pid="3" name="ZOTERO_PREF_2">
    <vt:lpwstr>ticJournalAbbreviations" value="true"/&gt;&lt;/prefs&gt;&lt;/data&gt;</vt:lpwstr>
  </property>
</Properties>
</file>