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24"/>
        </w:rPr>
      </w:pPr>
      <w:bookmarkStart w:id="0" w:name="_GoBack"/>
      <w:bookmarkEnd w:id="0"/>
    </w:p>
    <w:p>
      <w:pPr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Supplementary table 1: </w:t>
      </w:r>
      <w:r>
        <w:rPr>
          <w:rFonts w:hint="eastAsia"/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Reference interval of clinical biochemical test items</w:t>
      </w:r>
    </w:p>
    <w:tbl>
      <w:tblPr>
        <w:tblStyle w:val="2"/>
        <w:tblW w:w="13011" w:type="dxa"/>
        <w:tblInd w:w="0" w:type="dxa"/>
        <w:tblLayout w:type="fixed"/>
        <w:tblCellMar>
          <w:top w:w="15" w:type="dxa"/>
          <w:left w:w="108" w:type="dxa"/>
          <w:bottom w:w="15" w:type="dxa"/>
          <w:right w:w="108" w:type="dxa"/>
        </w:tblCellMar>
      </w:tblPr>
      <w:tblGrid>
        <w:gridCol w:w="2511"/>
        <w:gridCol w:w="2283"/>
        <w:gridCol w:w="2283"/>
        <w:gridCol w:w="2950"/>
        <w:gridCol w:w="2984"/>
      </w:tblGrid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360" w:hRule="atLeast"/>
        </w:trPr>
        <w:tc>
          <w:tcPr>
            <w:tcW w:w="2511" w:type="dxa"/>
            <w:vMerge w:val="restart"/>
            <w:tcBorders>
              <w:top w:val="single" w:color="000000" w:sz="12" w:space="0"/>
            </w:tcBorders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Variables</w:t>
            </w:r>
          </w:p>
        </w:tc>
        <w:tc>
          <w:tcPr>
            <w:tcW w:w="2283" w:type="dxa"/>
            <w:vMerge w:val="restart"/>
            <w:tcBorders>
              <w:top w:val="single" w:color="000000" w:sz="12" w:space="0"/>
            </w:tcBorders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Units</w:t>
            </w:r>
          </w:p>
        </w:tc>
        <w:tc>
          <w:tcPr>
            <w:tcW w:w="8217" w:type="dxa"/>
            <w:gridSpan w:val="3"/>
            <w:tcBorders>
              <w:top w:val="single" w:color="000000" w:sz="12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Calibri" w:hAnsi="Calibri" w:eastAsia="宋体" w:cs="Calibri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 xml:space="preserve">Reference </w:t>
            </w:r>
            <w:r>
              <w:rPr>
                <w:rFonts w:hint="eastAsia" w:ascii="Calibri" w:hAnsi="Calibri" w:eastAsia="宋体" w:cs="Calibri"/>
                <w:color w:val="000000"/>
                <w:kern w:val="0"/>
                <w:sz w:val="24"/>
                <w:szCs w:val="24"/>
                <w:lang w:val="en-US" w:eastAsia="zh-CN"/>
              </w:rPr>
              <w:t>range</w:t>
            </w:r>
          </w:p>
        </w:tc>
      </w:tr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375" w:hRule="atLeast"/>
        </w:trPr>
        <w:tc>
          <w:tcPr>
            <w:tcW w:w="2511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83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Calibri" w:hAnsi="Calibri" w:eastAsia="宋体" w:cs="Calibri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kern w:val="0"/>
                <w:sz w:val="24"/>
                <w:szCs w:val="24"/>
                <w:lang w:val="en-US" w:eastAsia="zh-CN"/>
              </w:rPr>
              <w:t>General</w:t>
            </w:r>
          </w:p>
        </w:tc>
        <w:tc>
          <w:tcPr>
            <w:tcW w:w="295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Males</w:t>
            </w:r>
          </w:p>
        </w:tc>
        <w:tc>
          <w:tcPr>
            <w:tcW w:w="298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Females</w:t>
            </w:r>
          </w:p>
        </w:tc>
      </w:tr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375" w:hRule="atLeast"/>
        </w:trPr>
        <w:tc>
          <w:tcPr>
            <w:tcW w:w="2511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GLU *</w:t>
            </w:r>
          </w:p>
        </w:tc>
        <w:tc>
          <w:tcPr>
            <w:tcW w:w="2283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 xml:space="preserve"> (mmol/L)</w:t>
            </w:r>
          </w:p>
        </w:tc>
        <w:tc>
          <w:tcPr>
            <w:tcW w:w="2283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3.9-6.1</w:t>
            </w:r>
          </w:p>
        </w:tc>
        <w:tc>
          <w:tcPr>
            <w:tcW w:w="2950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84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375" w:hRule="atLeast"/>
        </w:trPr>
        <w:tc>
          <w:tcPr>
            <w:tcW w:w="2511" w:type="dxa"/>
            <w:vAlign w:val="center"/>
          </w:tcPr>
          <w:p>
            <w:pPr>
              <w:widowControl/>
              <w:jc w:val="left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 xml:space="preserve">FMN </w:t>
            </w: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  <w:vertAlign w:val="superscript"/>
              </w:rPr>
              <w:t>#</w:t>
            </w:r>
          </w:p>
        </w:tc>
        <w:tc>
          <w:tcPr>
            <w:tcW w:w="2283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 xml:space="preserve"> (µmol/L)</w:t>
            </w:r>
          </w:p>
        </w:tc>
        <w:tc>
          <w:tcPr>
            <w:tcW w:w="2283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0-285</w:t>
            </w:r>
          </w:p>
        </w:tc>
        <w:tc>
          <w:tcPr>
            <w:tcW w:w="2950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84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375" w:hRule="atLeast"/>
        </w:trPr>
        <w:tc>
          <w:tcPr>
            <w:tcW w:w="2511" w:type="dxa"/>
            <w:vAlign w:val="center"/>
          </w:tcPr>
          <w:p>
            <w:pPr>
              <w:widowControl/>
              <w:jc w:val="left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ALT</w:t>
            </w:r>
          </w:p>
        </w:tc>
        <w:tc>
          <w:tcPr>
            <w:tcW w:w="2283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 xml:space="preserve"> (U/L)</w:t>
            </w:r>
          </w:p>
        </w:tc>
        <w:tc>
          <w:tcPr>
            <w:tcW w:w="2283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50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9-50</w:t>
            </w:r>
          </w:p>
        </w:tc>
        <w:tc>
          <w:tcPr>
            <w:tcW w:w="2984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7-40</w:t>
            </w:r>
          </w:p>
        </w:tc>
      </w:tr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375" w:hRule="atLeast"/>
        </w:trPr>
        <w:tc>
          <w:tcPr>
            <w:tcW w:w="2511" w:type="dxa"/>
            <w:vAlign w:val="center"/>
          </w:tcPr>
          <w:p>
            <w:pPr>
              <w:widowControl/>
              <w:jc w:val="left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AST</w:t>
            </w:r>
          </w:p>
        </w:tc>
        <w:tc>
          <w:tcPr>
            <w:tcW w:w="2283" w:type="dxa"/>
            <w:vAlign w:val="center"/>
          </w:tcPr>
          <w:p>
            <w:pPr>
              <w:widowControl/>
              <w:jc w:val="center"/>
              <w:rPr>
                <w:rFonts w:hint="eastAsia" w:ascii="Calibri" w:hAnsi="Calibri" w:eastAsia="宋体" w:cs="Calibri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 xml:space="preserve"> (U/L</w:t>
            </w:r>
            <w:r>
              <w:rPr>
                <w:rFonts w:hint="eastAsia" w:ascii="Calibri" w:hAnsi="Calibri" w:eastAsia="宋体" w:cs="Calibri"/>
                <w:color w:val="000000"/>
                <w:kern w:val="0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2283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50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15-40</w:t>
            </w:r>
          </w:p>
        </w:tc>
        <w:tc>
          <w:tcPr>
            <w:tcW w:w="2984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13-35</w:t>
            </w:r>
          </w:p>
        </w:tc>
      </w:tr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301" w:hRule="atLeast"/>
        </w:trPr>
        <w:tc>
          <w:tcPr>
            <w:tcW w:w="2511" w:type="dxa"/>
            <w:vMerge w:val="restart"/>
            <w:vAlign w:val="center"/>
          </w:tcPr>
          <w:p>
            <w:pPr>
              <w:widowControl/>
              <w:jc w:val="left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ALP</w:t>
            </w:r>
          </w:p>
        </w:tc>
        <w:tc>
          <w:tcPr>
            <w:tcW w:w="2283" w:type="dxa"/>
            <w:vMerge w:val="restart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(U/L)</w:t>
            </w:r>
          </w:p>
        </w:tc>
        <w:tc>
          <w:tcPr>
            <w:tcW w:w="2283" w:type="dxa"/>
            <w:vMerge w:val="restart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50" w:type="dxa"/>
            <w:vMerge w:val="restart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45-125</w:t>
            </w:r>
          </w:p>
        </w:tc>
        <w:tc>
          <w:tcPr>
            <w:tcW w:w="2984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(20-49 yrs) 35-100</w:t>
            </w:r>
          </w:p>
        </w:tc>
      </w:tr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301" w:hRule="atLeast"/>
        </w:trPr>
        <w:tc>
          <w:tcPr>
            <w:tcW w:w="2511" w:type="dxa"/>
            <w:vMerge w:val="continue"/>
            <w:vAlign w:val="center"/>
          </w:tcPr>
          <w:p>
            <w:pPr>
              <w:widowControl/>
              <w:jc w:val="left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83" w:type="dxa"/>
            <w:vMerge w:val="continue"/>
            <w:vAlign w:val="center"/>
          </w:tcPr>
          <w:p>
            <w:pPr>
              <w:widowControl/>
              <w:jc w:val="left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83" w:type="dxa"/>
            <w:vMerge w:val="continue"/>
            <w:vAlign w:val="center"/>
          </w:tcPr>
          <w:p>
            <w:pPr>
              <w:widowControl/>
              <w:jc w:val="left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50" w:type="dxa"/>
            <w:vMerge w:val="continue"/>
            <w:vAlign w:val="center"/>
          </w:tcPr>
          <w:p>
            <w:pPr>
              <w:widowControl/>
              <w:jc w:val="left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84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(50-79 yrs) 50-135</w:t>
            </w:r>
          </w:p>
        </w:tc>
      </w:tr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375" w:hRule="atLeast"/>
        </w:trPr>
        <w:tc>
          <w:tcPr>
            <w:tcW w:w="2511" w:type="dxa"/>
            <w:vAlign w:val="center"/>
          </w:tcPr>
          <w:p>
            <w:pPr>
              <w:widowControl/>
              <w:jc w:val="left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 xml:space="preserve">GGT </w:t>
            </w:r>
          </w:p>
        </w:tc>
        <w:tc>
          <w:tcPr>
            <w:tcW w:w="2283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(U/L)</w:t>
            </w:r>
          </w:p>
        </w:tc>
        <w:tc>
          <w:tcPr>
            <w:tcW w:w="2283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50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10-60</w:t>
            </w:r>
          </w:p>
        </w:tc>
        <w:tc>
          <w:tcPr>
            <w:tcW w:w="2984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7-45</w:t>
            </w:r>
          </w:p>
        </w:tc>
      </w:tr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375" w:hRule="atLeast"/>
        </w:trPr>
        <w:tc>
          <w:tcPr>
            <w:tcW w:w="2511" w:type="dxa"/>
            <w:vAlign w:val="center"/>
          </w:tcPr>
          <w:p>
            <w:pPr>
              <w:widowControl/>
              <w:jc w:val="left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DBIL*</w:t>
            </w:r>
          </w:p>
        </w:tc>
        <w:tc>
          <w:tcPr>
            <w:tcW w:w="2283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 xml:space="preserve">(µmol/L) </w:t>
            </w:r>
          </w:p>
        </w:tc>
        <w:tc>
          <w:tcPr>
            <w:tcW w:w="2283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0-3.4</w:t>
            </w:r>
          </w:p>
        </w:tc>
        <w:tc>
          <w:tcPr>
            <w:tcW w:w="2950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84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375" w:hRule="atLeast"/>
        </w:trPr>
        <w:tc>
          <w:tcPr>
            <w:tcW w:w="2511" w:type="dxa"/>
            <w:vAlign w:val="center"/>
          </w:tcPr>
          <w:p>
            <w:pPr>
              <w:widowControl/>
              <w:jc w:val="left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 xml:space="preserve">IBILI* </w:t>
            </w:r>
          </w:p>
        </w:tc>
        <w:tc>
          <w:tcPr>
            <w:tcW w:w="2283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 xml:space="preserve">(µmol/L) </w:t>
            </w:r>
          </w:p>
        </w:tc>
        <w:tc>
          <w:tcPr>
            <w:tcW w:w="2283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3.4-12.2</w:t>
            </w:r>
          </w:p>
        </w:tc>
        <w:tc>
          <w:tcPr>
            <w:tcW w:w="2950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84" w:type="dxa"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375" w:hRule="atLeast"/>
        </w:trPr>
        <w:tc>
          <w:tcPr>
            <w:tcW w:w="2511" w:type="dxa"/>
            <w:tcBorders>
              <w:bottom w:val="nil"/>
            </w:tcBorders>
            <w:vAlign w:val="center"/>
          </w:tcPr>
          <w:p>
            <w:pPr>
              <w:widowControl/>
              <w:jc w:val="left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 xml:space="preserve">TBIL* </w:t>
            </w:r>
          </w:p>
        </w:tc>
        <w:tc>
          <w:tcPr>
            <w:tcW w:w="2283" w:type="dxa"/>
            <w:tcBorders>
              <w:bottom w:val="nil"/>
            </w:tcBorders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(µmol/L)</w:t>
            </w:r>
          </w:p>
        </w:tc>
        <w:tc>
          <w:tcPr>
            <w:tcW w:w="2283" w:type="dxa"/>
            <w:tcBorders>
              <w:bottom w:val="nil"/>
            </w:tcBorders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3.4-17.1</w:t>
            </w:r>
          </w:p>
        </w:tc>
        <w:tc>
          <w:tcPr>
            <w:tcW w:w="2950" w:type="dxa"/>
            <w:tcBorders>
              <w:bottom w:val="nil"/>
            </w:tcBorders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84" w:type="dxa"/>
            <w:tcBorders>
              <w:bottom w:val="nil"/>
            </w:tcBorders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375" w:hRule="atLeast"/>
        </w:trPr>
        <w:tc>
          <w:tcPr>
            <w:tcW w:w="2511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TBA*</w:t>
            </w:r>
          </w:p>
        </w:tc>
        <w:tc>
          <w:tcPr>
            <w:tcW w:w="2283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 xml:space="preserve">(µmol/L) </w:t>
            </w:r>
          </w:p>
        </w:tc>
        <w:tc>
          <w:tcPr>
            <w:tcW w:w="2283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  <w:t>0-9.67</w:t>
            </w:r>
          </w:p>
        </w:tc>
        <w:tc>
          <w:tcPr>
            <w:tcW w:w="2950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84" w:type="dxa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rPr>
          <w:sz w:val="24"/>
        </w:rPr>
      </w:pPr>
      <w:r>
        <w:rPr>
          <w:sz w:val="24"/>
        </w:rPr>
        <w:t>Note: No sigh indicates normal reference ranges are for the above blood metabolites based on People's Republic of China health industry standards,* indicats normal reference ranges were according to Chinese National Guide to Clinical Laboratory Test Proced</w:t>
      </w:r>
      <w:r>
        <w:rPr>
          <w:rFonts w:hint="eastAsia"/>
          <w:sz w:val="24"/>
        </w:rPr>
        <w:t>ures，# indicats normal reference ranges are from practical internal medicine(the F</w:t>
      </w:r>
      <w:r>
        <w:rPr>
          <w:rFonts w:hint="eastAsia"/>
          <w:sz w:val="24"/>
          <w:lang w:val="en-US" w:eastAsia="zh-CN"/>
        </w:rPr>
        <w:t>if</w:t>
      </w:r>
      <w:r>
        <w:rPr>
          <w:rFonts w:hint="eastAsia"/>
          <w:sz w:val="24"/>
        </w:rPr>
        <w:t>teenth Edition).</w:t>
      </w:r>
    </w:p>
    <w:sectPr>
      <w:pgSz w:w="16839" w:h="23814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lnNumType w:countBy="0" w:restart="continuous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D47"/>
    <w:rsid w:val="00387D13"/>
    <w:rsid w:val="0072391A"/>
    <w:rsid w:val="00BE179D"/>
    <w:rsid w:val="00EF7D47"/>
    <w:rsid w:val="00FB38A1"/>
    <w:rsid w:val="086B1F80"/>
    <w:rsid w:val="0DFE4033"/>
    <w:rsid w:val="18A30C7F"/>
    <w:rsid w:val="18BC5AEB"/>
    <w:rsid w:val="408C7BF4"/>
    <w:rsid w:val="553A4FBB"/>
    <w:rsid w:val="6970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qFormat/>
    <w:uiPriority w:val="0"/>
    <w:rPr>
      <w:rFonts w:hint="default" w:ascii="Calibri" w:hAnsi="Calibri" w:cs="Calibri"/>
      <w:color w:val="000000"/>
      <w:sz w:val="24"/>
      <w:szCs w:val="24"/>
      <w:u w:val="none"/>
    </w:rPr>
  </w:style>
  <w:style w:type="character" w:customStyle="1" w:styleId="5">
    <w:name w:val="font11"/>
    <w:basedOn w:val="3"/>
    <w:qFormat/>
    <w:uiPriority w:val="0"/>
    <w:rPr>
      <w:rFonts w:hint="default" w:ascii="Calibri" w:hAnsi="Calibri" w:cs="Calibri"/>
      <w:color w:val="000000"/>
      <w:sz w:val="24"/>
      <w:szCs w:val="24"/>
      <w:u w:val="none"/>
      <w:vertAlign w:val="superscript"/>
    </w:rPr>
  </w:style>
  <w:style w:type="character" w:customStyle="1" w:styleId="6">
    <w:name w:val="font31"/>
    <w:basedOn w:val="3"/>
    <w:qFormat/>
    <w:uiPriority w:val="0"/>
    <w:rPr>
      <w:rFonts w:hint="default" w:ascii="Calibri" w:hAnsi="Calibri" w:cs="Calibri"/>
      <w:color w:val="000000"/>
      <w:sz w:val="24"/>
      <w:szCs w:val="24"/>
      <w:u w:val="none"/>
    </w:rPr>
  </w:style>
  <w:style w:type="character" w:customStyle="1" w:styleId="7">
    <w:name w:val="font01"/>
    <w:basedOn w:val="3"/>
    <w:qFormat/>
    <w:uiPriority w:val="0"/>
    <w:rPr>
      <w:rFonts w:hint="eastAsia" w:ascii="宋体" w:hAnsi="宋体" w:eastAsia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162</Words>
  <Characters>929</Characters>
  <Lines>7</Lines>
  <Paragraphs>2</Paragraphs>
  <TotalTime>2</TotalTime>
  <ScaleCrop>false</ScaleCrop>
  <LinksUpToDate>false</LinksUpToDate>
  <CharactersWithSpaces>1089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2018-07-11T16:09:00Z</dcterms:created>
  <dc:creator>Administrator</dc:creator>
  <cp:lastModifiedBy>Evelinaリ</cp:lastModifiedBy>
  <dcterms:modified xsi:type="dcterms:W3CDTF">2020-07-24T04:36:36Z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