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1B0" w:rsidRDefault="00475285" w:rsidP="009633A8">
      <w:pPr>
        <w:spacing w:line="480" w:lineRule="auto"/>
        <w:jc w:val="left"/>
        <w:rPr>
          <w:rFonts w:ascii="Times New Roman" w:eastAsiaTheme="minorEastAsia" w:hAnsi="Times New Roman"/>
          <w:b/>
          <w:bCs/>
          <w:kern w:val="0"/>
          <w:sz w:val="24"/>
          <w:szCs w:val="24"/>
        </w:rPr>
      </w:pPr>
      <w:r>
        <w:rPr>
          <w:rFonts w:ascii="Times New Roman" w:eastAsiaTheme="minorEastAsia" w:hAnsi="Times New Roman" w:hint="eastAsia"/>
          <w:b/>
          <w:bCs/>
          <w:kern w:val="0"/>
          <w:sz w:val="24"/>
          <w:szCs w:val="24"/>
        </w:rPr>
        <w:t>Supplementary</w:t>
      </w:r>
    </w:p>
    <w:p w:rsidR="005211B0" w:rsidRPr="005211B0" w:rsidRDefault="00156EAB" w:rsidP="009633A8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56EAB">
        <w:rPr>
          <w:rFonts w:ascii="Times New Roman" w:hAnsi="Times New Roman"/>
          <w:b/>
          <w:color w:val="201F1E"/>
          <w:sz w:val="24"/>
          <w:szCs w:val="24"/>
          <w:shd w:val="clear" w:color="auto" w:fill="FFFFFF"/>
        </w:rPr>
        <w:t xml:space="preserve">Supplementary </w:t>
      </w:r>
      <w:r>
        <w:rPr>
          <w:rFonts w:ascii="Times New Roman" w:hAnsi="Times New Roman" w:hint="eastAsia"/>
          <w:b/>
          <w:color w:val="201F1E"/>
          <w:sz w:val="24"/>
          <w:szCs w:val="24"/>
          <w:shd w:val="clear" w:color="auto" w:fill="FFFFFF"/>
        </w:rPr>
        <w:t>1</w:t>
      </w:r>
      <w:r w:rsidR="00475285">
        <w:rPr>
          <w:rFonts w:ascii="Times New Roman" w:hAnsi="Times New Roman" w:hint="eastAsia"/>
          <w:b/>
          <w:color w:val="201F1E"/>
          <w:sz w:val="24"/>
          <w:szCs w:val="24"/>
          <w:shd w:val="clear" w:color="auto" w:fill="FFFFFF"/>
        </w:rPr>
        <w:t xml:space="preserve">: </w:t>
      </w:r>
      <w:r w:rsidR="005211B0" w:rsidRPr="005211B0">
        <w:rPr>
          <w:rFonts w:ascii="Times New Roman" w:eastAsiaTheme="minorEastAsia" w:hAnsi="Times New Roman" w:hint="eastAsia"/>
          <w:bCs/>
          <w:kern w:val="0"/>
          <w:sz w:val="24"/>
          <w:szCs w:val="24"/>
        </w:rPr>
        <w:t xml:space="preserve">Methods for </w:t>
      </w:r>
      <w:r w:rsidR="005211B0" w:rsidRPr="005211B0">
        <w:rPr>
          <w:rFonts w:ascii="Times New Roman" w:eastAsiaTheme="minorEastAsia" w:hAnsi="Times New Roman"/>
          <w:bCs/>
          <w:kern w:val="0"/>
          <w:sz w:val="24"/>
          <w:szCs w:val="24"/>
        </w:rPr>
        <w:t>Plasma TMAO concentration assay</w:t>
      </w:r>
    </w:p>
    <w:p w:rsidR="005211B0" w:rsidRPr="005211B0" w:rsidRDefault="00156EAB" w:rsidP="009633A8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56EA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Supplementary Table 1</w:t>
      </w:r>
      <w:r>
        <w:rPr>
          <w:rFonts w:ascii="Times New Roman" w:hAnsi="Times New Roman" w:hint="eastAsia"/>
          <w:b/>
          <w:color w:val="000000"/>
          <w:sz w:val="24"/>
          <w:szCs w:val="24"/>
          <w:shd w:val="clear" w:color="auto" w:fill="FFFFFF"/>
        </w:rPr>
        <w:t>:</w:t>
      </w:r>
      <w:r w:rsidR="00987BCA">
        <w:rPr>
          <w:rFonts w:ascii="Times New Roman" w:hAnsi="Times New Roman" w:hint="eastAsia"/>
          <w:b/>
          <w:color w:val="000000"/>
          <w:sz w:val="24"/>
          <w:szCs w:val="24"/>
          <w:shd w:val="clear" w:color="auto" w:fill="FFFFFF"/>
        </w:rPr>
        <w:t xml:space="preserve"> </w:t>
      </w:r>
      <w:r w:rsidR="005211B0" w:rsidRPr="005211B0">
        <w:rPr>
          <w:rFonts w:ascii="Times New Roman" w:hAnsi="Times New Roman"/>
          <w:sz w:val="24"/>
          <w:szCs w:val="24"/>
        </w:rPr>
        <w:t>Comparison</w:t>
      </w:r>
      <w:r w:rsidR="005211B0" w:rsidRPr="005211B0">
        <w:rPr>
          <w:rFonts w:ascii="Times New Roman" w:hAnsi="Times New Roman" w:hint="eastAsia"/>
          <w:sz w:val="24"/>
          <w:szCs w:val="24"/>
        </w:rPr>
        <w:t xml:space="preserve"> on m</w:t>
      </w:r>
      <w:r w:rsidR="005211B0" w:rsidRPr="005211B0">
        <w:rPr>
          <w:rFonts w:ascii="Times New Roman" w:hAnsi="Times New Roman" w:hint="eastAsia"/>
          <w:color w:val="000000"/>
          <w:sz w:val="24"/>
          <w:szCs w:val="24"/>
        </w:rPr>
        <w:t>aternal plasma TAMO</w:t>
      </w:r>
      <w:r w:rsidR="005211B0" w:rsidRPr="005211B0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 w:rsidR="005211B0" w:rsidRPr="005211B0">
        <w:rPr>
          <w:rFonts w:ascii="Times New Roman" w:hAnsi="Times New Roman"/>
          <w:sz w:val="24"/>
          <w:szCs w:val="24"/>
        </w:rPr>
        <w:t>concentration</w:t>
      </w:r>
      <w:r w:rsidR="005211B0" w:rsidRPr="005211B0">
        <w:rPr>
          <w:rFonts w:ascii="Times New Roman" w:hAnsi="Times New Roman" w:hint="eastAsia"/>
          <w:sz w:val="24"/>
          <w:szCs w:val="24"/>
        </w:rPr>
        <w:t xml:space="preserve"> between preeclampsia and control groups</w:t>
      </w:r>
    </w:p>
    <w:p w:rsidR="009633A8" w:rsidRPr="009633A8" w:rsidRDefault="0002657F" w:rsidP="009633A8">
      <w:pPr>
        <w:spacing w:line="480" w:lineRule="auto"/>
        <w:jc w:val="left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proofErr w:type="gramStart"/>
      <w:r w:rsidRPr="0002657F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>Supplementary 1</w:t>
      </w:r>
      <w:r w:rsidR="00340018">
        <w:rPr>
          <w:rFonts w:ascii="Times New Roman" w:eastAsiaTheme="minorEastAsia" w:hAnsi="Times New Roman" w:hint="eastAsia"/>
          <w:b/>
          <w:bCs/>
          <w:kern w:val="0"/>
          <w:sz w:val="24"/>
          <w:szCs w:val="24"/>
        </w:rPr>
        <w:t>.</w:t>
      </w:r>
      <w:proofErr w:type="gramEnd"/>
      <w:r w:rsidR="00340018">
        <w:rPr>
          <w:rFonts w:ascii="Times New Roman" w:eastAsiaTheme="minorEastAsia" w:hAnsi="Times New Roman" w:hint="eastAsia"/>
          <w:b/>
          <w:bCs/>
          <w:kern w:val="0"/>
          <w:sz w:val="24"/>
          <w:szCs w:val="24"/>
        </w:rPr>
        <w:t xml:space="preserve"> </w:t>
      </w:r>
      <w:r w:rsidR="005211B0" w:rsidRPr="005211B0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 xml:space="preserve">Methods for </w:t>
      </w:r>
      <w:r w:rsidR="005211B0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>Plasma TMAO concentration assay</w:t>
      </w:r>
    </w:p>
    <w:p w:rsidR="005211B0" w:rsidRDefault="009633A8" w:rsidP="009633A8">
      <w:pPr>
        <w:autoSpaceDE w:val="0"/>
        <w:autoSpaceDN w:val="0"/>
        <w:adjustRightInd w:val="0"/>
        <w:spacing w:line="480" w:lineRule="auto"/>
        <w:jc w:val="left"/>
        <w:rPr>
          <w:rFonts w:ascii="Times New Roman" w:eastAsiaTheme="minorEastAsia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sz w:val="24"/>
          <w:szCs w:val="24"/>
          <w:shd w:val="clear" w:color="auto" w:fill="FFFFFF"/>
        </w:rPr>
        <w:t>T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he frozen plasma were thawed and centrifuged at 5,500</w:t>
      </w:r>
      <w:bookmarkStart w:id="0" w:name="OLE_LINK13"/>
      <w:bookmarkStart w:id="1" w:name="OLE_LINK14"/>
      <w:r w:rsidRPr="00EA1630">
        <w:rPr>
          <w:rFonts w:ascii="Times New Roman" w:eastAsiaTheme="minorEastAsia" w:hAnsi="Times New Roman"/>
          <w:kern w:val="0"/>
          <w:sz w:val="24"/>
          <w:szCs w:val="24"/>
        </w:rPr>
        <w:t>×</w:t>
      </w:r>
      <w:bookmarkEnd w:id="0"/>
      <w:bookmarkEnd w:id="1"/>
      <w:r w:rsidRPr="00EA1630">
        <w:rPr>
          <w:rFonts w:ascii="Times New Roman" w:eastAsiaTheme="minorEastAsia" w:hAnsi="Times New Roman"/>
          <w:kern w:val="0"/>
          <w:sz w:val="24"/>
          <w:szCs w:val="24"/>
        </w:rPr>
        <w:t>g and 4</w:t>
      </w:r>
      <w:r w:rsidRPr="00EA1630"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°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C for 5 min. Then 100μL plasma samples were added with 300μL internal standard solution</w:t>
      </w:r>
      <w:r w:rsidRPr="00EA163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which contained a mixture of 10μmol/L of d9-TMAO prepared in methanol/ acetonitrile (15:85) and 0.2% formic acid. The mixture was briefly vortex mixed and centrifuged at </w:t>
      </w:r>
      <w:bookmarkStart w:id="2" w:name="OLE_LINK24"/>
      <w:bookmarkStart w:id="3" w:name="OLE_LINK25"/>
      <w:r w:rsidRPr="00EA1630">
        <w:rPr>
          <w:rFonts w:ascii="Times New Roman" w:eastAsiaTheme="minorEastAsia" w:hAnsi="Times New Roman"/>
          <w:kern w:val="0"/>
          <w:sz w:val="24"/>
          <w:szCs w:val="24"/>
        </w:rPr>
        <w:t>10,000 ×g</w:t>
      </w:r>
      <w:bookmarkEnd w:id="2"/>
      <w:bookmarkEnd w:id="3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, 4◦C for 5 min. The supernatant was transferred to another tube and evaporated to dryness using a </w:t>
      </w:r>
      <w:bookmarkStart w:id="4" w:name="OLE_LINK26"/>
      <w:bookmarkStart w:id="5" w:name="OLE_LINK27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vacuum drying </w:t>
      </w:r>
      <w:bookmarkEnd w:id="4"/>
      <w:bookmarkEnd w:id="5"/>
      <w:r w:rsidRPr="00EA1630">
        <w:rPr>
          <w:rFonts w:ascii="Times New Roman" w:eastAsiaTheme="minorEastAsia" w:hAnsi="Times New Roman"/>
          <w:kern w:val="0"/>
          <w:sz w:val="24"/>
          <w:szCs w:val="24"/>
        </w:rPr>
        <w:t>concentrator at 25</w:t>
      </w:r>
      <w:r w:rsidRPr="00EA1630"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◦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C. Finally, the drying residue was dissolved in100 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μL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of methanol-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acetonitrile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(25:75, v: v), followed by vortex-mixed for 2 min, and then centrifuged at 10,000 ×g for 5 min. The corresponding supernatant was transferred to an auto-sampler vial with an insert (LVI, 150μL, Waters) and 20μL was injected into the UHPLC–MS/MS system for analysis.</w:t>
      </w:r>
      <w:r w:rsidRPr="00EA1630">
        <w:rPr>
          <w:rFonts w:ascii="Times New Roman" w:hAnsi="Times New Roman"/>
          <w:sz w:val="24"/>
          <w:szCs w:val="24"/>
        </w:rPr>
        <w:t xml:space="preserve"> UHPLC–MS/MS analyses were carried out using an UPLC </w:t>
      </w:r>
      <w:proofErr w:type="spellStart"/>
      <w:r w:rsidRPr="00EA1630">
        <w:rPr>
          <w:rFonts w:ascii="Times New Roman" w:hAnsi="Times New Roman"/>
          <w:sz w:val="24"/>
          <w:szCs w:val="24"/>
        </w:rPr>
        <w:t>Acquity</w:t>
      </w:r>
      <w:proofErr w:type="spellEnd"/>
      <w:r w:rsidRPr="00EA1630">
        <w:rPr>
          <w:rFonts w:ascii="Times New Roman" w:hAnsi="Times New Roman"/>
          <w:sz w:val="24"/>
          <w:szCs w:val="24"/>
        </w:rPr>
        <w:t xml:space="preserve"> coupled to a </w:t>
      </w:r>
      <w:proofErr w:type="spellStart"/>
      <w:r w:rsidRPr="00EA1630">
        <w:rPr>
          <w:rFonts w:ascii="Times New Roman" w:hAnsi="Times New Roman"/>
          <w:sz w:val="24"/>
          <w:szCs w:val="24"/>
        </w:rPr>
        <w:t>MicroMass</w:t>
      </w:r>
      <w:proofErr w:type="spellEnd"/>
      <w:r w:rsidRPr="00EA1630">
        <w:rPr>
          <w:rFonts w:ascii="Times New Roman" w:hAnsi="Times New Roman"/>
          <w:sz w:val="24"/>
          <w:szCs w:val="24"/>
        </w:rPr>
        <w:t xml:space="preserve"> Quattro Premier XE tandem </w:t>
      </w:r>
      <w:proofErr w:type="spellStart"/>
      <w:r w:rsidRPr="00EA1630">
        <w:rPr>
          <w:rFonts w:ascii="Times New Roman" w:hAnsi="Times New Roman"/>
          <w:sz w:val="24"/>
          <w:szCs w:val="24"/>
        </w:rPr>
        <w:t>quadrupole</w:t>
      </w:r>
      <w:proofErr w:type="spellEnd"/>
      <w:r w:rsidRPr="00EA1630">
        <w:rPr>
          <w:rFonts w:ascii="Times New Roman" w:hAnsi="Times New Roman"/>
          <w:sz w:val="24"/>
          <w:szCs w:val="24"/>
        </w:rPr>
        <w:t xml:space="preserve"> mass spectrometer (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Waters Corporation, Milford, MA, USA</w:t>
      </w:r>
      <w:r w:rsidRPr="00EA1630">
        <w:rPr>
          <w:rFonts w:ascii="Times New Roman" w:hAnsi="Times New Roman"/>
          <w:sz w:val="24"/>
          <w:szCs w:val="24"/>
        </w:rPr>
        <w:t xml:space="preserve">).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Chromatographic separation was performed using an 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Acquity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UPLC BEH HILIC column (100mm×2.1 mm; 1.7μm </w:t>
      </w:r>
      <w:bookmarkStart w:id="6" w:name="OLE_LINK32"/>
      <w:bookmarkStart w:id="7" w:name="OLE_LINK33"/>
      <w:r w:rsidRPr="00EA1630">
        <w:rPr>
          <w:rFonts w:ascii="Times New Roman" w:eastAsiaTheme="minorEastAsia" w:hAnsi="Times New Roman"/>
          <w:kern w:val="0"/>
          <w:sz w:val="24"/>
          <w:szCs w:val="24"/>
        </w:rPr>
        <w:t>Waters Corporation, Milford, MA, USA</w:t>
      </w:r>
      <w:bookmarkEnd w:id="6"/>
      <w:bookmarkEnd w:id="7"/>
      <w:r w:rsidRPr="00EA1630">
        <w:rPr>
          <w:rFonts w:ascii="Times New Roman" w:eastAsiaTheme="minorEastAsia" w:hAnsi="Times New Roman"/>
          <w:kern w:val="0"/>
          <w:sz w:val="24"/>
          <w:szCs w:val="24"/>
        </w:rPr>
        <w:t>).</w:t>
      </w:r>
      <w:r w:rsidRPr="00EA1630">
        <w:rPr>
          <w:rFonts w:ascii="Times New Roman" w:hAnsi="Times New Roman"/>
          <w:sz w:val="24"/>
          <w:szCs w:val="24"/>
        </w:rPr>
        <w:t xml:space="preserve">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The column temperature was set to 30°C, and the flow rate was set as 0.4 mL/min and composed of Water (A) (containing 15mmol/L ammonium 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formate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, pH = 3.5) and acetonitrile (B) as the mobile phase. The condition of isocratic 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lastRenderedPageBreak/>
        <w:t>elution was set to 60% B and the total running time was 3 min. All the samples were kept in the auto-sampler at 10</w:t>
      </w:r>
      <w:r w:rsidRPr="00EA1630">
        <w:rPr>
          <w:rFonts w:ascii="Times New Roman" w:eastAsiaTheme="minorEastAsia" w:hAnsi="Times New Roman"/>
          <w:kern w:val="0"/>
          <w:sz w:val="24"/>
          <w:szCs w:val="24"/>
          <w:vertAlign w:val="superscript"/>
        </w:rPr>
        <w:t>◦</w:t>
      </w:r>
      <w:r w:rsidRPr="00EA1630">
        <w:rPr>
          <w:rFonts w:ascii="Times New Roman" w:eastAsiaTheme="minorEastAsia" w:hAnsi="Times New Roman"/>
          <w:kern w:val="0"/>
          <w:sz w:val="24"/>
          <w:szCs w:val="24"/>
        </w:rPr>
        <w:t>C. TMAO and d9-TMAO were monitored in positive-ion mode with multiple reaction monitoring of precursor and characteristic production transitions of m/z 76.3→58.4 and 85.1→66.3, respectively. Various concentrations of non-</w:t>
      </w:r>
      <w:proofErr w:type="spellStart"/>
      <w:r w:rsidRPr="00EA1630">
        <w:rPr>
          <w:rFonts w:ascii="Times New Roman" w:eastAsiaTheme="minorEastAsia" w:hAnsi="Times New Roman"/>
          <w:kern w:val="0"/>
          <w:sz w:val="24"/>
          <w:szCs w:val="24"/>
        </w:rPr>
        <w:t>isotopically</w:t>
      </w:r>
      <w:proofErr w:type="spellEnd"/>
      <w:r w:rsidRPr="00EA1630">
        <w:rPr>
          <w:rFonts w:ascii="Times New Roman" w:eastAsiaTheme="minorEastAsia" w:hAnsi="Times New Roman"/>
          <w:kern w:val="0"/>
          <w:sz w:val="24"/>
          <w:szCs w:val="24"/>
        </w:rPr>
        <w:t xml:space="preserve"> labeled TMAO were mixed with a fixed amount of internal standard d9-TMAO to prepare the calibration curves for quantification of plasma TMAO. For quality assurance, 8 different quality-control samples with TMAO concentrations ranging between 2 and 500ng/mL were used for the evaluation of accuracy and precision. Any sample with a TMAO concentration exceeding 500ng/mL was diluted and the final concentration was calculated with use of appropriate dilution factor. The accuracy of quality-control samples was within the range of 85-105% of the nominal values, the intra- and inter assay coefficient of variations (CVs) were all below 6%, and the absolute recovery was between 85% and 106%. All of the assays were performed without knowledge of PE status.</w:t>
      </w:r>
    </w:p>
    <w:p w:rsidR="005211B0" w:rsidRDefault="005211B0">
      <w:pPr>
        <w:widowControl/>
        <w:jc w:val="left"/>
        <w:rPr>
          <w:rFonts w:ascii="Times New Roman" w:eastAsiaTheme="minorEastAsia" w:hAnsi="Times New Roman"/>
          <w:kern w:val="0"/>
          <w:sz w:val="24"/>
          <w:szCs w:val="24"/>
        </w:rPr>
        <w:sectPr w:rsidR="005211B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Theme="minorEastAsia" w:hAnsi="Times New Roman"/>
          <w:kern w:val="0"/>
          <w:sz w:val="24"/>
          <w:szCs w:val="24"/>
        </w:rPr>
        <w:br w:type="page"/>
      </w:r>
    </w:p>
    <w:p w:rsidR="005211B0" w:rsidRPr="00841261" w:rsidRDefault="008417A3" w:rsidP="009725FA">
      <w:pPr>
        <w:snapToGrid w:val="0"/>
        <w:spacing w:line="480" w:lineRule="auto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 w:hint="eastAsia"/>
          <w:b/>
          <w:color w:val="000000"/>
          <w:sz w:val="24"/>
          <w:szCs w:val="24"/>
          <w:shd w:val="clear" w:color="auto" w:fill="FFFFFF"/>
        </w:rPr>
        <w:lastRenderedPageBreak/>
        <w:t>S</w:t>
      </w:r>
      <w:r w:rsidRPr="008417A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upplementary</w:t>
      </w:r>
      <w:r w:rsidRPr="008417A3">
        <w:rPr>
          <w:rFonts w:ascii="Times New Roman" w:hAnsi="Times New Roman" w:hint="eastAsia"/>
          <w:b/>
          <w:color w:val="000000"/>
          <w:sz w:val="24"/>
          <w:szCs w:val="24"/>
          <w:shd w:val="clear" w:color="auto" w:fill="FFFFFF"/>
        </w:rPr>
        <w:t xml:space="preserve"> </w:t>
      </w:r>
      <w:r w:rsidR="00804766">
        <w:rPr>
          <w:rFonts w:ascii="Times New Roman" w:hAnsi="Times New Roman" w:hint="eastAsia"/>
          <w:b/>
          <w:color w:val="000000"/>
          <w:sz w:val="24"/>
          <w:szCs w:val="24"/>
          <w:shd w:val="clear" w:color="auto" w:fill="FFFFFF"/>
        </w:rPr>
        <w:t>T</w:t>
      </w:r>
      <w:r w:rsidR="00156EAB" w:rsidRPr="00156EAB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able 1</w:t>
      </w:r>
      <w:r w:rsidR="005211B0" w:rsidRPr="00841261">
        <w:rPr>
          <w:rFonts w:ascii="Times New Roman" w:hAnsi="Times New Roman" w:hint="eastAsia"/>
          <w:sz w:val="24"/>
          <w:szCs w:val="24"/>
        </w:rPr>
        <w:t>.</w:t>
      </w:r>
      <w:proofErr w:type="gramEnd"/>
      <w:r w:rsidR="005211B0" w:rsidRPr="00841261">
        <w:rPr>
          <w:rFonts w:ascii="Times New Roman" w:hAnsi="Times New Roman"/>
          <w:sz w:val="24"/>
          <w:szCs w:val="24"/>
        </w:rPr>
        <w:t xml:space="preserve"> Comparison</w:t>
      </w:r>
      <w:r w:rsidR="005211B0" w:rsidRPr="00841261">
        <w:rPr>
          <w:rFonts w:ascii="Times New Roman" w:hAnsi="Times New Roman" w:hint="eastAsia"/>
          <w:sz w:val="24"/>
          <w:szCs w:val="24"/>
        </w:rPr>
        <w:t xml:space="preserve"> on m</w:t>
      </w:r>
      <w:r w:rsidR="005211B0" w:rsidRPr="00841261">
        <w:rPr>
          <w:rFonts w:ascii="Times New Roman" w:hAnsi="Times New Roman" w:hint="eastAsia"/>
          <w:color w:val="000000"/>
          <w:sz w:val="24"/>
          <w:szCs w:val="24"/>
        </w:rPr>
        <w:t>aternal plasma TAMO</w:t>
      </w:r>
      <w:r w:rsidR="005211B0" w:rsidRPr="00841261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 w:rsidR="005211B0" w:rsidRPr="00841261">
        <w:rPr>
          <w:rFonts w:ascii="Times New Roman" w:hAnsi="Times New Roman"/>
          <w:sz w:val="24"/>
          <w:szCs w:val="24"/>
        </w:rPr>
        <w:t>concentration</w:t>
      </w:r>
      <w:r w:rsidR="005211B0" w:rsidRPr="00841261">
        <w:rPr>
          <w:rFonts w:ascii="Times New Roman" w:hAnsi="Times New Roman" w:hint="eastAsia"/>
          <w:sz w:val="24"/>
          <w:szCs w:val="24"/>
        </w:rPr>
        <w:t xml:space="preserve"> between preeclampsia and control groups</w:t>
      </w:r>
    </w:p>
    <w:tbl>
      <w:tblPr>
        <w:tblpPr w:leftFromText="180" w:rightFromText="180" w:vertAnchor="text" w:tblpY="1"/>
        <w:tblOverlap w:val="never"/>
        <w:tblW w:w="13183" w:type="dxa"/>
        <w:tblInd w:w="108" w:type="dxa"/>
        <w:tblLook w:val="04A0"/>
      </w:tblPr>
      <w:tblGrid>
        <w:gridCol w:w="426"/>
        <w:gridCol w:w="3969"/>
        <w:gridCol w:w="2976"/>
        <w:gridCol w:w="2835"/>
        <w:gridCol w:w="2977"/>
      </w:tblGrid>
      <w:tr w:rsidR="005211B0" w:rsidRPr="00841261" w:rsidTr="009D0CD3">
        <w:trPr>
          <w:trHeight w:val="330"/>
        </w:trPr>
        <w:tc>
          <w:tcPr>
            <w:tcW w:w="4395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29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11B0" w:rsidRPr="00841261" w:rsidRDefault="005211B0" w:rsidP="009D0CD3">
            <w:pPr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T2 plasma TMAO</w:t>
            </w:r>
          </w:p>
          <w:p w:rsidR="005211B0" w:rsidRPr="00841261" w:rsidRDefault="005211B0" w:rsidP="009D0CD3">
            <w:pPr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(median (Q1, Q3), 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µg/m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T</w:t>
            </w:r>
            <w:r w:rsidR="00D95263">
              <w:rPr>
                <w:rFonts w:ascii="Times New Roman" w:hAnsi="Times New Roman" w:hint="eastAsia"/>
                <w:color w:val="000000"/>
                <w:sz w:val="24"/>
                <w:szCs w:val="24"/>
              </w:rPr>
              <w:t>D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 plasma TMAO  (median (Q1, Q3), 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µg/m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Change of TMAO</w:t>
            </w:r>
          </w:p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 xml:space="preserve">(median (Q1, Q3), 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µg/m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  <w:vertAlign w:val="superscript"/>
              </w:rPr>
              <w:t>3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Control (N=198)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84.05(60.44, 113.90)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134.96 (78.10,  202.15)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53.71( -2.60, 115.52)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PE (N=66)</w:t>
            </w: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92.40(53.80, 126.36)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151.01(103.45, 280.48)</w:t>
            </w:r>
          </w:p>
        </w:tc>
        <w:tc>
          <w:tcPr>
            <w:tcW w:w="2977" w:type="dxa"/>
            <w:tcBorders>
              <w:top w:val="nil"/>
              <w:left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57.47 (8.32, 211.50)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7.45(-6.92, 21.83)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33.25(8.54, 57.97)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24.36(-9.11, 57.84)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0.296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0.010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0.167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EOPE (N=17)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72.30(54.58, 109.66)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370.00(132.37, 514.86)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297.70(34.63, 454.05)</w:t>
            </w:r>
          </w:p>
        </w:tc>
      </w:tr>
      <w:tr w:rsidR="005211B0" w:rsidRPr="00841261" w:rsidTr="009D0CD3">
        <w:trPr>
          <w:trHeight w:val="426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shd w:val="pct15" w:color="auto" w:fill="FFFFFF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-2.62( -23.44, 18.19)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191.25(52.33,330.16)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196.49(63.67,  329.31)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  <w:shd w:val="pct15" w:color="auto" w:fill="FFFFFF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0.791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LOPE (N=49)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93.30( 53.80, 149.00)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138.71(101.66, 207.00)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30.63(0.00, 122.42)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12.33(-5.03, 29.70)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14.55( -11.16, 40.28)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-4.66(-37.17, 27.84)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0.162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0.245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0.766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Mild PE (N=41)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103.45(53.80, 149.00)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138.71(100.68, 207.08)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34.63(-1.03, 130.69)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13.71(-6.17, 33.60)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15.00(-13.00, 43.02)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-3.70(-40.44, 33.04)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0.170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0.275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0.819</w:t>
            </w:r>
          </w:p>
        </w:tc>
      </w:tr>
      <w:tr w:rsidR="005211B0" w:rsidRPr="00841261" w:rsidTr="009D0CD3">
        <w:trPr>
          <w:trHeight w:val="315"/>
        </w:trPr>
        <w:tc>
          <w:tcPr>
            <w:tcW w:w="4395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Sever PE (N=25)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85.10(54.60, 109.66)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168.24(128.14, 476.65)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eastAsia="Terminal" w:hAnsi="Times New Roman"/>
                <w:sz w:val="24"/>
                <w:szCs w:val="24"/>
              </w:rPr>
              <w:t>85.23(27.96, 340.35)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ind w:rightChars="13" w:right="2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Difference with control ( 95%CI)</w:t>
            </w:r>
            <w:r w:rsidRPr="00841261">
              <w:rPr>
                <w:rFonts w:ascii="Times New Roman" w:hAnsi="Times New Roman" w:hint="eastAsia"/>
                <w:color w:val="000000"/>
                <w:sz w:val="24"/>
                <w:szCs w:val="24"/>
              </w:rPr>
              <w:t>*</w:t>
            </w:r>
          </w:p>
        </w:tc>
        <w:tc>
          <w:tcPr>
            <w:tcW w:w="2976" w:type="dxa"/>
            <w:tcBorders>
              <w:top w:val="nil"/>
              <w:bottom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0.15(-17.69, 17.99)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78.93(26.88, 130.98)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sz w:val="24"/>
                <w:szCs w:val="24"/>
              </w:rPr>
              <w:t>88.10(21.03, 155.17)</w:t>
            </w:r>
          </w:p>
        </w:tc>
      </w:tr>
      <w:tr w:rsidR="005211B0" w:rsidRPr="00841261" w:rsidTr="009D0CD3">
        <w:trPr>
          <w:trHeight w:val="315"/>
        </w:trPr>
        <w:tc>
          <w:tcPr>
            <w:tcW w:w="426" w:type="dxa"/>
            <w:tcBorders>
              <w:top w:val="nil"/>
              <w:left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5211B0" w:rsidRPr="00841261" w:rsidRDefault="005211B0" w:rsidP="009D0CD3">
            <w:pPr>
              <w:snapToGrid w:val="0"/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p</w:t>
            </w: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†</w:t>
            </w:r>
          </w:p>
        </w:tc>
        <w:tc>
          <w:tcPr>
            <w:tcW w:w="2976" w:type="dxa"/>
            <w:tcBorders>
              <w:top w:val="nil"/>
              <w:bottom w:val="single" w:sz="12" w:space="0" w:color="auto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0.976</w:t>
            </w:r>
          </w:p>
        </w:tc>
        <w:tc>
          <w:tcPr>
            <w:tcW w:w="2835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211B0" w:rsidRPr="00841261" w:rsidRDefault="005211B0" w:rsidP="009D0CD3">
            <w:pPr>
              <w:wordWrap w:val="0"/>
              <w:snapToGrid w:val="0"/>
              <w:spacing w:line="48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41261">
              <w:rPr>
                <w:rFonts w:ascii="Times New Roman" w:hAnsi="Times New Roman"/>
                <w:color w:val="000000"/>
                <w:sz w:val="24"/>
                <w:szCs w:val="24"/>
              </w:rPr>
              <w:t>0.006</w:t>
            </w:r>
          </w:p>
        </w:tc>
      </w:tr>
    </w:tbl>
    <w:p w:rsidR="005211B0" w:rsidRPr="00841261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</w:p>
    <w:p w:rsidR="005211B0" w:rsidRDefault="005211B0" w:rsidP="005211B0">
      <w:pPr>
        <w:rPr>
          <w:rFonts w:ascii="Times New Roman" w:hAnsi="Times New Roman"/>
          <w:sz w:val="24"/>
          <w:szCs w:val="24"/>
        </w:rPr>
      </w:pPr>
    </w:p>
    <w:p w:rsidR="005211B0" w:rsidRPr="00841261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  <w:r w:rsidRPr="00841261">
        <w:rPr>
          <w:rFonts w:ascii="Times New Roman" w:hAnsi="Times New Roman" w:hint="eastAsia"/>
          <w:sz w:val="24"/>
          <w:szCs w:val="24"/>
        </w:rPr>
        <w:t xml:space="preserve">* </w:t>
      </w:r>
      <w:r w:rsidRPr="00841261">
        <w:rPr>
          <w:rFonts w:ascii="Times New Roman" w:hAnsi="Times New Roman"/>
          <w:sz w:val="24"/>
          <w:szCs w:val="24"/>
        </w:rPr>
        <w:t xml:space="preserve">95% CIs were estimated with the Hodges-Lehmann method. </w:t>
      </w:r>
    </w:p>
    <w:p w:rsidR="005211B0" w:rsidRPr="00841261" w:rsidRDefault="005211B0" w:rsidP="005211B0">
      <w:pPr>
        <w:spacing w:line="480" w:lineRule="auto"/>
        <w:rPr>
          <w:rFonts w:ascii="Times New Roman" w:hAnsi="Times New Roman"/>
          <w:sz w:val="24"/>
          <w:szCs w:val="24"/>
        </w:rPr>
      </w:pPr>
      <w:r w:rsidRPr="00841261">
        <w:rPr>
          <w:rFonts w:ascii="Times New Roman" w:hAnsi="Times New Roman"/>
          <w:color w:val="000000"/>
          <w:sz w:val="24"/>
          <w:szCs w:val="24"/>
        </w:rPr>
        <w:t>†</w:t>
      </w:r>
      <w:r w:rsidRPr="00841261">
        <w:rPr>
          <w:rFonts w:ascii="Times New Roman" w:hAnsi="Times New Roman" w:hint="eastAsia"/>
          <w:color w:val="000000"/>
          <w:sz w:val="24"/>
          <w:szCs w:val="24"/>
        </w:rPr>
        <w:t xml:space="preserve"> Based on </w:t>
      </w:r>
      <w:r w:rsidRPr="00841261">
        <w:rPr>
          <w:rFonts w:ascii="Times New Roman" w:hAnsi="Times New Roman"/>
          <w:sz w:val="24"/>
          <w:szCs w:val="24"/>
        </w:rPr>
        <w:t>Wilcoxon rank-sum test.</w:t>
      </w:r>
    </w:p>
    <w:p w:rsidR="009633A8" w:rsidRPr="005211B0" w:rsidRDefault="005211B0" w:rsidP="005211B0">
      <w:pPr>
        <w:autoSpaceDE w:val="0"/>
        <w:autoSpaceDN w:val="0"/>
        <w:adjustRightInd w:val="0"/>
        <w:spacing w:line="480" w:lineRule="auto"/>
        <w:jc w:val="left"/>
        <w:rPr>
          <w:rFonts w:ascii="Times New Roman" w:eastAsiaTheme="minorEastAsia" w:hAnsi="Times New Roman"/>
          <w:kern w:val="0"/>
          <w:sz w:val="24"/>
          <w:szCs w:val="24"/>
        </w:rPr>
      </w:pPr>
      <w:r w:rsidRPr="00841261">
        <w:rPr>
          <w:rFonts w:ascii="Times New Roman" w:hAnsi="Times New Roman"/>
          <w:sz w:val="24"/>
          <w:szCs w:val="24"/>
        </w:rPr>
        <w:t>Abbreviation</w:t>
      </w:r>
      <w:r w:rsidRPr="00841261">
        <w:rPr>
          <w:rFonts w:ascii="Times New Roman" w:hAnsi="Times New Roman" w:hint="eastAsia"/>
          <w:sz w:val="24"/>
          <w:szCs w:val="24"/>
        </w:rPr>
        <w:t xml:space="preserve">: </w:t>
      </w:r>
      <w:r w:rsidRPr="00841261">
        <w:rPr>
          <w:rFonts w:ascii="Times New Roman" w:hAnsi="Times New Roman"/>
          <w:sz w:val="24"/>
          <w:szCs w:val="24"/>
        </w:rPr>
        <w:t xml:space="preserve">TMAO, </w:t>
      </w:r>
      <w:proofErr w:type="spellStart"/>
      <w:r w:rsidRPr="00841261">
        <w:rPr>
          <w:rFonts w:ascii="Times New Roman" w:hAnsi="Times New Roman"/>
          <w:sz w:val="24"/>
          <w:szCs w:val="24"/>
        </w:rPr>
        <w:t>trimethylamine</w:t>
      </w:r>
      <w:proofErr w:type="spellEnd"/>
      <w:r w:rsidRPr="00841261">
        <w:rPr>
          <w:rFonts w:ascii="Times New Roman" w:hAnsi="Times New Roman"/>
          <w:sz w:val="24"/>
          <w:szCs w:val="24"/>
        </w:rPr>
        <w:t xml:space="preserve">-N-oxide; </w:t>
      </w:r>
      <w:r w:rsidRPr="00841261">
        <w:rPr>
          <w:rFonts w:ascii="Times New Roman" w:hAnsi="Times New Roman" w:hint="eastAsia"/>
          <w:sz w:val="24"/>
          <w:szCs w:val="24"/>
        </w:rPr>
        <w:t>PE, preeclampsia; EOPE, early onset preeclampsia; LOPE, late onset preeclampsia; T2, the second trimester; T</w:t>
      </w:r>
      <w:r w:rsidR="00D95263">
        <w:rPr>
          <w:rFonts w:ascii="Times New Roman" w:hAnsi="Times New Roman" w:hint="eastAsia"/>
          <w:sz w:val="24"/>
          <w:szCs w:val="24"/>
        </w:rPr>
        <w:t>D</w:t>
      </w:r>
      <w:r w:rsidRPr="00841261">
        <w:rPr>
          <w:rFonts w:ascii="Times New Roman" w:hAnsi="Times New Roman" w:hint="eastAsia"/>
          <w:sz w:val="24"/>
          <w:szCs w:val="24"/>
        </w:rPr>
        <w:t>, the</w:t>
      </w:r>
      <w:r w:rsidR="00D95263">
        <w:rPr>
          <w:rFonts w:ascii="Times New Roman" w:hAnsi="Times New Roman" w:hint="eastAsia"/>
          <w:sz w:val="24"/>
          <w:szCs w:val="24"/>
        </w:rPr>
        <w:t xml:space="preserve"> time of delivery</w:t>
      </w:r>
      <w:r w:rsidRPr="00841261">
        <w:rPr>
          <w:rFonts w:ascii="Times New Roman" w:hAnsi="Times New Roman" w:hint="eastAsia"/>
          <w:sz w:val="24"/>
          <w:szCs w:val="24"/>
        </w:rPr>
        <w:t xml:space="preserve">; Q1, first </w:t>
      </w:r>
      <w:r w:rsidRPr="00841261">
        <w:rPr>
          <w:rFonts w:ascii="Times New Roman" w:hAnsi="Times New Roman"/>
          <w:sz w:val="24"/>
          <w:szCs w:val="24"/>
        </w:rPr>
        <w:t>quartile</w:t>
      </w:r>
      <w:r w:rsidRPr="00841261">
        <w:rPr>
          <w:rFonts w:ascii="Times New Roman" w:hAnsi="Times New Roman" w:hint="eastAsia"/>
          <w:sz w:val="24"/>
          <w:szCs w:val="24"/>
        </w:rPr>
        <w:t xml:space="preserve">; Q3, third quartile; </w:t>
      </w:r>
      <w:r w:rsidRPr="00841261">
        <w:rPr>
          <w:rFonts w:ascii="Times New Roman" w:hAnsi="Times New Roman"/>
          <w:sz w:val="24"/>
          <w:szCs w:val="24"/>
        </w:rPr>
        <w:t>CI</w:t>
      </w:r>
      <w:r w:rsidRPr="00841261">
        <w:rPr>
          <w:rFonts w:ascii="Times New Roman" w:hAnsi="Times New Roman" w:hint="eastAsia"/>
          <w:sz w:val="24"/>
          <w:szCs w:val="24"/>
        </w:rPr>
        <w:t>,</w:t>
      </w:r>
      <w:r w:rsidRPr="00841261">
        <w:rPr>
          <w:rFonts w:ascii="Times New Roman" w:hAnsi="Times New Roman"/>
          <w:sz w:val="24"/>
          <w:szCs w:val="24"/>
        </w:rPr>
        <w:t xml:space="preserve"> confident interval</w:t>
      </w:r>
      <w:bookmarkStart w:id="8" w:name="_GoBack"/>
      <w:bookmarkEnd w:id="8"/>
    </w:p>
    <w:p w:rsidR="00F83949" w:rsidRPr="009633A8" w:rsidRDefault="00F83949"/>
    <w:sectPr w:rsidR="00F83949" w:rsidRPr="009633A8" w:rsidSect="005211B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6922" w:rsidRDefault="00346922" w:rsidP="009633A8">
      <w:r>
        <w:separator/>
      </w:r>
    </w:p>
  </w:endnote>
  <w:endnote w:type="continuationSeparator" w:id="0">
    <w:p w:rsidR="00346922" w:rsidRDefault="00346922" w:rsidP="00963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rminal">
    <w:altName w:val="方正兰亭超细黑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6922" w:rsidRDefault="00346922" w:rsidP="009633A8">
      <w:r>
        <w:separator/>
      </w:r>
    </w:p>
  </w:footnote>
  <w:footnote w:type="continuationSeparator" w:id="0">
    <w:p w:rsidR="00346922" w:rsidRDefault="00346922" w:rsidP="009633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3949"/>
    <w:rsid w:val="0002657F"/>
    <w:rsid w:val="00045CA1"/>
    <w:rsid w:val="000C3527"/>
    <w:rsid w:val="00156EAB"/>
    <w:rsid w:val="0019080F"/>
    <w:rsid w:val="00294CF1"/>
    <w:rsid w:val="00340018"/>
    <w:rsid w:val="00346922"/>
    <w:rsid w:val="00475285"/>
    <w:rsid w:val="004E27C8"/>
    <w:rsid w:val="005211B0"/>
    <w:rsid w:val="00626C1D"/>
    <w:rsid w:val="007736C0"/>
    <w:rsid w:val="00804766"/>
    <w:rsid w:val="008417A3"/>
    <w:rsid w:val="00933E86"/>
    <w:rsid w:val="009633A8"/>
    <w:rsid w:val="009725FA"/>
    <w:rsid w:val="00987BCA"/>
    <w:rsid w:val="00A16F29"/>
    <w:rsid w:val="00D94CD6"/>
    <w:rsid w:val="00D95263"/>
    <w:rsid w:val="00EE15E8"/>
    <w:rsid w:val="00F62E38"/>
    <w:rsid w:val="00F83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3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3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3A8"/>
    <w:rPr>
      <w:sz w:val="18"/>
      <w:szCs w:val="18"/>
    </w:rPr>
  </w:style>
  <w:style w:type="paragraph" w:styleId="a5">
    <w:name w:val="List Paragraph"/>
    <w:basedOn w:val="a"/>
    <w:uiPriority w:val="34"/>
    <w:qFormat/>
    <w:rsid w:val="005211B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3A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33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33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33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33A8"/>
    <w:rPr>
      <w:sz w:val="18"/>
      <w:szCs w:val="18"/>
    </w:rPr>
  </w:style>
  <w:style w:type="paragraph" w:styleId="a5">
    <w:name w:val="List Paragraph"/>
    <w:basedOn w:val="a"/>
    <w:uiPriority w:val="34"/>
    <w:qFormat/>
    <w:rsid w:val="005211B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652</Words>
  <Characters>3720</Characters>
  <Application>Microsoft Office Word</Application>
  <DocSecurity>0</DocSecurity>
  <Lines>31</Lines>
  <Paragraphs>8</Paragraphs>
  <ScaleCrop>false</ScaleCrop>
  <Company>微软中国</Company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2019-10-05T04:11:00Z</dcterms:created>
  <dcterms:modified xsi:type="dcterms:W3CDTF">2019-12-14T16:03:00Z</dcterms:modified>
</cp:coreProperties>
</file>