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114300" distR="114300">
            <wp:extent cx="3599815" cy="3147060"/>
            <wp:effectExtent l="0" t="0" r="635" b="152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r="9000" b="4092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S1. Amino acid sequence alignment between RPL23aA and RPL23aB.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</w:rPr>
        <w:t>RPL23aA and RPL23aB are 95% identical in amino acid sequences. The black background indicates identical amino acids. The different amino acids are in red highlight.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4B28C2"/>
    <w:rsid w:val="0F947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2020-07-30T14:56:38Z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