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B" w:rsidRPr="006D6ABF" w:rsidRDefault="00D3417D" w:rsidP="00EC53B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kern w:val="0"/>
        </w:rPr>
        <w:instrText>ADDIN CNKISM.UserStyle</w:instrText>
      </w:r>
      <w:r>
        <w:rPr>
          <w:rFonts w:ascii="Times New Roman" w:hAnsi="Times New Roman" w:cs="Times New Roman"/>
          <w:b/>
          <w:kern w:val="0"/>
        </w:rPr>
      </w:r>
      <w:r>
        <w:rPr>
          <w:rFonts w:ascii="Times New Roman" w:hAnsi="Times New Roman" w:cs="Times New Roman"/>
          <w:b/>
          <w:kern w:val="0"/>
        </w:rPr>
        <w:fldChar w:fldCharType="end"/>
      </w:r>
      <w:r w:rsidR="00EC53BB">
        <w:rPr>
          <w:rFonts w:ascii="Times New Roman" w:hAnsi="Times New Roman" w:cs="Times New Roman"/>
          <w:b/>
          <w:kern w:val="0"/>
        </w:rPr>
        <w:t xml:space="preserve">Table </w:t>
      </w:r>
      <w:r w:rsidR="00907944">
        <w:rPr>
          <w:rFonts w:ascii="Times New Roman" w:hAnsi="Times New Roman" w:cs="Times New Roman"/>
          <w:b/>
          <w:kern w:val="0"/>
        </w:rPr>
        <w:t>S</w:t>
      </w:r>
      <w:r w:rsidR="00EA0A8F">
        <w:rPr>
          <w:rFonts w:ascii="Times New Roman" w:hAnsi="Times New Roman" w:cs="Times New Roman"/>
          <w:b/>
          <w:kern w:val="0"/>
        </w:rPr>
        <w:t>4</w:t>
      </w:r>
      <w:r w:rsidR="00EC53BB" w:rsidRPr="005F3E75">
        <w:rPr>
          <w:rFonts w:ascii="Times New Roman" w:hAnsi="Times New Roman" w:cs="Times New Roman"/>
          <w:b/>
          <w:kern w:val="0"/>
        </w:rPr>
        <w:t xml:space="preserve"> GLMM results showing </w:t>
      </w:r>
      <w:r w:rsidR="00EC53BB">
        <w:rPr>
          <w:rFonts w:ascii="Times New Roman" w:hAnsi="Times New Roman" w:cs="Times New Roman"/>
          <w:b/>
          <w:kern w:val="0"/>
        </w:rPr>
        <w:t>v</w:t>
      </w:r>
      <w:r w:rsidR="00EC53BB" w:rsidRPr="005F3E75">
        <w:rPr>
          <w:rFonts w:ascii="Times New Roman" w:hAnsi="Times New Roman" w:cs="Times New Roman"/>
          <w:b/>
          <w:kern w:val="0"/>
        </w:rPr>
        <w:t>ariations in</w:t>
      </w:r>
      <w:r w:rsidR="00EC53BB" w:rsidRPr="005F3E75">
        <w:rPr>
          <w:rFonts w:ascii="Times New Roman" w:hAnsi="Times New Roman" w:cs="Times New Roman"/>
          <w:sz w:val="24"/>
          <w:szCs w:val="21"/>
        </w:rPr>
        <w:t xml:space="preserve"> </w:t>
      </w:r>
      <w:r w:rsidR="00EC53BB" w:rsidRPr="00002C6D">
        <w:rPr>
          <w:rFonts w:ascii="Times New Roman" w:hAnsi="Times New Roman" w:cs="Times New Roman"/>
          <w:b/>
          <w:kern w:val="0"/>
        </w:rPr>
        <w:t xml:space="preserve">relative abundance of dominant bacterial </w:t>
      </w:r>
      <w:r>
        <w:rPr>
          <w:rFonts w:ascii="Times New Roman" w:hAnsi="Times New Roman" w:cs="Times New Roman"/>
          <w:b/>
          <w:kern w:val="0"/>
        </w:rPr>
        <w:t xml:space="preserve">and fungal </w:t>
      </w:r>
      <w:r w:rsidR="00EC53BB" w:rsidRPr="00002C6D">
        <w:rPr>
          <w:rFonts w:ascii="Times New Roman" w:hAnsi="Times New Roman" w:cs="Times New Roman"/>
          <w:b/>
          <w:kern w:val="0"/>
        </w:rPr>
        <w:t>phyla</w:t>
      </w:r>
      <w:r w:rsidR="00EC53BB">
        <w:rPr>
          <w:rFonts w:ascii="Times New Roman" w:hAnsi="Times New Roman" w:cs="Times New Roman"/>
          <w:b/>
          <w:kern w:val="0"/>
        </w:rPr>
        <w:t xml:space="preserve"> with mon</w:t>
      </w:r>
      <w:r w:rsidR="00EC53BB" w:rsidRPr="005F3E75">
        <w:rPr>
          <w:rFonts w:ascii="Times New Roman" w:hAnsi="Times New Roman" w:cs="Times New Roman"/>
          <w:b/>
          <w:kern w:val="0"/>
        </w:rPr>
        <w:t>th</w:t>
      </w:r>
      <w:r w:rsidR="00EC53BB" w:rsidRPr="00002C6D">
        <w:rPr>
          <w:rFonts w:ascii="Times New Roman" w:hAnsi="Times New Roman" w:cs="Times New Roman"/>
          <w:b/>
          <w:kern w:val="0"/>
        </w:rPr>
        <w:t>.</w:t>
      </w:r>
    </w:p>
    <w:tbl>
      <w:tblPr>
        <w:tblW w:w="9508" w:type="dxa"/>
        <w:tblInd w:w="-426" w:type="dxa"/>
        <w:tblLook w:val="04A0" w:firstRow="1" w:lastRow="0" w:firstColumn="1" w:lastColumn="0" w:noHBand="0" w:noVBand="1"/>
      </w:tblPr>
      <w:tblGrid>
        <w:gridCol w:w="1896"/>
        <w:gridCol w:w="1507"/>
        <w:gridCol w:w="1418"/>
        <w:gridCol w:w="1559"/>
        <w:gridCol w:w="1417"/>
        <w:gridCol w:w="1711"/>
      </w:tblGrid>
      <w:tr w:rsidR="00EC53BB" w:rsidRPr="00005A87" w:rsidTr="00D3417D">
        <w:trPr>
          <w:trHeight w:val="290"/>
        </w:trPr>
        <w:tc>
          <w:tcPr>
            <w:tcW w:w="189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5A87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P</w:t>
            </w:r>
            <w:r w:rsidRPr="004D06AE">
              <w:rPr>
                <w:rFonts w:ascii="Times New Roman" w:eastAsia="等线" w:hAnsi="Times New Roman" w:cs="Times New Roman"/>
                <w:color w:val="000000"/>
                <w:kern w:val="0"/>
              </w:rPr>
              <w:t>hylum</w:t>
            </w:r>
          </w:p>
        </w:tc>
        <w:tc>
          <w:tcPr>
            <w:tcW w:w="150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Default="00EC53BB" w:rsidP="00D341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May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Default="00EC53BB" w:rsidP="00D341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Jun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Default="00EC53BB" w:rsidP="00D341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Jul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Default="00EC53BB" w:rsidP="00D341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Aug</w:t>
            </w:r>
          </w:p>
        </w:tc>
        <w:tc>
          <w:tcPr>
            <w:tcW w:w="17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Default="00EC53BB" w:rsidP="00D341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Sep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Actinobacteria</w:t>
            </w:r>
          </w:p>
        </w:tc>
        <w:tc>
          <w:tcPr>
            <w:tcW w:w="15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46.89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5.36ab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48.02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4.86a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49.63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6.54a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45.14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6.08b</w:t>
            </w:r>
          </w:p>
        </w:tc>
        <w:tc>
          <w:tcPr>
            <w:tcW w:w="17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47.32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4.85a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Proteobacteria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19.46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3.23a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18.37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2.30ab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17.74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3.38b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18.32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3.40ab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18.57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2.</w:t>
            </w:r>
            <w:r w:rsidRPr="00004D4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40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ab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Acidobacteria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10.87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2.02ab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10.35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1.79ab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9.35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2.04b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11.50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2.49a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10.31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1.39ab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Chloroflexi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9.41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0.69ab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9.69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0.80ab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9.83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0.96ab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10.04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0.83a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9.02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1.16b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Verrucomicrobia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5.00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0.74a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5.02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0.51a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4.78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0.80ab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4.38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0.36ab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4.29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0.66b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Gemmatimonadetes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4.00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0.54c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4.00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0.61c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4.41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1.12b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5.56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1.09a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4.57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0.38b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Rokubacteria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0.94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0.39b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1.24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0.25a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0.91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0.24b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1.13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0.39ab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0.99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0.26b</w:t>
            </w:r>
          </w:p>
        </w:tc>
      </w:tr>
      <w:tr w:rsidR="00EC53BB" w:rsidRPr="00005A87" w:rsidTr="00D3417D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Bacteroidetes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1.02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0.51a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0.85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0.33ab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0.78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0.37b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1.05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0.38a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0.95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0.29a</w:t>
            </w:r>
          </w:p>
        </w:tc>
      </w:tr>
      <w:tr w:rsidR="00EC53BB" w:rsidRPr="00005A87" w:rsidTr="00523F44">
        <w:trPr>
          <w:trHeight w:val="290"/>
        </w:trPr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4D06AE" w:rsidRDefault="00EC53BB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4D06AE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Planctomycetes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0.82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0.18a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0.88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0.17a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0.81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0.27ab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0.71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0.18ab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53BB" w:rsidRPr="00004D44" w:rsidRDefault="00EC53BB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0.69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±</w:t>
            </w:r>
            <w:r w:rsidRPr="00004D4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0.20b</w:t>
            </w:r>
          </w:p>
        </w:tc>
      </w:tr>
      <w:tr w:rsidR="00D3417D" w:rsidRPr="00005A87" w:rsidTr="00523F44">
        <w:trPr>
          <w:trHeight w:val="290"/>
        </w:trPr>
        <w:tc>
          <w:tcPr>
            <w:tcW w:w="18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bookmarkStart w:id="0" w:name="_GoBack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Ascomycota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70.34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8.14b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69.36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4.60c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73.57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11.00ab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73.64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7.97ab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78.46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2.62a</w:t>
            </w:r>
          </w:p>
        </w:tc>
      </w:tr>
      <w:bookmarkEnd w:id="0"/>
      <w:tr w:rsidR="00D3417D" w:rsidRPr="00005A87" w:rsidTr="00D3417D">
        <w:trPr>
          <w:trHeight w:val="290"/>
        </w:trPr>
        <w:tc>
          <w:tcPr>
            <w:tcW w:w="1896" w:type="dxa"/>
            <w:noWrap/>
            <w:vAlign w:val="center"/>
          </w:tcPr>
          <w:p w:rsidR="00D3417D" w:rsidRDefault="00D3417D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Unclassified</w:t>
            </w:r>
          </w:p>
        </w:tc>
        <w:tc>
          <w:tcPr>
            <w:tcW w:w="150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15.18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8.62ab</w:t>
            </w:r>
          </w:p>
        </w:tc>
        <w:tc>
          <w:tcPr>
            <w:tcW w:w="1418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16.36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3.00a</w:t>
            </w:r>
          </w:p>
        </w:tc>
        <w:tc>
          <w:tcPr>
            <w:tcW w:w="1559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15.96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11.90ab</w:t>
            </w:r>
          </w:p>
        </w:tc>
        <w:tc>
          <w:tcPr>
            <w:tcW w:w="141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12.58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5.24ab</w:t>
            </w:r>
          </w:p>
        </w:tc>
        <w:tc>
          <w:tcPr>
            <w:tcW w:w="1711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10.55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3.32b</w:t>
            </w:r>
          </w:p>
        </w:tc>
      </w:tr>
      <w:tr w:rsidR="00D3417D" w:rsidRPr="00005A87" w:rsidTr="00D3417D">
        <w:trPr>
          <w:trHeight w:val="290"/>
        </w:trPr>
        <w:tc>
          <w:tcPr>
            <w:tcW w:w="1896" w:type="dxa"/>
            <w:noWrap/>
            <w:vAlign w:val="center"/>
          </w:tcPr>
          <w:p w:rsidR="00D3417D" w:rsidRDefault="00D3417D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Basidiomycota</w:t>
            </w:r>
          </w:p>
        </w:tc>
        <w:tc>
          <w:tcPr>
            <w:tcW w:w="150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10.29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3.31a</w:t>
            </w:r>
          </w:p>
        </w:tc>
        <w:tc>
          <w:tcPr>
            <w:tcW w:w="1418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10.25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2.48a</w:t>
            </w:r>
          </w:p>
        </w:tc>
        <w:tc>
          <w:tcPr>
            <w:tcW w:w="1559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7.80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3.13a</w:t>
            </w:r>
          </w:p>
        </w:tc>
        <w:tc>
          <w:tcPr>
            <w:tcW w:w="141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10.06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8.87ab</w:t>
            </w:r>
          </w:p>
        </w:tc>
        <w:tc>
          <w:tcPr>
            <w:tcW w:w="1711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5.70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2.12b</w:t>
            </w:r>
          </w:p>
        </w:tc>
      </w:tr>
      <w:tr w:rsidR="00D3417D" w:rsidRPr="00005A87" w:rsidTr="00D3417D">
        <w:trPr>
          <w:trHeight w:val="290"/>
        </w:trPr>
        <w:tc>
          <w:tcPr>
            <w:tcW w:w="1896" w:type="dxa"/>
            <w:noWrap/>
            <w:vAlign w:val="center"/>
          </w:tcPr>
          <w:p w:rsidR="00D3417D" w:rsidRDefault="00D3417D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Mortierellomycota</w:t>
            </w:r>
          </w:p>
        </w:tc>
        <w:tc>
          <w:tcPr>
            <w:tcW w:w="150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0.45ab</w:t>
            </w:r>
          </w:p>
        </w:tc>
        <w:tc>
          <w:tcPr>
            <w:tcW w:w="1418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0.44ab</w:t>
            </w:r>
          </w:p>
        </w:tc>
        <w:tc>
          <w:tcPr>
            <w:tcW w:w="1559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1.89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0.68ab</w:t>
            </w:r>
          </w:p>
        </w:tc>
        <w:tc>
          <w:tcPr>
            <w:tcW w:w="1417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2.49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0.41b</w:t>
            </w:r>
          </w:p>
        </w:tc>
        <w:tc>
          <w:tcPr>
            <w:tcW w:w="1711" w:type="dxa"/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3.91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1.91a</w:t>
            </w:r>
          </w:p>
        </w:tc>
      </w:tr>
      <w:tr w:rsidR="00D3417D" w:rsidRPr="00005A87" w:rsidTr="00D3417D">
        <w:trPr>
          <w:trHeight w:val="290"/>
        </w:trPr>
        <w:tc>
          <w:tcPr>
            <w:tcW w:w="1896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Unassigned</w:t>
            </w:r>
          </w:p>
        </w:tc>
        <w:tc>
          <w:tcPr>
            <w:tcW w:w="1507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0.21b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0.37ab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0.17b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0.50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0.32ab</w:t>
            </w:r>
          </w:p>
        </w:tc>
        <w:tc>
          <w:tcPr>
            <w:tcW w:w="1711" w:type="dxa"/>
            <w:tcBorders>
              <w:bottom w:val="single" w:sz="12" w:space="0" w:color="auto"/>
            </w:tcBorders>
            <w:noWrap/>
            <w:vAlign w:val="center"/>
          </w:tcPr>
          <w:p w:rsidR="00D3417D" w:rsidRDefault="00D3417D" w:rsidP="00D341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0.79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0.60a</w:t>
            </w:r>
          </w:p>
        </w:tc>
      </w:tr>
    </w:tbl>
    <w:p w:rsidR="00EC53BB" w:rsidRDefault="00EC53BB" w:rsidP="00EC53BB">
      <w:pPr>
        <w:spacing w:line="480" w:lineRule="auto"/>
      </w:pPr>
      <w:r w:rsidRPr="00E13495">
        <w:rPr>
          <w:rFonts w:ascii="Times New Roman" w:hAnsi="Times New Roman" w:cs="Times New Roman"/>
          <w:sz w:val="20"/>
        </w:rPr>
        <w:t>Note</w:t>
      </w:r>
      <w:r w:rsidRPr="00E13495">
        <w:rPr>
          <w:rFonts w:ascii="Times New Roman" w:hAnsi="Times New Roman" w:cs="Times New Roman"/>
          <w:sz w:val="20"/>
        </w:rPr>
        <w:t>：</w:t>
      </w:r>
      <w:r w:rsidR="007B7D38" w:rsidRPr="007B7D38">
        <w:rPr>
          <w:rFonts w:ascii="Times New Roman" w:hAnsi="Times New Roman" w:cs="Times New Roman"/>
          <w:sz w:val="20"/>
        </w:rPr>
        <w:t xml:space="preserve">Only the significantly affected bacterial </w:t>
      </w:r>
      <w:r w:rsidR="007B7D38">
        <w:rPr>
          <w:rFonts w:ascii="Times New Roman" w:hAnsi="Times New Roman" w:cs="Times New Roman"/>
          <w:sz w:val="20"/>
        </w:rPr>
        <w:t xml:space="preserve">and </w:t>
      </w:r>
      <w:r w:rsidR="007B7D38" w:rsidRPr="007B7D38">
        <w:rPr>
          <w:rFonts w:ascii="Times New Roman" w:hAnsi="Times New Roman" w:cs="Times New Roman"/>
          <w:sz w:val="20"/>
        </w:rPr>
        <w:t>fungal phyla, which were detected by the GLMM (Table S</w:t>
      </w:r>
      <w:r w:rsidR="007B7D38">
        <w:rPr>
          <w:rFonts w:ascii="Times New Roman" w:hAnsi="Times New Roman" w:cs="Times New Roman"/>
          <w:sz w:val="20"/>
        </w:rPr>
        <w:t>2</w:t>
      </w:r>
      <w:r w:rsidR="007B7D38" w:rsidRPr="007B7D38">
        <w:rPr>
          <w:rFonts w:ascii="Times New Roman" w:hAnsi="Times New Roman" w:cs="Times New Roman"/>
          <w:sz w:val="20"/>
        </w:rPr>
        <w:t xml:space="preserve">) </w:t>
      </w:r>
      <w:r w:rsidRPr="00E13495">
        <w:rPr>
          <w:rFonts w:ascii="Times New Roman" w:hAnsi="Times New Roman" w:cs="Times New Roman"/>
          <w:sz w:val="20"/>
        </w:rPr>
        <w:t>The data is expressed in the form of "mean</w:t>
      </w:r>
      <w:r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±</w:t>
      </w:r>
      <w:r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SD", and the significance level of the difference between the data is p &lt;0.05.</w:t>
      </w:r>
      <w:r w:rsidRPr="00002C6D">
        <w:rPr>
          <w:rFonts w:ascii="Times New Roman" w:hAnsi="Times New Roman" w:cs="Times New Roman"/>
          <w:sz w:val="20"/>
        </w:rPr>
        <w:t xml:space="preserve"> </w:t>
      </w:r>
      <w:r w:rsidRPr="00E13495">
        <w:rPr>
          <w:rFonts w:ascii="Times New Roman" w:hAnsi="Times New Roman" w:cs="Times New Roman"/>
          <w:sz w:val="20"/>
        </w:rPr>
        <w:t>May, Jun, Jul, Aug, Sep respectively represent different months of the growth period, namely May, June, July, August and September.</w:t>
      </w:r>
    </w:p>
    <w:p w:rsidR="00A062C5" w:rsidRDefault="00A062C5"/>
    <w:sectPr w:rsidR="00A06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4CE9" w:rsidRDefault="00AD4CE9" w:rsidP="00907944">
      <w:r>
        <w:separator/>
      </w:r>
    </w:p>
  </w:endnote>
  <w:endnote w:type="continuationSeparator" w:id="0">
    <w:p w:rsidR="00AD4CE9" w:rsidRDefault="00AD4CE9" w:rsidP="00907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4CE9" w:rsidRDefault="00AD4CE9" w:rsidP="00907944">
      <w:r>
        <w:separator/>
      </w:r>
    </w:p>
  </w:footnote>
  <w:footnote w:type="continuationSeparator" w:id="0">
    <w:p w:rsidR="00AD4CE9" w:rsidRDefault="00AD4CE9" w:rsidP="00907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3BB"/>
    <w:rsid w:val="00523F44"/>
    <w:rsid w:val="007854F3"/>
    <w:rsid w:val="007B7D38"/>
    <w:rsid w:val="00907944"/>
    <w:rsid w:val="00915AD1"/>
    <w:rsid w:val="00A062C5"/>
    <w:rsid w:val="00AD4CE9"/>
    <w:rsid w:val="00D3417D"/>
    <w:rsid w:val="00EA0A8F"/>
    <w:rsid w:val="00EC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2F432E-F9A6-4E81-91C3-D15AEFEF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7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7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234</Words>
  <Characters>1337</Characters>
  <Application>Microsoft Office Word</Application>
  <DocSecurity>0</DocSecurity>
  <Lines>11</Lines>
  <Paragraphs>3</Paragraphs>
  <ScaleCrop>false</ScaleCrop>
  <Company>微软中国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2021-01-09T15:53:00Z</dcterms:created>
  <dcterms:modified xsi:type="dcterms:W3CDTF">2021-01-28T07:17:00Z</dcterms:modified>
</cp:coreProperties>
</file>