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1792B" w14:textId="439968B1" w:rsidR="001B4E2B" w:rsidRDefault="001B4E2B">
      <w:pPr>
        <w:rPr>
          <w:rFonts w:ascii="Arial" w:hAnsi="Arial" w:cs="Arial"/>
          <w:b/>
          <w:noProof/>
          <w:szCs w:val="21"/>
        </w:rPr>
      </w:pPr>
      <w:r w:rsidRPr="00371EBF">
        <w:rPr>
          <w:rFonts w:ascii="Arial" w:hAnsi="Arial" w:cs="Arial"/>
          <w:b/>
          <w:noProof/>
          <w:szCs w:val="21"/>
        </w:rPr>
        <w:t>Figure s1</w:t>
      </w:r>
      <w:r w:rsidRPr="00371EBF">
        <w:rPr>
          <w:rFonts w:ascii="Arial" w:hAnsi="Arial" w:cs="Arial"/>
          <w:noProof/>
          <w:szCs w:val="21"/>
        </w:rPr>
        <w:t>. Subgroup analysis of</w:t>
      </w:r>
      <w:r>
        <w:rPr>
          <w:rFonts w:ascii="Arial" w:hAnsi="Arial" w:cs="Arial"/>
          <w:noProof/>
          <w:szCs w:val="21"/>
        </w:rPr>
        <w:t xml:space="preserve"> overall survival</w:t>
      </w:r>
    </w:p>
    <w:p w14:paraId="25A0416F" w14:textId="20A4712E" w:rsidR="005B3B68" w:rsidRDefault="00FD665B">
      <w:pPr>
        <w:rPr>
          <w:rFonts w:ascii="Arial" w:hAnsi="Arial" w:cs="Arial"/>
          <w:b/>
          <w:noProof/>
          <w:szCs w:val="21"/>
        </w:rPr>
      </w:pPr>
      <w:r>
        <w:rPr>
          <w:noProof/>
        </w:rPr>
        <w:drawing>
          <wp:inline distT="0" distB="0" distL="0" distR="0" wp14:anchorId="716EB547" wp14:editId="7200B81F">
            <wp:extent cx="3634105" cy="2247900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10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002A5EB" w14:textId="77777777" w:rsidR="001B4E2B" w:rsidRDefault="001B4E2B">
      <w:pPr>
        <w:rPr>
          <w:rFonts w:ascii="Arial" w:hAnsi="Arial" w:cs="Arial"/>
          <w:b/>
          <w:noProof/>
          <w:szCs w:val="21"/>
        </w:rPr>
      </w:pPr>
    </w:p>
    <w:p w14:paraId="234A7932" w14:textId="77777777" w:rsidR="009520A4" w:rsidRDefault="00023F22">
      <w:pPr>
        <w:rPr>
          <w:rFonts w:ascii="Arial" w:hAnsi="Arial" w:cs="Arial"/>
          <w:noProof/>
          <w:szCs w:val="21"/>
        </w:rPr>
      </w:pPr>
      <w:r w:rsidRPr="00371EBF">
        <w:rPr>
          <w:rFonts w:ascii="Arial" w:hAnsi="Arial" w:cs="Arial"/>
          <w:b/>
          <w:noProof/>
          <w:szCs w:val="21"/>
        </w:rPr>
        <w:t>Figure s</w:t>
      </w:r>
      <w:r w:rsidR="001B4E2B">
        <w:rPr>
          <w:rFonts w:ascii="Arial" w:hAnsi="Arial" w:cs="Arial"/>
          <w:b/>
          <w:noProof/>
          <w:szCs w:val="21"/>
        </w:rPr>
        <w:t>2</w:t>
      </w:r>
      <w:r w:rsidR="00371EBF" w:rsidRPr="00371EBF">
        <w:rPr>
          <w:rFonts w:ascii="Arial" w:hAnsi="Arial" w:cs="Arial"/>
          <w:noProof/>
          <w:szCs w:val="21"/>
        </w:rPr>
        <w:t>.</w:t>
      </w:r>
      <w:r w:rsidRPr="00371EBF">
        <w:rPr>
          <w:rFonts w:ascii="Arial" w:hAnsi="Arial" w:cs="Arial"/>
          <w:noProof/>
          <w:szCs w:val="21"/>
        </w:rPr>
        <w:t xml:space="preserve"> </w:t>
      </w:r>
      <w:r w:rsidR="009520A4" w:rsidRPr="005B3B68">
        <w:rPr>
          <w:rFonts w:ascii="Arial" w:hAnsi="Arial" w:cs="Arial"/>
          <w:noProof/>
          <w:szCs w:val="21"/>
        </w:rPr>
        <w:t xml:space="preserve">Subgroup analysis of radiographi </w:t>
      </w:r>
      <w:r w:rsidR="009520A4">
        <w:rPr>
          <w:rFonts w:ascii="Arial" w:hAnsi="Arial" w:cs="Arial"/>
          <w:noProof/>
          <w:szCs w:val="21"/>
        </w:rPr>
        <w:t>progression-free survival</w:t>
      </w:r>
      <w:r w:rsidR="009520A4" w:rsidRPr="005B3B68">
        <w:rPr>
          <w:rFonts w:ascii="Arial" w:hAnsi="Arial" w:cs="Arial"/>
          <w:noProof/>
          <w:szCs w:val="21"/>
        </w:rPr>
        <w:t xml:space="preserve"> and </w:t>
      </w:r>
      <w:r w:rsidR="009520A4">
        <w:rPr>
          <w:rFonts w:ascii="Arial" w:hAnsi="Arial" w:cs="Arial"/>
          <w:noProof/>
          <w:szCs w:val="21"/>
        </w:rPr>
        <w:t>p</w:t>
      </w:r>
      <w:r w:rsidR="009520A4" w:rsidRPr="00371EBF">
        <w:rPr>
          <w:rFonts w:ascii="Arial" w:hAnsi="Arial" w:cs="Arial"/>
          <w:noProof/>
          <w:szCs w:val="21"/>
        </w:rPr>
        <w:t>rostate-specific antigen</w:t>
      </w:r>
      <w:r w:rsidR="009520A4">
        <w:rPr>
          <w:rFonts w:ascii="Arial" w:hAnsi="Arial" w:cs="Arial"/>
          <w:noProof/>
          <w:szCs w:val="21"/>
        </w:rPr>
        <w:t xml:space="preserve"> progression-free survival.</w:t>
      </w:r>
    </w:p>
    <w:p w14:paraId="78C207AC" w14:textId="3C36F464" w:rsidR="00023F22" w:rsidRPr="00371EBF" w:rsidRDefault="00023F22">
      <w:pPr>
        <w:rPr>
          <w:rFonts w:ascii="Arial" w:hAnsi="Arial" w:cs="Arial"/>
          <w:noProof/>
          <w:szCs w:val="21"/>
        </w:rPr>
      </w:pPr>
      <w:r w:rsidRPr="00371EBF">
        <w:rPr>
          <w:rFonts w:ascii="Arial" w:hAnsi="Arial" w:cs="Arial"/>
          <w:noProof/>
          <w:szCs w:val="21"/>
        </w:rPr>
        <w:drawing>
          <wp:inline distT="0" distB="0" distL="0" distR="0" wp14:anchorId="367BDC14" wp14:editId="155ACEA6">
            <wp:extent cx="5274310" cy="215773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D26B18" w14:textId="77777777" w:rsidR="00371EBF" w:rsidRPr="00371EBF" w:rsidRDefault="00371EBF">
      <w:pPr>
        <w:rPr>
          <w:rFonts w:ascii="Arial" w:hAnsi="Arial" w:cs="Arial"/>
          <w:szCs w:val="21"/>
        </w:rPr>
      </w:pPr>
    </w:p>
    <w:p w14:paraId="5CE8F95A" w14:textId="77777777" w:rsidR="00371EBF" w:rsidRPr="00371EBF" w:rsidRDefault="00371EBF">
      <w:pPr>
        <w:rPr>
          <w:rFonts w:ascii="Arial" w:hAnsi="Arial" w:cs="Arial"/>
          <w:szCs w:val="21"/>
        </w:rPr>
      </w:pPr>
    </w:p>
    <w:p w14:paraId="79B50BFF" w14:textId="73FE6914" w:rsidR="00DF324D" w:rsidRDefault="00DF324D" w:rsidP="00DF324D">
      <w:pPr>
        <w:rPr>
          <w:rFonts w:ascii="Arial" w:hAnsi="Arial" w:cs="Arial"/>
          <w:b/>
          <w:noProof/>
          <w:szCs w:val="21"/>
        </w:rPr>
      </w:pPr>
      <w:r>
        <w:rPr>
          <w:rFonts w:ascii="Arial" w:hAnsi="Arial" w:cs="Arial"/>
          <w:b/>
          <w:noProof/>
          <w:szCs w:val="21"/>
        </w:rPr>
        <w:t>Figure s</w:t>
      </w:r>
      <w:r w:rsidR="001B4E2B">
        <w:rPr>
          <w:rFonts w:ascii="Arial" w:hAnsi="Arial" w:cs="Arial"/>
          <w:b/>
          <w:noProof/>
          <w:szCs w:val="21"/>
        </w:rPr>
        <w:t>3</w:t>
      </w:r>
      <w:r>
        <w:rPr>
          <w:rFonts w:ascii="Arial" w:hAnsi="Arial" w:cs="Arial"/>
          <w:b/>
          <w:noProof/>
          <w:szCs w:val="21"/>
        </w:rPr>
        <w:t xml:space="preserve">. </w:t>
      </w:r>
      <w:r w:rsidR="009520A4">
        <w:rPr>
          <w:rFonts w:ascii="Arial" w:hAnsi="Arial" w:cs="Arial"/>
          <w:noProof/>
          <w:szCs w:val="21"/>
        </w:rPr>
        <w:t>P</w:t>
      </w:r>
      <w:r w:rsidR="009520A4" w:rsidRPr="00371EBF">
        <w:rPr>
          <w:rFonts w:ascii="Arial" w:hAnsi="Arial" w:cs="Arial"/>
          <w:noProof/>
          <w:szCs w:val="21"/>
        </w:rPr>
        <w:t>rostate-specific antigen</w:t>
      </w:r>
      <w:r w:rsidR="009520A4" w:rsidRPr="005B3B68">
        <w:rPr>
          <w:rFonts w:ascii="Arial" w:hAnsi="Arial" w:cs="Arial"/>
          <w:noProof/>
          <w:szCs w:val="21"/>
        </w:rPr>
        <w:t xml:space="preserve"> response rate subgrouped by </w:t>
      </w:r>
      <w:r w:rsidR="009520A4" w:rsidRPr="009520A4">
        <w:rPr>
          <w:rFonts w:ascii="Arial" w:hAnsi="Arial" w:cs="Arial"/>
          <w:szCs w:val="24"/>
        </w:rPr>
        <w:t>androgen receptor signaling-axis inhibitor</w:t>
      </w:r>
      <w:r w:rsidR="009520A4" w:rsidRPr="005B3B68">
        <w:rPr>
          <w:rFonts w:ascii="Arial" w:hAnsi="Arial" w:cs="Arial"/>
          <w:noProof/>
          <w:szCs w:val="21"/>
        </w:rPr>
        <w:t xml:space="preserve"> type.</w:t>
      </w:r>
    </w:p>
    <w:p w14:paraId="319A2C40" w14:textId="77777777" w:rsidR="00DF324D" w:rsidRDefault="00DF324D" w:rsidP="00DF324D">
      <w:pPr>
        <w:rPr>
          <w:rFonts w:ascii="Arial" w:hAnsi="Arial" w:cs="Arial"/>
          <w:szCs w:val="21"/>
        </w:rPr>
      </w:pPr>
      <w:r w:rsidRPr="00192120">
        <w:rPr>
          <w:rFonts w:ascii="Arial" w:hAnsi="Arial" w:cs="Arial"/>
          <w:noProof/>
          <w:szCs w:val="21"/>
        </w:rPr>
        <w:drawing>
          <wp:inline distT="0" distB="0" distL="0" distR="0" wp14:anchorId="5CDF7B8C" wp14:editId="049390BE">
            <wp:extent cx="5274310" cy="2549525"/>
            <wp:effectExtent l="0" t="0" r="2540" b="3175"/>
            <wp:docPr id="1" name="Picture 1" descr="C:\Users\XIAONA~1\AppData\Local\Temp\1541852762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IAONA~1\AppData\Local\Temp\1541852762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9DAF0" w14:textId="7A08ED4F" w:rsidR="00023F22" w:rsidRPr="00371EBF" w:rsidRDefault="00023F22">
      <w:pPr>
        <w:rPr>
          <w:rFonts w:ascii="Arial" w:hAnsi="Arial" w:cs="Arial"/>
          <w:szCs w:val="21"/>
        </w:rPr>
      </w:pPr>
      <w:r w:rsidRPr="00371EBF">
        <w:rPr>
          <w:rFonts w:ascii="Arial" w:hAnsi="Arial" w:cs="Arial"/>
          <w:b/>
          <w:szCs w:val="21"/>
        </w:rPr>
        <w:lastRenderedPageBreak/>
        <w:t>Figure s</w:t>
      </w:r>
      <w:r w:rsidR="001B4E2B">
        <w:rPr>
          <w:rFonts w:ascii="Arial" w:hAnsi="Arial" w:cs="Arial"/>
          <w:b/>
          <w:szCs w:val="21"/>
        </w:rPr>
        <w:t>4</w:t>
      </w:r>
      <w:r w:rsidR="00371EBF" w:rsidRPr="00371EBF">
        <w:rPr>
          <w:rFonts w:ascii="Arial" w:hAnsi="Arial" w:cs="Arial"/>
          <w:b/>
          <w:szCs w:val="21"/>
        </w:rPr>
        <w:t>.</w:t>
      </w:r>
      <w:r w:rsidR="00371EBF" w:rsidRPr="00371EBF">
        <w:rPr>
          <w:rFonts w:ascii="Arial" w:hAnsi="Arial" w:cs="Arial"/>
          <w:szCs w:val="21"/>
        </w:rPr>
        <w:t xml:space="preserve"> Any grade adverse events without significant difference between AR inhibitor and control groups</w:t>
      </w:r>
    </w:p>
    <w:p w14:paraId="3AA64430" w14:textId="00C46BF3" w:rsidR="00023F22" w:rsidRPr="00371EBF" w:rsidRDefault="00371EBF">
      <w:pPr>
        <w:rPr>
          <w:rFonts w:ascii="Arial" w:hAnsi="Arial" w:cs="Arial"/>
          <w:szCs w:val="21"/>
        </w:rPr>
      </w:pPr>
      <w:r w:rsidRPr="00371EBF">
        <w:rPr>
          <w:rFonts w:ascii="Arial" w:hAnsi="Arial" w:cs="Arial"/>
          <w:noProof/>
          <w:szCs w:val="21"/>
        </w:rPr>
        <w:drawing>
          <wp:inline distT="0" distB="0" distL="0" distR="0" wp14:anchorId="495160D9" wp14:editId="65DA3F8A">
            <wp:extent cx="5114925" cy="6304672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539" cy="631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E0274" w14:textId="3960BFF5" w:rsidR="00371EBF" w:rsidRPr="00371EBF" w:rsidRDefault="00371EBF">
      <w:pPr>
        <w:rPr>
          <w:rFonts w:ascii="Arial" w:hAnsi="Arial" w:cs="Arial"/>
          <w:szCs w:val="21"/>
        </w:rPr>
      </w:pPr>
    </w:p>
    <w:p w14:paraId="4FB0F89A" w14:textId="533DFEF7" w:rsidR="00371EBF" w:rsidRPr="00371EBF" w:rsidRDefault="00371EBF">
      <w:pPr>
        <w:rPr>
          <w:rFonts w:ascii="Arial" w:hAnsi="Arial" w:cs="Arial"/>
          <w:szCs w:val="21"/>
        </w:rPr>
      </w:pPr>
    </w:p>
    <w:p w14:paraId="0C6B2D77" w14:textId="06BBD8A5" w:rsidR="00371EBF" w:rsidRPr="00371EBF" w:rsidRDefault="00371EBF">
      <w:pPr>
        <w:rPr>
          <w:rFonts w:ascii="Arial" w:hAnsi="Arial" w:cs="Arial"/>
          <w:szCs w:val="21"/>
        </w:rPr>
      </w:pPr>
    </w:p>
    <w:p w14:paraId="6F72DE12" w14:textId="24BE5838" w:rsidR="00371EBF" w:rsidRPr="00371EBF" w:rsidRDefault="00371EBF">
      <w:pPr>
        <w:rPr>
          <w:rFonts w:ascii="Arial" w:hAnsi="Arial" w:cs="Arial"/>
          <w:szCs w:val="21"/>
        </w:rPr>
      </w:pPr>
    </w:p>
    <w:p w14:paraId="354B239A" w14:textId="1EA19AD2" w:rsidR="00371EBF" w:rsidRPr="00371EBF" w:rsidRDefault="00371EBF">
      <w:pPr>
        <w:rPr>
          <w:rFonts w:ascii="Arial" w:hAnsi="Arial" w:cs="Arial"/>
          <w:szCs w:val="21"/>
        </w:rPr>
      </w:pPr>
    </w:p>
    <w:p w14:paraId="38BD35E4" w14:textId="4DC9503B" w:rsidR="00371EBF" w:rsidRPr="00371EBF" w:rsidRDefault="00371EBF">
      <w:pPr>
        <w:rPr>
          <w:rFonts w:ascii="Arial" w:hAnsi="Arial" w:cs="Arial"/>
          <w:szCs w:val="21"/>
        </w:rPr>
      </w:pPr>
    </w:p>
    <w:p w14:paraId="3F17D08F" w14:textId="0FA8D1B9" w:rsidR="00371EBF" w:rsidRPr="00371EBF" w:rsidRDefault="00371EBF">
      <w:pPr>
        <w:rPr>
          <w:rFonts w:ascii="Arial" w:hAnsi="Arial" w:cs="Arial"/>
          <w:szCs w:val="21"/>
        </w:rPr>
      </w:pPr>
    </w:p>
    <w:p w14:paraId="5A825C87" w14:textId="56249B55" w:rsidR="00371EBF" w:rsidRPr="00371EBF" w:rsidRDefault="00371EBF">
      <w:pPr>
        <w:rPr>
          <w:rFonts w:ascii="Arial" w:hAnsi="Arial" w:cs="Arial"/>
          <w:szCs w:val="21"/>
        </w:rPr>
      </w:pPr>
    </w:p>
    <w:p w14:paraId="5567E21F" w14:textId="0D5A9BBA" w:rsidR="00371EBF" w:rsidRPr="00371EBF" w:rsidRDefault="00371EBF">
      <w:pPr>
        <w:rPr>
          <w:rFonts w:ascii="Arial" w:hAnsi="Arial" w:cs="Arial"/>
          <w:szCs w:val="21"/>
        </w:rPr>
      </w:pPr>
    </w:p>
    <w:p w14:paraId="6814E797" w14:textId="05056E77" w:rsidR="00371EBF" w:rsidRPr="00371EBF" w:rsidRDefault="00371EBF">
      <w:pPr>
        <w:rPr>
          <w:rFonts w:ascii="Arial" w:hAnsi="Arial" w:cs="Arial"/>
          <w:szCs w:val="21"/>
        </w:rPr>
      </w:pPr>
    </w:p>
    <w:p w14:paraId="3C6B8035" w14:textId="12520741" w:rsidR="00371EBF" w:rsidRPr="00371EBF" w:rsidRDefault="00371EBF">
      <w:pPr>
        <w:rPr>
          <w:rFonts w:ascii="Arial" w:hAnsi="Arial" w:cs="Arial"/>
          <w:szCs w:val="21"/>
        </w:rPr>
      </w:pPr>
      <w:r w:rsidRPr="00371EBF">
        <w:rPr>
          <w:rFonts w:ascii="Arial" w:hAnsi="Arial" w:cs="Arial"/>
          <w:b/>
          <w:szCs w:val="21"/>
        </w:rPr>
        <w:lastRenderedPageBreak/>
        <w:t xml:space="preserve">Figure </w:t>
      </w:r>
      <w:r w:rsidR="001B4E2B">
        <w:rPr>
          <w:rFonts w:ascii="Arial" w:hAnsi="Arial" w:cs="Arial"/>
          <w:b/>
          <w:szCs w:val="21"/>
        </w:rPr>
        <w:t>s5</w:t>
      </w:r>
      <w:r w:rsidRPr="00371EBF">
        <w:rPr>
          <w:rFonts w:ascii="Arial" w:hAnsi="Arial" w:cs="Arial"/>
          <w:b/>
          <w:szCs w:val="21"/>
        </w:rPr>
        <w:t>.</w:t>
      </w:r>
      <w:r w:rsidRPr="00371EBF">
        <w:rPr>
          <w:rFonts w:ascii="Arial" w:hAnsi="Arial" w:cs="Arial"/>
          <w:szCs w:val="21"/>
        </w:rPr>
        <w:t xml:space="preserve"> High grade (</w:t>
      </w:r>
      <w:r w:rsidRPr="00371EBF">
        <w:rPr>
          <w:rFonts w:ascii="Arial" w:hAnsi="Arial" w:cs="Arial"/>
          <w:color w:val="333333"/>
          <w:szCs w:val="21"/>
        </w:rPr>
        <w:t>≥ grade 3)</w:t>
      </w:r>
      <w:r w:rsidRPr="00371EBF">
        <w:rPr>
          <w:rFonts w:ascii="Arial" w:hAnsi="Arial" w:cs="Arial"/>
          <w:szCs w:val="21"/>
        </w:rPr>
        <w:t xml:space="preserve"> adverse events without significant difference between androgen receptor inhibitor and control groups.</w:t>
      </w:r>
    </w:p>
    <w:p w14:paraId="0E2DCEC5" w14:textId="4E419749" w:rsidR="00371EBF" w:rsidRDefault="00371EBF">
      <w:pPr>
        <w:rPr>
          <w:rFonts w:ascii="Arial" w:hAnsi="Arial" w:cs="Arial"/>
          <w:szCs w:val="21"/>
        </w:rPr>
      </w:pPr>
      <w:r w:rsidRPr="00371EBF">
        <w:rPr>
          <w:rFonts w:ascii="Arial" w:hAnsi="Arial" w:cs="Arial"/>
          <w:noProof/>
          <w:szCs w:val="21"/>
        </w:rPr>
        <w:drawing>
          <wp:inline distT="0" distB="0" distL="0" distR="0" wp14:anchorId="560209C3" wp14:editId="5853FEA8">
            <wp:extent cx="4690789" cy="8053387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733" cy="8055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3269B" w14:textId="77777777" w:rsidR="0009793C" w:rsidRPr="00371EBF" w:rsidRDefault="0009793C">
      <w:pPr>
        <w:rPr>
          <w:rFonts w:ascii="Arial" w:hAnsi="Arial" w:cs="Arial"/>
          <w:szCs w:val="21"/>
        </w:rPr>
      </w:pPr>
    </w:p>
    <w:sectPr w:rsidR="0009793C" w:rsidRPr="00371E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B18"/>
    <w:rsid w:val="00023F22"/>
    <w:rsid w:val="0009793C"/>
    <w:rsid w:val="00192120"/>
    <w:rsid w:val="001B4E2B"/>
    <w:rsid w:val="00371EBF"/>
    <w:rsid w:val="004F44A0"/>
    <w:rsid w:val="005B3B68"/>
    <w:rsid w:val="007D2B18"/>
    <w:rsid w:val="009520A4"/>
    <w:rsid w:val="00AB242E"/>
    <w:rsid w:val="00DF324D"/>
    <w:rsid w:val="00EC5CEB"/>
    <w:rsid w:val="00EF2528"/>
    <w:rsid w:val="00F45CE5"/>
    <w:rsid w:val="00FD6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12186"/>
  <w15:chartTrackingRefBased/>
  <w15:docId w15:val="{D80B9834-D0D4-42EE-B402-1E0B5CB23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3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Xiaonan</dc:creator>
  <cp:keywords/>
  <dc:description/>
  <cp:lastModifiedBy>Xiaonan Zheng</cp:lastModifiedBy>
  <cp:revision>7</cp:revision>
  <dcterms:created xsi:type="dcterms:W3CDTF">2018-11-06T12:04:00Z</dcterms:created>
  <dcterms:modified xsi:type="dcterms:W3CDTF">2019-02-15T07:02:00Z</dcterms:modified>
</cp:coreProperties>
</file>