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6FBC5" w14:textId="77777777" w:rsidR="006812C2" w:rsidRPr="00F143F7" w:rsidRDefault="006812C2" w:rsidP="006812C2">
      <w:pPr>
        <w:spacing w:line="480" w:lineRule="auto"/>
        <w:ind w:firstLine="0"/>
        <w:jc w:val="both"/>
        <w:rPr>
          <w:rFonts w:ascii="Times New Roman" w:eastAsia="Times New Roman" w:hAnsi="Times New Roman" w:cs="Times New Roman"/>
        </w:rPr>
      </w:pPr>
      <w:r w:rsidRPr="00BA7047">
        <w:rPr>
          <w:rFonts w:ascii="Times New Roman" w:eastAsia="Times New Roman" w:hAnsi="Times New Roman" w:cs="Times New Roman"/>
          <w:b/>
          <w:bCs/>
        </w:rPr>
        <w:t>Supplemental Fig. 1</w:t>
      </w:r>
      <w:r>
        <w:rPr>
          <w:rFonts w:ascii="Times New Roman" w:eastAsia="Times New Roman" w:hAnsi="Times New Roman" w:cs="Times New Roman"/>
          <w:b/>
          <w:bCs/>
        </w:rPr>
        <w:t>.</w:t>
      </w:r>
      <w:r w:rsidRPr="00F143F7">
        <w:rPr>
          <w:rFonts w:ascii="Times New Roman" w:eastAsia="Times New Roman" w:hAnsi="Times New Roman" w:cs="Times New Roman"/>
        </w:rPr>
        <w:t xml:space="preserve"> </w:t>
      </w:r>
      <w:r w:rsidRPr="0061436B">
        <w:rPr>
          <w:rFonts w:ascii="Times New Roman" w:eastAsia="Times New Roman" w:hAnsi="Times New Roman" w:cs="Times New Roman"/>
          <w:b/>
        </w:rPr>
        <w:t>Flowchart and clinical features</w:t>
      </w:r>
      <w:r>
        <w:rPr>
          <w:rFonts w:ascii="Times New Roman" w:eastAsia="Times New Roman" w:hAnsi="Times New Roman" w:cs="Times New Roman"/>
        </w:rPr>
        <w:t xml:space="preserve">. </w:t>
      </w:r>
      <w:r w:rsidRPr="00F143F7">
        <w:rPr>
          <w:rFonts w:ascii="Times New Roman" w:eastAsia="Times New Roman" w:hAnsi="Times New Roman" w:cs="Times New Roman"/>
        </w:rPr>
        <w:t>(A) Patient selection flowchart. (B) Absolute standardized mean differences between treatment arms before and after IPTW. IPTW, inverse probability of treatment weighting.</w:t>
      </w:r>
    </w:p>
    <w:p w14:paraId="150579CE" w14:textId="77777777" w:rsidR="006812C2" w:rsidRPr="0076485A" w:rsidRDefault="006812C2" w:rsidP="006812C2">
      <w:pPr>
        <w:spacing w:line="480" w:lineRule="auto"/>
        <w:ind w:firstLine="0"/>
        <w:jc w:val="both"/>
        <w:rPr>
          <w:rFonts w:ascii="Times New Roman" w:eastAsia="Times New Roman" w:hAnsi="Times New Roman" w:cs="Times New Roman"/>
          <w:b/>
          <w:bCs/>
        </w:rPr>
      </w:pPr>
    </w:p>
    <w:p w14:paraId="0E1E8105" w14:textId="77777777" w:rsidR="006812C2" w:rsidRPr="006B3D1C" w:rsidRDefault="006812C2" w:rsidP="006812C2">
      <w:pPr>
        <w:spacing w:line="480" w:lineRule="auto"/>
        <w:ind w:firstLine="0"/>
        <w:jc w:val="both"/>
        <w:rPr>
          <w:rFonts w:ascii="Times New Roman" w:eastAsia="Times New Roman" w:hAnsi="Times New Roman" w:cs="Times New Roman"/>
        </w:rPr>
      </w:pPr>
      <w:r w:rsidRPr="006B3D1C">
        <w:rPr>
          <w:rFonts w:ascii="Times New Roman" w:eastAsia="Times New Roman" w:hAnsi="Times New Roman" w:cs="Times New Roman"/>
          <w:b/>
          <w:bCs/>
        </w:rPr>
        <w:t xml:space="preserve">Supplemental Fig. </w:t>
      </w:r>
      <w:r>
        <w:rPr>
          <w:rFonts w:ascii="Times New Roman" w:eastAsia="Times New Roman" w:hAnsi="Times New Roman" w:cs="Times New Roman"/>
          <w:b/>
          <w:bCs/>
        </w:rPr>
        <w:t>2</w:t>
      </w:r>
      <w:r w:rsidRPr="006B3D1C">
        <w:rPr>
          <w:rFonts w:ascii="Times New Roman" w:eastAsia="Times New Roman" w:hAnsi="Times New Roman" w:cs="Times New Roman"/>
          <w:b/>
          <w:bCs/>
        </w:rPr>
        <w:t>.</w:t>
      </w:r>
      <w:r w:rsidRPr="00F143F7">
        <w:rPr>
          <w:rFonts w:ascii="Times New Roman" w:eastAsia="Times New Roman" w:hAnsi="Times New Roman" w:cs="Times New Roman"/>
        </w:rPr>
        <w:t xml:space="preserve"> </w:t>
      </w:r>
      <w:r w:rsidRPr="0061436B">
        <w:rPr>
          <w:rFonts w:ascii="Times New Roman" w:eastAsia="Times New Roman" w:hAnsi="Times New Roman" w:cs="Times New Roman"/>
          <w:b/>
        </w:rPr>
        <w:t>Treatment trends by study periods and age</w:t>
      </w:r>
      <w:r w:rsidRPr="00F143F7">
        <w:rPr>
          <w:rFonts w:ascii="Times New Roman" w:eastAsia="Times New Roman" w:hAnsi="Times New Roman" w:cs="Times New Roman"/>
        </w:rPr>
        <w:t xml:space="preserve">. </w:t>
      </w:r>
      <w:r w:rsidRPr="006B3D1C">
        <w:rPr>
          <w:rFonts w:ascii="Times New Roman" w:eastAsia="Times New Roman" w:hAnsi="Times New Roman" w:cs="Times New Roman"/>
        </w:rPr>
        <w:t>The proportion of patients receiving different primary treatments</w:t>
      </w:r>
      <w:r>
        <w:rPr>
          <w:rFonts w:ascii="Times New Roman" w:eastAsia="Times New Roman" w:hAnsi="Times New Roman" w:cs="Times New Roman"/>
        </w:rPr>
        <w:t>,</w:t>
      </w:r>
      <w:r w:rsidRPr="006B3D1C">
        <w:rPr>
          <w:rFonts w:ascii="Times New Roman" w:eastAsia="Times New Roman" w:hAnsi="Times New Roman" w:cs="Times New Roman"/>
        </w:rPr>
        <w:t xml:space="preserve"> according to (A) the year of diagnosis and (B) age at diagnosis.</w:t>
      </w:r>
    </w:p>
    <w:p w14:paraId="43486499" w14:textId="77777777" w:rsidR="006812C2" w:rsidRPr="006B3D1C" w:rsidRDefault="006812C2" w:rsidP="006812C2">
      <w:pPr>
        <w:spacing w:line="480" w:lineRule="auto"/>
        <w:ind w:firstLine="0"/>
        <w:jc w:val="both"/>
        <w:rPr>
          <w:rFonts w:ascii="Times New Roman" w:hAnsi="Times New Roman" w:cs="Times New Roman"/>
        </w:rPr>
      </w:pPr>
    </w:p>
    <w:p w14:paraId="4B481BDF" w14:textId="77777777" w:rsidR="006812C2" w:rsidRPr="006B3D1C" w:rsidRDefault="006812C2" w:rsidP="006812C2">
      <w:pPr>
        <w:spacing w:line="480" w:lineRule="auto"/>
        <w:ind w:firstLine="0"/>
        <w:jc w:val="both"/>
        <w:rPr>
          <w:rFonts w:ascii="Times New Roman" w:eastAsia="Times New Roman" w:hAnsi="Times New Roman" w:cs="Times New Roman"/>
        </w:rPr>
      </w:pPr>
      <w:r w:rsidRPr="006B3D1C">
        <w:rPr>
          <w:rFonts w:ascii="Times New Roman" w:eastAsia="Times New Roman" w:hAnsi="Times New Roman" w:cs="Times New Roman"/>
          <w:b/>
          <w:bCs/>
        </w:rPr>
        <w:t xml:space="preserve">Supplemental Fig. </w:t>
      </w:r>
      <w:r>
        <w:rPr>
          <w:rFonts w:ascii="Times New Roman" w:eastAsia="Times New Roman" w:hAnsi="Times New Roman" w:cs="Times New Roman"/>
          <w:b/>
          <w:bCs/>
        </w:rPr>
        <w:t>3</w:t>
      </w:r>
      <w:r w:rsidRPr="006B3D1C">
        <w:rPr>
          <w:rFonts w:ascii="Times New Roman" w:eastAsia="Times New Roman" w:hAnsi="Times New Roman" w:cs="Times New Roman"/>
          <w:b/>
          <w:bCs/>
        </w:rPr>
        <w:t xml:space="preserve">. </w:t>
      </w:r>
      <w:r>
        <w:rPr>
          <w:rFonts w:ascii="Times New Roman" w:eastAsia="Times New Roman" w:hAnsi="Times New Roman" w:cs="Times New Roman"/>
          <w:b/>
          <w:bCs/>
        </w:rPr>
        <w:t xml:space="preserve">Subgroup analyses for OS and RS. </w:t>
      </w:r>
      <w:r w:rsidRPr="006B3D1C">
        <w:rPr>
          <w:rFonts w:ascii="Times New Roman" w:eastAsia="Times New Roman" w:hAnsi="Times New Roman" w:cs="Times New Roman"/>
        </w:rPr>
        <w:t xml:space="preserve">Forest plot depicting HRs for </w:t>
      </w:r>
      <w:r>
        <w:rPr>
          <w:rFonts w:ascii="Times New Roman" w:eastAsia="Times New Roman" w:hAnsi="Times New Roman" w:cs="Times New Roman"/>
        </w:rPr>
        <w:t xml:space="preserve">OS and </w:t>
      </w:r>
      <w:r w:rsidRPr="006B3D1C">
        <w:rPr>
          <w:rFonts w:ascii="Times New Roman" w:eastAsia="Times New Roman" w:hAnsi="Times New Roman" w:cs="Times New Roman"/>
        </w:rPr>
        <w:t xml:space="preserve">RS </w:t>
      </w:r>
      <w:r>
        <w:rPr>
          <w:rFonts w:ascii="Times New Roman" w:eastAsia="Times New Roman" w:hAnsi="Times New Roman" w:cs="Times New Roman"/>
        </w:rPr>
        <w:t xml:space="preserve">among </w:t>
      </w:r>
      <w:r w:rsidRPr="006B3D1C">
        <w:rPr>
          <w:rFonts w:ascii="Times New Roman" w:hAnsi="Times New Roman" w:cs="Times New Roman"/>
        </w:rPr>
        <w:t xml:space="preserve">patients treated with </w:t>
      </w:r>
      <w:r>
        <w:rPr>
          <w:rFonts w:ascii="Times New Roman" w:hAnsi="Times New Roman" w:cs="Times New Roman"/>
        </w:rPr>
        <w:t>RT</w:t>
      </w:r>
      <w:r w:rsidRPr="006B3D1C">
        <w:rPr>
          <w:rFonts w:ascii="Times New Roman" w:hAnsi="Times New Roman" w:cs="Times New Roman"/>
        </w:rPr>
        <w:t xml:space="preserve"> </w:t>
      </w:r>
      <w:r w:rsidRPr="006B3D1C">
        <w:rPr>
          <w:rFonts w:ascii="Times New Roman" w:eastAsia="Times New Roman" w:hAnsi="Times New Roman" w:cs="Times New Roman"/>
        </w:rPr>
        <w:t>versus non-</w:t>
      </w:r>
      <w:r>
        <w:rPr>
          <w:rFonts w:ascii="Times New Roman" w:hAnsi="Times New Roman" w:cs="Times New Roman"/>
        </w:rPr>
        <w:t>RT</w:t>
      </w:r>
      <w:r w:rsidRPr="006B3D1C">
        <w:rPr>
          <w:rFonts w:ascii="Times New Roman" w:hAnsi="Times New Roman" w:cs="Times New Roman"/>
        </w:rPr>
        <w:t>,</w:t>
      </w:r>
      <w:r w:rsidRPr="006B3D1C">
        <w:rPr>
          <w:rFonts w:ascii="Times New Roman" w:eastAsia="Times New Roman" w:hAnsi="Times New Roman" w:cs="Times New Roman"/>
        </w:rPr>
        <w:t xml:space="preserve"> </w:t>
      </w:r>
      <w:r w:rsidRPr="006B3D1C">
        <w:rPr>
          <w:rFonts w:ascii="Times New Roman" w:hAnsi="Times New Roman" w:cs="Times New Roman"/>
        </w:rPr>
        <w:t>after balancing</w:t>
      </w:r>
      <w:r w:rsidRPr="006B3D1C">
        <w:rPr>
          <w:rFonts w:ascii="Times New Roman" w:eastAsia="Times New Roman" w:hAnsi="Times New Roman" w:cs="Times New Roman"/>
        </w:rPr>
        <w:t xml:space="preserve"> baseline covariates </w:t>
      </w:r>
      <w:r w:rsidRPr="006B3D1C">
        <w:rPr>
          <w:rFonts w:ascii="Times New Roman" w:hAnsi="Times New Roman" w:cs="Times New Roman"/>
        </w:rPr>
        <w:t>with</w:t>
      </w:r>
      <w:r w:rsidRPr="006B3D1C">
        <w:rPr>
          <w:rFonts w:ascii="Times New Roman" w:eastAsia="Times New Roman" w:hAnsi="Times New Roman" w:cs="Times New Roman"/>
        </w:rPr>
        <w:t xml:space="preserve"> IPTW and controlling for age, </w:t>
      </w:r>
      <w:r w:rsidRPr="006B3D1C">
        <w:rPr>
          <w:rFonts w:ascii="Times New Roman" w:hAnsi="Times New Roman" w:cs="Times New Roman"/>
        </w:rPr>
        <w:t>sex</w:t>
      </w:r>
      <w:r w:rsidRPr="006B3D1C">
        <w:rPr>
          <w:rFonts w:ascii="Times New Roman" w:eastAsia="Times New Roman" w:hAnsi="Times New Roman" w:cs="Times New Roman"/>
        </w:rPr>
        <w:t>, race, diagnosis year, primary site, stage, B symptoms, and marital status</w:t>
      </w:r>
      <w:r w:rsidRPr="006B3D1C"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/>
        </w:rPr>
        <w:t xml:space="preserve">the </w:t>
      </w:r>
      <w:r w:rsidRPr="006B3D1C">
        <w:rPr>
          <w:rFonts w:ascii="Times New Roman" w:hAnsi="Times New Roman" w:cs="Times New Roman"/>
        </w:rPr>
        <w:t>regression analysis</w:t>
      </w:r>
      <w:r w:rsidRPr="006B3D1C"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</w:rPr>
        <w:t>OS, overall survival;</w:t>
      </w:r>
      <w:r w:rsidRPr="00DF1BF7">
        <w:rPr>
          <w:rFonts w:ascii="Times New Roman" w:eastAsia="Times New Roman" w:hAnsi="Times New Roman" w:cs="Times New Roman"/>
        </w:rPr>
        <w:t xml:space="preserve"> </w:t>
      </w:r>
      <w:r w:rsidRPr="006B3D1C">
        <w:rPr>
          <w:rFonts w:ascii="Times New Roman" w:eastAsia="Times New Roman" w:hAnsi="Times New Roman" w:cs="Times New Roman"/>
        </w:rPr>
        <w:t>RS, relative survival;</w:t>
      </w:r>
      <w:r>
        <w:rPr>
          <w:rFonts w:ascii="Times New Roman" w:eastAsia="Times New Roman" w:hAnsi="Times New Roman" w:cs="Times New Roman"/>
        </w:rPr>
        <w:t xml:space="preserve"> </w:t>
      </w:r>
      <w:r w:rsidRPr="006B3D1C">
        <w:rPr>
          <w:rFonts w:ascii="Times New Roman" w:eastAsia="Times New Roman" w:hAnsi="Times New Roman" w:cs="Times New Roman"/>
        </w:rPr>
        <w:t xml:space="preserve">HR, hazard ratio; </w:t>
      </w:r>
      <w:r>
        <w:rPr>
          <w:rFonts w:ascii="Times New Roman" w:eastAsia="Times New Roman" w:hAnsi="Times New Roman" w:cs="Times New Roman"/>
        </w:rPr>
        <w:t xml:space="preserve">RT, radiotherapy; </w:t>
      </w:r>
      <w:r w:rsidRPr="006B3D1C">
        <w:rPr>
          <w:rFonts w:ascii="Times New Roman" w:eastAsia="Times New Roman" w:hAnsi="Times New Roman" w:cs="Times New Roman"/>
        </w:rPr>
        <w:t>IPTW, inverse probability of treatment weighting.</w:t>
      </w:r>
    </w:p>
    <w:p w14:paraId="28620F22" w14:textId="77777777" w:rsidR="006812C2" w:rsidRPr="006B3D1C" w:rsidRDefault="006812C2" w:rsidP="006812C2">
      <w:pPr>
        <w:spacing w:line="480" w:lineRule="auto"/>
        <w:ind w:firstLine="0"/>
        <w:jc w:val="both"/>
        <w:rPr>
          <w:rFonts w:ascii="Times New Roman" w:hAnsi="Times New Roman" w:cs="Times New Roman"/>
        </w:rPr>
      </w:pPr>
    </w:p>
    <w:p w14:paraId="7F305458" w14:textId="54EB4C04" w:rsidR="00C425D3" w:rsidRDefault="006812C2" w:rsidP="006812C2">
      <w:pPr>
        <w:ind w:firstLine="0"/>
        <w:jc w:val="both"/>
      </w:pPr>
      <w:r w:rsidRPr="006B3D1C">
        <w:rPr>
          <w:rFonts w:ascii="Times New Roman" w:eastAsia="Times New Roman" w:hAnsi="Times New Roman" w:cs="Times New Roman"/>
          <w:b/>
          <w:bCs/>
        </w:rPr>
        <w:t xml:space="preserve">Supplemental Fig. </w:t>
      </w:r>
      <w:r>
        <w:rPr>
          <w:rFonts w:ascii="Times New Roman" w:hAnsi="Times New Roman" w:cs="Times New Roman"/>
          <w:b/>
          <w:bCs/>
        </w:rPr>
        <w:t>4</w:t>
      </w:r>
      <w:r w:rsidRPr="006B3D1C">
        <w:rPr>
          <w:rFonts w:ascii="Times New Roman" w:hAnsi="Times New Roman" w:cs="Times New Roman"/>
          <w:b/>
          <w:bCs/>
        </w:rPr>
        <w:t xml:space="preserve">. </w:t>
      </w:r>
      <w:r w:rsidRPr="0061436B">
        <w:rPr>
          <w:rFonts w:ascii="Times New Roman" w:hAnsi="Times New Roman" w:cs="Times New Roman"/>
          <w:b/>
        </w:rPr>
        <w:t>Sensitivity analyses considering insurance status as a confounding factor</w:t>
      </w:r>
      <w:r w:rsidRPr="006B3D1C">
        <w:rPr>
          <w:rFonts w:ascii="Times New Roman" w:hAnsi="Times New Roman" w:cs="Times New Roman"/>
        </w:rPr>
        <w:t xml:space="preserve">. (A) Absolute standardized mean differences between treatment arms before and after </w:t>
      </w:r>
      <w:r>
        <w:rPr>
          <w:rFonts w:ascii="Times New Roman" w:hAnsi="Times New Roman" w:cs="Times New Roman"/>
        </w:rPr>
        <w:t xml:space="preserve">using </w:t>
      </w:r>
      <w:r w:rsidRPr="006B3D1C">
        <w:rPr>
          <w:rFonts w:ascii="Times New Roman" w:hAnsi="Times New Roman" w:cs="Times New Roman"/>
        </w:rPr>
        <w:t xml:space="preserve">IPTW approach. (B) OS differences between treatment arms after balancing with IPTW and adjusted for age, sex, race, diagnosis year, primary site, stage, B symptoms, marital status, and medical insurance status </w:t>
      </w:r>
      <w:r>
        <w:rPr>
          <w:rFonts w:ascii="Times New Roman" w:hAnsi="Times New Roman" w:cs="Times New Roman"/>
        </w:rPr>
        <w:t>in</w:t>
      </w:r>
      <w:r w:rsidRPr="006B3D1C">
        <w:rPr>
          <w:rFonts w:ascii="Times New Roman" w:hAnsi="Times New Roman" w:cs="Times New Roman"/>
        </w:rPr>
        <w:t xml:space="preserve"> Cox multivariable regression. (C) </w:t>
      </w:r>
      <w:r w:rsidRPr="006B3D1C">
        <w:rPr>
          <w:rFonts w:ascii="Times New Roman" w:eastAsia="Times New Roman" w:hAnsi="Times New Roman" w:cs="Times New Roman"/>
        </w:rPr>
        <w:t xml:space="preserve">Adjusted observed death rate </w:t>
      </w:r>
      <w:r>
        <w:rPr>
          <w:rFonts w:ascii="Times New Roman" w:eastAsia="Times New Roman" w:hAnsi="Times New Roman" w:cs="Times New Roman"/>
        </w:rPr>
        <w:t xml:space="preserve">among </w:t>
      </w:r>
      <w:r w:rsidRPr="006B3D1C">
        <w:rPr>
          <w:rFonts w:ascii="Times New Roman" w:eastAsia="Times New Roman" w:hAnsi="Times New Roman" w:cs="Times New Roman"/>
        </w:rPr>
        <w:t xml:space="preserve">patients with early-stage </w:t>
      </w:r>
      <w:r>
        <w:rPr>
          <w:rFonts w:ascii="Times New Roman" w:eastAsia="Times New Roman" w:hAnsi="Times New Roman" w:cs="Times New Roman"/>
        </w:rPr>
        <w:t>FL</w:t>
      </w:r>
      <w:r w:rsidRPr="006B3D1C">
        <w:rPr>
          <w:rFonts w:ascii="Times New Roman" w:eastAsia="Times New Roman" w:hAnsi="Times New Roman" w:cs="Times New Roman"/>
        </w:rPr>
        <w:t xml:space="preserve"> versus the expected death rate in the general US population according to different primary treatments</w:t>
      </w:r>
      <w:r>
        <w:rPr>
          <w:rFonts w:ascii="Times New Roman" w:eastAsia="Times New Roman" w:hAnsi="Times New Roman" w:cs="Times New Roman"/>
        </w:rPr>
        <w:t xml:space="preserve"> using </w:t>
      </w:r>
      <w:r w:rsidRPr="006B3D1C">
        <w:rPr>
          <w:rFonts w:ascii="Times New Roman" w:eastAsia="Times New Roman" w:hAnsi="Times New Roman" w:cs="Times New Roman"/>
        </w:rPr>
        <w:t xml:space="preserve">a transformed Cox proportional hazards model analysis. The observed death rate closer to the diagonal line indicates a lower risk for RS. IPTW, inverse probability of treatment weighting; OS, overall survival; RS, relative </w:t>
      </w:r>
      <w:r w:rsidRPr="006B3D1C">
        <w:rPr>
          <w:rFonts w:ascii="Times New Roman" w:eastAsia="Times New Roman" w:hAnsi="Times New Roman" w:cs="Times New Roman"/>
        </w:rPr>
        <w:lastRenderedPageBreak/>
        <w:t>survival.</w:t>
      </w:r>
    </w:p>
    <w:sectPr w:rsidR="00C425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2187D1" w14:textId="77777777" w:rsidR="00197548" w:rsidRDefault="00197548" w:rsidP="006812C2">
      <w:pPr>
        <w:spacing w:line="240" w:lineRule="auto"/>
      </w:pPr>
      <w:r>
        <w:separator/>
      </w:r>
    </w:p>
  </w:endnote>
  <w:endnote w:type="continuationSeparator" w:id="0">
    <w:p w14:paraId="6B5303CF" w14:textId="77777777" w:rsidR="00197548" w:rsidRDefault="00197548" w:rsidP="006812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CCA701" w14:textId="77777777" w:rsidR="00197548" w:rsidRDefault="00197548" w:rsidP="006812C2">
      <w:pPr>
        <w:spacing w:line="240" w:lineRule="auto"/>
      </w:pPr>
      <w:r>
        <w:separator/>
      </w:r>
    </w:p>
  </w:footnote>
  <w:footnote w:type="continuationSeparator" w:id="0">
    <w:p w14:paraId="7ECE805C" w14:textId="77777777" w:rsidR="00197548" w:rsidRDefault="00197548" w:rsidP="006812C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D78"/>
    <w:rsid w:val="00197548"/>
    <w:rsid w:val="001F0D78"/>
    <w:rsid w:val="00551D71"/>
    <w:rsid w:val="0056608E"/>
    <w:rsid w:val="00681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D005ED"/>
  <w15:chartTrackingRefBased/>
  <w15:docId w15:val="{258B6A79-5CB5-486B-8667-76AAE1FA0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12C2"/>
    <w:pPr>
      <w:widowControl w:val="0"/>
      <w:spacing w:line="360" w:lineRule="auto"/>
      <w:ind w:firstLine="360"/>
    </w:pPr>
    <w:rPr>
      <w:rFonts w:ascii="宋体" w:eastAsia="宋体" w:hAnsi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1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12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12C2"/>
    <w:pPr>
      <w:tabs>
        <w:tab w:val="center" w:pos="4153"/>
        <w:tab w:val="right" w:pos="8306"/>
      </w:tabs>
      <w:snapToGrid w:val="0"/>
      <w:spacing w:line="240" w:lineRule="auto"/>
      <w:ind w:firstLine="0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12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255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晔</dc:creator>
  <cp:keywords/>
  <dc:description/>
  <cp:lastModifiedBy>刘 晔</cp:lastModifiedBy>
  <cp:revision>2</cp:revision>
  <dcterms:created xsi:type="dcterms:W3CDTF">2022-07-02T15:23:00Z</dcterms:created>
  <dcterms:modified xsi:type="dcterms:W3CDTF">2022-07-02T15:24:00Z</dcterms:modified>
</cp:coreProperties>
</file>