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tblpY="1290"/>
        <w:tblW w:w="14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1080"/>
        <w:gridCol w:w="1980"/>
        <w:gridCol w:w="2070"/>
        <w:gridCol w:w="1890"/>
        <w:gridCol w:w="1890"/>
        <w:gridCol w:w="2649"/>
        <w:gridCol w:w="1647"/>
      </w:tblGrid>
      <w:tr w:rsidR="00F917AB" w:rsidRPr="00F917AB" w:rsidTr="00F917AB">
        <w:trPr>
          <w:trHeight w:val="234"/>
        </w:trPr>
        <w:tc>
          <w:tcPr>
            <w:tcW w:w="895"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Study Author and Year</w:t>
            </w:r>
          </w:p>
        </w:tc>
        <w:tc>
          <w:tcPr>
            <w:tcW w:w="1080"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Study design</w:t>
            </w:r>
          </w:p>
        </w:tc>
        <w:tc>
          <w:tcPr>
            <w:tcW w:w="198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Sample size and study sample</w:t>
            </w:r>
          </w:p>
        </w:tc>
        <w:tc>
          <w:tcPr>
            <w:tcW w:w="2070"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Study objectives</w:t>
            </w:r>
          </w:p>
        </w:tc>
        <w:tc>
          <w:tcPr>
            <w:tcW w:w="1890"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Interventions</w:t>
            </w:r>
          </w:p>
        </w:tc>
        <w:tc>
          <w:tcPr>
            <w:tcW w:w="1890"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Outcomes </w:t>
            </w:r>
          </w:p>
        </w:tc>
        <w:tc>
          <w:tcPr>
            <w:tcW w:w="2649"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Results</w:t>
            </w:r>
          </w:p>
        </w:tc>
        <w:tc>
          <w:tcPr>
            <w:tcW w:w="1647" w:type="dxa"/>
            <w:shd w:val="clear" w:color="auto" w:fill="auto"/>
            <w:vAlign w:val="center"/>
          </w:tcPr>
          <w:p w:rsidR="00F917AB" w:rsidRPr="00F917AB" w:rsidRDefault="00F917AB" w:rsidP="00F917AB">
            <w:pPr>
              <w:spacing w:after="0" w:line="240" w:lineRule="auto"/>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conclusion</w:t>
            </w:r>
          </w:p>
        </w:tc>
      </w:tr>
      <w:tr w:rsidR="00F917AB" w:rsidRPr="00F917AB" w:rsidTr="00F917AB">
        <w:trPr>
          <w:trHeight w:val="1614"/>
        </w:trPr>
        <w:tc>
          <w:tcPr>
            <w:tcW w:w="895"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proofErr w:type="spellStart"/>
            <w:r w:rsidRPr="00F917AB">
              <w:rPr>
                <w:rFonts w:ascii="Times New Roman" w:eastAsia="Times New Roman" w:hAnsi="Times New Roman" w:cs="Times New Roman"/>
                <w:color w:val="000000"/>
                <w:sz w:val="20"/>
                <w:szCs w:val="20"/>
              </w:rPr>
              <w:t>Adelaida</w:t>
            </w:r>
            <w:proofErr w:type="spellEnd"/>
            <w:r w:rsidRPr="00F917AB">
              <w:rPr>
                <w:rFonts w:ascii="Times New Roman" w:eastAsia="Times New Roman" w:hAnsi="Times New Roman" w:cs="Times New Roman"/>
                <w:color w:val="000000"/>
                <w:sz w:val="20"/>
                <w:szCs w:val="20"/>
              </w:rPr>
              <w:t xml:space="preserve"> M., 2012</w:t>
            </w:r>
          </w:p>
        </w:tc>
        <w:tc>
          <w:tcPr>
            <w:tcW w:w="108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Quasi-</w:t>
            </w:r>
            <w:r w:rsidRPr="00F917AB">
              <w:rPr>
                <w:rFonts w:ascii="Times New Roman" w:eastAsia="Times New Roman" w:hAnsi="Times New Roman" w:cs="Times New Roman"/>
                <w:sz w:val="20"/>
                <w:szCs w:val="20"/>
              </w:rPr>
              <w:t>experimental</w:t>
            </w:r>
            <w:r w:rsidRPr="00F917AB">
              <w:rPr>
                <w:rFonts w:ascii="Times New Roman" w:eastAsia="Times New Roman" w:hAnsi="Times New Roman" w:cs="Times New Roman"/>
                <w:color w:val="000000"/>
                <w:sz w:val="20"/>
                <w:szCs w:val="20"/>
              </w:rPr>
              <w:t xml:space="preserve"> study</w:t>
            </w:r>
          </w:p>
        </w:tc>
        <w:tc>
          <w:tcPr>
            <w:tcW w:w="198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182 male and female students on physiotherapy diploma courses</w:t>
            </w:r>
          </w:p>
        </w:tc>
        <w:tc>
          <w:tcPr>
            <w:tcW w:w="207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aimed to compare learning preferences and strategies between physical therapy students taught by PBL and those</w:t>
            </w:r>
            <w:r w:rsidRPr="00F917AB">
              <w:rPr>
                <w:rFonts w:ascii="Times New Roman" w:eastAsia="Times New Roman" w:hAnsi="Times New Roman" w:cs="Times New Roman"/>
                <w:color w:val="000000"/>
                <w:sz w:val="20"/>
                <w:szCs w:val="20"/>
              </w:rPr>
              <w:br/>
              <w:t>receiving conventional lectures on massage therapy, trauma physical therapy, and electrotherapy, hydrotherapy, and</w:t>
            </w:r>
            <w:r w:rsidRPr="00F917AB">
              <w:rPr>
                <w:rFonts w:ascii="Times New Roman" w:eastAsia="Times New Roman" w:hAnsi="Times New Roman" w:cs="Times New Roman"/>
                <w:color w:val="000000"/>
                <w:sz w:val="20"/>
                <w:szCs w:val="20"/>
              </w:rPr>
              <w:br/>
              <w:t>thermotherapy</w:t>
            </w:r>
          </w:p>
        </w:tc>
        <w:tc>
          <w:tcPr>
            <w:tcW w:w="189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PBL </w:t>
            </w:r>
            <w:proofErr w:type="spellStart"/>
            <w:r w:rsidRPr="00F917AB">
              <w:rPr>
                <w:rFonts w:ascii="Times New Roman" w:eastAsia="Times New Roman" w:hAnsi="Times New Roman" w:cs="Times New Roman"/>
                <w:color w:val="000000"/>
                <w:sz w:val="20"/>
                <w:szCs w:val="20"/>
              </w:rPr>
              <w:t>vs</w:t>
            </w:r>
            <w:proofErr w:type="spellEnd"/>
            <w:r w:rsidRPr="00F917AB">
              <w:rPr>
                <w:rFonts w:ascii="Times New Roman" w:eastAsia="Times New Roman" w:hAnsi="Times New Roman" w:cs="Times New Roman"/>
                <w:color w:val="000000"/>
                <w:sz w:val="20"/>
                <w:szCs w:val="20"/>
              </w:rPr>
              <w:t xml:space="preserve"> Conventional taught method</w:t>
            </w:r>
          </w:p>
        </w:tc>
        <w:tc>
          <w:tcPr>
            <w:tcW w:w="1890" w:type="dxa"/>
            <w:shd w:val="clear" w:color="auto" w:fill="auto"/>
            <w:vAlign w:val="center"/>
          </w:tcPr>
          <w:p w:rsidR="00F917AB" w:rsidRPr="00F917AB" w:rsidRDefault="00F917AB" w:rsidP="00F917AB">
            <w:pPr>
              <w:numPr>
                <w:ilvl w:val="0"/>
                <w:numId w:val="1"/>
              </w:numPr>
              <w:pBdr>
                <w:top w:val="nil"/>
                <w:left w:val="nil"/>
                <w:bottom w:val="nil"/>
                <w:right w:val="nil"/>
                <w:between w:val="nil"/>
              </w:pBdr>
              <w:spacing w:after="0" w:line="240" w:lineRule="auto"/>
              <w:ind w:left="0" w:hanging="173"/>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Learning strategies assessed using </w:t>
            </w:r>
            <w:proofErr w:type="spellStart"/>
            <w:r w:rsidRPr="00F917AB">
              <w:rPr>
                <w:rFonts w:ascii="Times New Roman" w:eastAsia="Times New Roman" w:hAnsi="Times New Roman" w:cs="Times New Roman"/>
                <w:color w:val="000000"/>
                <w:sz w:val="20"/>
                <w:szCs w:val="20"/>
              </w:rPr>
              <w:t>Canfiled</w:t>
            </w:r>
            <w:proofErr w:type="spellEnd"/>
            <w:r w:rsidRPr="00F917AB">
              <w:rPr>
                <w:rFonts w:ascii="Times New Roman" w:eastAsia="Times New Roman" w:hAnsi="Times New Roman" w:cs="Times New Roman"/>
                <w:color w:val="000000"/>
                <w:sz w:val="20"/>
                <w:szCs w:val="20"/>
              </w:rPr>
              <w:t xml:space="preserve"> Learning skills Inventory (CLSI)</w:t>
            </w:r>
          </w:p>
          <w:p w:rsidR="00F917AB" w:rsidRPr="00F917AB" w:rsidRDefault="00F917AB" w:rsidP="00F917AB">
            <w:pPr>
              <w:numPr>
                <w:ilvl w:val="0"/>
                <w:numId w:val="1"/>
              </w:numPr>
              <w:pBdr>
                <w:top w:val="nil"/>
                <w:left w:val="nil"/>
                <w:bottom w:val="nil"/>
                <w:right w:val="nil"/>
                <w:between w:val="nil"/>
              </w:pBdr>
              <w:spacing w:after="0" w:line="240" w:lineRule="auto"/>
              <w:ind w:left="0" w:hanging="173"/>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Student preferences assessed using study skills Inventory (ASSIST)</w:t>
            </w:r>
          </w:p>
        </w:tc>
        <w:tc>
          <w:tcPr>
            <w:tcW w:w="2649"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PBL considered the most important learning strategies to be group work, study organization, relationship of ideas, and academic results, PBL reduced lack of purpose, memorizing without relating, the law of minimum effort, and fear of failure</w:t>
            </w:r>
          </w:p>
        </w:tc>
        <w:tc>
          <w:tcPr>
            <w:tcW w:w="1647"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PBL facilitates learning strategies and study preferences in comparison to</w:t>
            </w:r>
            <w:r w:rsidRPr="00F917AB">
              <w:rPr>
                <w:rFonts w:ascii="Times New Roman" w:eastAsia="Times New Roman" w:hAnsi="Times New Roman" w:cs="Times New Roman"/>
                <w:color w:val="000000"/>
                <w:sz w:val="20"/>
                <w:szCs w:val="20"/>
              </w:rPr>
              <w:br/>
              <w:t>conventional teaching.</w:t>
            </w:r>
          </w:p>
        </w:tc>
      </w:tr>
      <w:tr w:rsidR="00F917AB" w:rsidRPr="00F917AB" w:rsidTr="00F917AB">
        <w:trPr>
          <w:trHeight w:val="1991"/>
        </w:trPr>
        <w:tc>
          <w:tcPr>
            <w:tcW w:w="895"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Lennon 2019</w:t>
            </w:r>
          </w:p>
        </w:tc>
        <w:tc>
          <w:tcPr>
            <w:tcW w:w="108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A </w:t>
            </w:r>
            <w:r w:rsidRPr="00F917AB">
              <w:rPr>
                <w:rFonts w:ascii="Times New Roman" w:eastAsia="Times New Roman" w:hAnsi="Times New Roman" w:cs="Times New Roman"/>
                <w:sz w:val="20"/>
                <w:szCs w:val="20"/>
              </w:rPr>
              <w:t>mixed-method</w:t>
            </w:r>
            <w:r w:rsidRPr="00F917AB">
              <w:rPr>
                <w:rFonts w:ascii="Times New Roman" w:eastAsia="Times New Roman" w:hAnsi="Times New Roman" w:cs="Times New Roman"/>
                <w:color w:val="000000"/>
                <w:sz w:val="20"/>
                <w:szCs w:val="20"/>
              </w:rPr>
              <w:t xml:space="preserve"> concurrent design</w:t>
            </w:r>
          </w:p>
        </w:tc>
        <w:tc>
          <w:tcPr>
            <w:tcW w:w="198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Physiotherapy undergraduate students completing Stage 2 of a </w:t>
            </w:r>
            <w:r w:rsidRPr="00F917AB">
              <w:rPr>
                <w:rFonts w:ascii="Times New Roman" w:eastAsia="Times New Roman" w:hAnsi="Times New Roman" w:cs="Times New Roman"/>
                <w:sz w:val="20"/>
                <w:szCs w:val="20"/>
              </w:rPr>
              <w:t>four-stage</w:t>
            </w:r>
            <w:r w:rsidRPr="00F917AB">
              <w:rPr>
                <w:rFonts w:ascii="Times New Roman" w:eastAsia="Times New Roman" w:hAnsi="Times New Roman" w:cs="Times New Roman"/>
                <w:color w:val="000000"/>
                <w:sz w:val="20"/>
                <w:szCs w:val="20"/>
              </w:rPr>
              <w:t>, entry</w:t>
            </w:r>
            <w:r w:rsidRPr="00F917AB">
              <w:rPr>
                <w:rFonts w:ascii="Cambria Math" w:eastAsia="Cambria Math" w:hAnsi="Cambria Math" w:cs="Cambria Math"/>
                <w:color w:val="000000"/>
                <w:sz w:val="20"/>
                <w:szCs w:val="20"/>
              </w:rPr>
              <w:t>‐</w:t>
            </w:r>
            <w:r w:rsidRPr="00F917AB">
              <w:rPr>
                <w:rFonts w:ascii="Times New Roman" w:eastAsia="Times New Roman" w:hAnsi="Times New Roman" w:cs="Times New Roman"/>
                <w:color w:val="000000"/>
                <w:sz w:val="20"/>
                <w:szCs w:val="20"/>
              </w:rPr>
              <w:t xml:space="preserve">level professional </w:t>
            </w:r>
            <w:proofErr w:type="spellStart"/>
            <w:r w:rsidRPr="00F917AB">
              <w:rPr>
                <w:rFonts w:ascii="Times New Roman" w:eastAsia="Times New Roman" w:hAnsi="Times New Roman" w:cs="Times New Roman"/>
                <w:color w:val="000000"/>
                <w:sz w:val="20"/>
                <w:szCs w:val="20"/>
              </w:rPr>
              <w:t>programme</w:t>
            </w:r>
            <w:proofErr w:type="spellEnd"/>
            <w:r w:rsidRPr="00F917AB">
              <w:rPr>
                <w:rFonts w:ascii="Times New Roman" w:eastAsia="Times New Roman" w:hAnsi="Times New Roman" w:cs="Times New Roman"/>
                <w:color w:val="000000"/>
                <w:sz w:val="20"/>
                <w:szCs w:val="20"/>
              </w:rPr>
              <w:t xml:space="preserve">. Two group cohorts from </w:t>
            </w:r>
            <w:r w:rsidRPr="00F917AB">
              <w:rPr>
                <w:rFonts w:ascii="Times New Roman" w:eastAsia="Times New Roman" w:hAnsi="Times New Roman" w:cs="Times New Roman"/>
                <w:sz w:val="20"/>
                <w:szCs w:val="20"/>
              </w:rPr>
              <w:t xml:space="preserve">the </w:t>
            </w:r>
            <w:r w:rsidRPr="00F917AB">
              <w:rPr>
                <w:rFonts w:ascii="Times New Roman" w:eastAsia="Times New Roman" w:hAnsi="Times New Roman" w:cs="Times New Roman"/>
                <w:color w:val="000000"/>
                <w:sz w:val="20"/>
                <w:szCs w:val="20"/>
              </w:rPr>
              <w:t>years 2015 (N= 53) and 2017 (N=56)</w:t>
            </w:r>
          </w:p>
        </w:tc>
        <w:tc>
          <w:tcPr>
            <w:tcW w:w="207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proofErr w:type="gramStart"/>
            <w:r w:rsidRPr="00F917AB">
              <w:rPr>
                <w:rFonts w:ascii="Times New Roman" w:eastAsia="Times New Roman" w:hAnsi="Times New Roman" w:cs="Times New Roman"/>
                <w:color w:val="000000"/>
                <w:sz w:val="20"/>
                <w:szCs w:val="20"/>
              </w:rPr>
              <w:t>to</w:t>
            </w:r>
            <w:proofErr w:type="gramEnd"/>
            <w:r w:rsidRPr="00F917AB">
              <w:rPr>
                <w:rFonts w:ascii="Times New Roman" w:eastAsia="Times New Roman" w:hAnsi="Times New Roman" w:cs="Times New Roman"/>
                <w:color w:val="000000"/>
                <w:sz w:val="20"/>
                <w:szCs w:val="20"/>
              </w:rPr>
              <w:t xml:space="preserve"> determine whether  PBL facilitates learning strategies and study preferences in comparison to</w:t>
            </w:r>
            <w:r w:rsidRPr="00F917AB">
              <w:rPr>
                <w:rFonts w:ascii="Times New Roman" w:eastAsia="Times New Roman" w:hAnsi="Times New Roman" w:cs="Times New Roman"/>
                <w:color w:val="000000"/>
                <w:sz w:val="20"/>
                <w:szCs w:val="20"/>
              </w:rPr>
              <w:br/>
              <w:t>conventional teaching.</w:t>
            </w:r>
          </w:p>
        </w:tc>
        <w:tc>
          <w:tcPr>
            <w:tcW w:w="1890"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sz w:val="20"/>
                <w:szCs w:val="20"/>
              </w:rPr>
              <w:t>Lecture-based</w:t>
            </w:r>
            <w:r w:rsidRPr="00F917AB">
              <w:rPr>
                <w:rFonts w:ascii="Times New Roman" w:eastAsia="Times New Roman" w:hAnsi="Times New Roman" w:cs="Times New Roman"/>
                <w:color w:val="000000"/>
                <w:sz w:val="20"/>
                <w:szCs w:val="20"/>
              </w:rPr>
              <w:t xml:space="preserve"> delivery of EBP theory lectures and practical laboratories </w:t>
            </w:r>
            <w:proofErr w:type="spellStart"/>
            <w:r w:rsidRPr="00F917AB">
              <w:rPr>
                <w:rFonts w:ascii="Times New Roman" w:eastAsia="Times New Roman" w:hAnsi="Times New Roman" w:cs="Times New Roman"/>
                <w:color w:val="000000"/>
                <w:sz w:val="20"/>
                <w:szCs w:val="20"/>
              </w:rPr>
              <w:t>Vs</w:t>
            </w:r>
            <w:proofErr w:type="spellEnd"/>
            <w:r w:rsidRPr="00F917AB">
              <w:rPr>
                <w:rFonts w:ascii="Times New Roman" w:eastAsia="Times New Roman" w:hAnsi="Times New Roman" w:cs="Times New Roman"/>
                <w:color w:val="000000"/>
                <w:sz w:val="20"/>
                <w:szCs w:val="20"/>
              </w:rPr>
              <w:t xml:space="preserve"> PBL theory lectures and practical skills laboratories </w:t>
            </w:r>
          </w:p>
        </w:tc>
        <w:tc>
          <w:tcPr>
            <w:tcW w:w="1890" w:type="dxa"/>
            <w:shd w:val="clear" w:color="auto" w:fill="auto"/>
            <w:vAlign w:val="center"/>
          </w:tcPr>
          <w:p w:rsidR="00F917AB" w:rsidRPr="00F917AB" w:rsidRDefault="00F917AB" w:rsidP="00F917AB">
            <w:pPr>
              <w:numPr>
                <w:ilvl w:val="0"/>
                <w:numId w:val="2"/>
              </w:numPr>
              <w:pBdr>
                <w:top w:val="nil"/>
                <w:left w:val="nil"/>
                <w:bottom w:val="nil"/>
                <w:right w:val="nil"/>
                <w:between w:val="nil"/>
              </w:pBdr>
              <w:spacing w:after="0" w:line="240" w:lineRule="auto"/>
              <w:ind w:left="97" w:hanging="180"/>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Summative assessment</w:t>
            </w:r>
          </w:p>
          <w:p w:rsidR="00F917AB" w:rsidRPr="00F917AB" w:rsidRDefault="00F917AB" w:rsidP="00F917AB">
            <w:pPr>
              <w:numPr>
                <w:ilvl w:val="0"/>
                <w:numId w:val="2"/>
              </w:numPr>
              <w:pBdr>
                <w:top w:val="nil"/>
                <w:left w:val="nil"/>
                <w:bottom w:val="nil"/>
                <w:right w:val="nil"/>
                <w:between w:val="nil"/>
              </w:pBdr>
              <w:spacing w:after="0" w:line="240" w:lineRule="auto"/>
              <w:ind w:left="97" w:hanging="180"/>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Means of </w:t>
            </w:r>
            <w:proofErr w:type="spellStart"/>
            <w:r w:rsidRPr="00F917AB">
              <w:rPr>
                <w:rFonts w:ascii="Times New Roman" w:eastAsia="Times New Roman" w:hAnsi="Times New Roman" w:cs="Times New Roman"/>
                <w:color w:val="000000"/>
                <w:sz w:val="20"/>
                <w:szCs w:val="20"/>
              </w:rPr>
              <w:t>anonymised</w:t>
            </w:r>
            <w:proofErr w:type="spellEnd"/>
            <w:r w:rsidRPr="00F917AB">
              <w:rPr>
                <w:rFonts w:ascii="Times New Roman" w:eastAsia="Times New Roman" w:hAnsi="Times New Roman" w:cs="Times New Roman"/>
                <w:color w:val="000000"/>
                <w:sz w:val="20"/>
                <w:szCs w:val="20"/>
              </w:rPr>
              <w:t xml:space="preserve"> feedback (</w:t>
            </w:r>
            <w:proofErr w:type="spellStart"/>
            <w:r w:rsidRPr="00F917AB">
              <w:rPr>
                <w:rFonts w:ascii="Times New Roman" w:eastAsia="Times New Roman" w:hAnsi="Times New Roman" w:cs="Times New Roman"/>
                <w:sz w:val="20"/>
                <w:szCs w:val="20"/>
              </w:rPr>
              <w:t>Likert</w:t>
            </w:r>
            <w:proofErr w:type="spellEnd"/>
            <w:r w:rsidRPr="00F917AB">
              <w:rPr>
                <w:rFonts w:ascii="Times New Roman" w:eastAsia="Times New Roman" w:hAnsi="Times New Roman" w:cs="Times New Roman"/>
                <w:color w:val="000000"/>
                <w:sz w:val="20"/>
                <w:szCs w:val="20"/>
              </w:rPr>
              <w:t xml:space="preserve"> scale, open-ended questions)</w:t>
            </w:r>
          </w:p>
          <w:p w:rsidR="00F917AB" w:rsidRPr="00F917AB" w:rsidRDefault="00F917AB" w:rsidP="00F917AB">
            <w:pPr>
              <w:numPr>
                <w:ilvl w:val="0"/>
                <w:numId w:val="2"/>
              </w:numPr>
              <w:pBdr>
                <w:top w:val="nil"/>
                <w:left w:val="nil"/>
                <w:bottom w:val="nil"/>
                <w:right w:val="nil"/>
                <w:between w:val="nil"/>
              </w:pBdr>
              <w:spacing w:after="0" w:line="240" w:lineRule="auto"/>
              <w:ind w:left="97" w:hanging="180"/>
              <w:rPr>
                <w:rFonts w:ascii="Times New Roman" w:eastAsia="Times New Roman" w:hAnsi="Times New Roman" w:cs="Times New Roman"/>
                <w:color w:val="000000"/>
                <w:sz w:val="20"/>
                <w:szCs w:val="20"/>
              </w:rPr>
            </w:pPr>
            <w:r w:rsidRPr="00F917AB">
              <w:rPr>
                <w:rFonts w:ascii="Times New Roman" w:eastAsia="Times New Roman" w:hAnsi="Times New Roman" w:cs="Times New Roman"/>
                <w:sz w:val="20"/>
                <w:szCs w:val="20"/>
              </w:rPr>
              <w:t>Evidence-Based</w:t>
            </w:r>
            <w:r w:rsidRPr="00F917AB">
              <w:rPr>
                <w:rFonts w:ascii="Times New Roman" w:eastAsia="Times New Roman" w:hAnsi="Times New Roman" w:cs="Times New Roman"/>
                <w:color w:val="000000"/>
                <w:sz w:val="20"/>
                <w:szCs w:val="20"/>
              </w:rPr>
              <w:t xml:space="preserve"> Practice Profile Questionnaire</w:t>
            </w:r>
          </w:p>
        </w:tc>
        <w:tc>
          <w:tcPr>
            <w:tcW w:w="2649"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 xml:space="preserve">All mean </w:t>
            </w:r>
            <w:proofErr w:type="spellStart"/>
            <w:r w:rsidRPr="00F917AB">
              <w:rPr>
                <w:rFonts w:ascii="Times New Roman" w:eastAsia="Times New Roman" w:hAnsi="Times New Roman" w:cs="Times New Roman"/>
                <w:color w:val="000000"/>
                <w:sz w:val="20"/>
                <w:szCs w:val="20"/>
              </w:rPr>
              <w:t>Likert</w:t>
            </w:r>
            <w:proofErr w:type="spellEnd"/>
            <w:r w:rsidRPr="00F917AB">
              <w:rPr>
                <w:rFonts w:ascii="Times New Roman" w:eastAsia="Times New Roman" w:hAnsi="Times New Roman" w:cs="Times New Roman"/>
                <w:color w:val="000000"/>
                <w:sz w:val="20"/>
                <w:szCs w:val="20"/>
              </w:rPr>
              <w:t xml:space="preserve"> scores relating to subject understanding, </w:t>
            </w:r>
            <w:r w:rsidRPr="00F917AB">
              <w:rPr>
                <w:rFonts w:ascii="Times New Roman" w:eastAsia="Times New Roman" w:hAnsi="Times New Roman" w:cs="Times New Roman"/>
                <w:sz w:val="20"/>
                <w:szCs w:val="20"/>
              </w:rPr>
              <w:t xml:space="preserve">the </w:t>
            </w:r>
            <w:r w:rsidRPr="00F917AB">
              <w:rPr>
                <w:rFonts w:ascii="Times New Roman" w:eastAsia="Times New Roman" w:hAnsi="Times New Roman" w:cs="Times New Roman"/>
                <w:color w:val="000000"/>
                <w:sz w:val="20"/>
                <w:szCs w:val="20"/>
              </w:rPr>
              <w:t>relevance of</w:t>
            </w:r>
            <w:r w:rsidRPr="00F917AB">
              <w:rPr>
                <w:rFonts w:ascii="Times New Roman" w:eastAsia="Times New Roman" w:hAnsi="Times New Roman" w:cs="Times New Roman"/>
                <w:color w:val="000000"/>
                <w:sz w:val="20"/>
                <w:szCs w:val="20"/>
              </w:rPr>
              <w:br/>
              <w:t>assessments, achievement of learning outcomes, teaching, and overall module satisfaction improved when the PBL approach was compared with the lecture</w:t>
            </w:r>
            <w:r w:rsidRPr="00F917AB">
              <w:rPr>
                <w:rFonts w:ascii="Cambria Math" w:eastAsia="Cambria Math" w:hAnsi="Cambria Math" w:cs="Cambria Math"/>
                <w:color w:val="000000"/>
                <w:sz w:val="20"/>
                <w:szCs w:val="20"/>
              </w:rPr>
              <w:t>‐</w:t>
            </w:r>
            <w:r w:rsidRPr="00F917AB">
              <w:rPr>
                <w:rFonts w:ascii="Times New Roman" w:eastAsia="Times New Roman" w:hAnsi="Times New Roman" w:cs="Times New Roman"/>
                <w:color w:val="000000"/>
                <w:sz w:val="20"/>
                <w:szCs w:val="20"/>
              </w:rPr>
              <w:t>based format (p &lt; 0.05).</w:t>
            </w:r>
          </w:p>
        </w:tc>
        <w:tc>
          <w:tcPr>
            <w:tcW w:w="1647" w:type="dxa"/>
            <w:shd w:val="clear" w:color="auto" w:fill="auto"/>
            <w:vAlign w:val="center"/>
          </w:tcPr>
          <w:p w:rsidR="00F917AB" w:rsidRPr="00F917AB" w:rsidRDefault="00F917AB" w:rsidP="00F917AB">
            <w:pPr>
              <w:spacing w:after="0" w:line="240" w:lineRule="auto"/>
              <w:jc w:val="center"/>
              <w:rPr>
                <w:rFonts w:ascii="Times New Roman" w:eastAsia="Times New Roman" w:hAnsi="Times New Roman" w:cs="Times New Roman"/>
                <w:color w:val="000000"/>
                <w:sz w:val="20"/>
                <w:szCs w:val="20"/>
              </w:rPr>
            </w:pPr>
            <w:r w:rsidRPr="00F917AB">
              <w:rPr>
                <w:rFonts w:ascii="Times New Roman" w:eastAsia="Times New Roman" w:hAnsi="Times New Roman" w:cs="Times New Roman"/>
                <w:color w:val="000000"/>
                <w:sz w:val="20"/>
                <w:szCs w:val="20"/>
              </w:rPr>
              <w:t>PBL is effective at promoting early</w:t>
            </w:r>
            <w:r w:rsidRPr="00F917AB">
              <w:rPr>
                <w:rFonts w:ascii="Times New Roman" w:eastAsia="Times New Roman" w:hAnsi="Times New Roman" w:cs="Times New Roman"/>
                <w:color w:val="000000"/>
                <w:sz w:val="20"/>
                <w:szCs w:val="20"/>
              </w:rPr>
              <w:br/>
              <w:t>EBP. Students identified with the interactive, collaborative, and experiential nature</w:t>
            </w:r>
            <w:r w:rsidRPr="00F917AB">
              <w:rPr>
                <w:rFonts w:ascii="Times New Roman" w:eastAsia="Times New Roman" w:hAnsi="Times New Roman" w:cs="Times New Roman"/>
                <w:color w:val="000000"/>
                <w:sz w:val="20"/>
                <w:szCs w:val="20"/>
              </w:rPr>
              <w:br/>
              <w:t>of PBL to EBP instruction.</w:t>
            </w:r>
          </w:p>
        </w:tc>
      </w:tr>
    </w:tbl>
    <w:p w:rsidR="0092566D" w:rsidRPr="00F917AB" w:rsidRDefault="00F917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8E4811">
        <w:rPr>
          <w:rFonts w:ascii="Times New Roman" w:eastAsia="Times New Roman" w:hAnsi="Times New Roman" w:cs="Times New Roman"/>
          <w:sz w:val="24"/>
          <w:szCs w:val="24"/>
        </w:rPr>
        <w:t>S</w:t>
      </w:r>
      <w:bookmarkStart w:id="0" w:name="_GoBack"/>
      <w:bookmarkEnd w:id="0"/>
      <w:r>
        <w:rPr>
          <w:rFonts w:ascii="Times New Roman" w:eastAsia="Times New Roman" w:hAnsi="Times New Roman" w:cs="Times New Roman"/>
          <w:sz w:val="24"/>
          <w:szCs w:val="24"/>
        </w:rPr>
        <w:t>I: Study characteristics</w:t>
      </w:r>
    </w:p>
    <w:sectPr w:rsidR="0092566D" w:rsidRPr="00F917AB" w:rsidSect="00F917AB">
      <w:pgSz w:w="15840" w:h="12240" w:orient="landscape"/>
      <w:pgMar w:top="994" w:right="2880"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05896"/>
    <w:multiLevelType w:val="multilevel"/>
    <w:tmpl w:val="5086BE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6B013CE"/>
    <w:multiLevelType w:val="multilevel"/>
    <w:tmpl w:val="0548F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AB"/>
    <w:rsid w:val="005C4862"/>
    <w:rsid w:val="008E4811"/>
    <w:rsid w:val="0092566D"/>
    <w:rsid w:val="00AB2A86"/>
    <w:rsid w:val="00F91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45FE2-8CC8-431C-A11D-E765C9F8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7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Cinthuja</dc:creator>
  <cp:keywords/>
  <dc:description/>
  <cp:lastModifiedBy>Cinthuja</cp:lastModifiedBy>
  <cp:revision>3</cp:revision>
  <dcterms:created xsi:type="dcterms:W3CDTF">2022-06-25T09:35:00Z</dcterms:created>
  <dcterms:modified xsi:type="dcterms:W3CDTF">2022-08-13T05:35:00Z</dcterms:modified>
</cp:coreProperties>
</file>