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ED4" w:rsidRDefault="000E4ED4" w:rsidP="000E4ED4">
      <w:pPr>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t>Supplementary Information</w:t>
      </w:r>
    </w:p>
    <w:p w:rsidR="000E4ED4" w:rsidRDefault="000E4ED4" w:rsidP="000E4ED4">
      <w:pPr>
        <w:ind w:firstLineChars="343" w:firstLine="826"/>
        <w:rPr>
          <w:rFonts w:ascii="Times New Roman" w:hAnsi="Times New Roman"/>
          <w:b/>
          <w:bCs/>
          <w:sz w:val="24"/>
        </w:rPr>
      </w:pPr>
    </w:p>
    <w:p w:rsidR="000E4ED4" w:rsidRDefault="000E4ED4" w:rsidP="000E4ED4">
      <w:pPr>
        <w:ind w:firstLineChars="50" w:firstLine="120"/>
        <w:rPr>
          <w:rFonts w:ascii="Times New Roman" w:hAnsi="Times New Roman"/>
          <w:b/>
          <w:bCs/>
          <w:sz w:val="24"/>
        </w:rPr>
      </w:pPr>
      <w:r>
        <w:rPr>
          <w:rFonts w:ascii="Times New Roman" w:hAnsi="Times New Roman"/>
          <w:b/>
          <w:bCs/>
          <w:sz w:val="24"/>
        </w:rPr>
        <w:t xml:space="preserve">Table S1. </w:t>
      </w:r>
      <w:proofErr w:type="spellStart"/>
      <w:r>
        <w:rPr>
          <w:rFonts w:ascii="Times New Roman" w:hAnsi="Times New Roman"/>
          <w:b/>
          <w:bCs/>
          <w:sz w:val="24"/>
        </w:rPr>
        <w:t>Clinicopathologic</w:t>
      </w:r>
      <w:proofErr w:type="spellEnd"/>
      <w:r>
        <w:rPr>
          <w:rFonts w:ascii="Times New Roman" w:hAnsi="Times New Roman"/>
          <w:b/>
          <w:bCs/>
          <w:sz w:val="24"/>
        </w:rPr>
        <w:t xml:space="preserve"> characteristics of SMARCA4-WT (wild-type) </w:t>
      </w:r>
    </w:p>
    <w:p w:rsidR="000E4ED4" w:rsidRDefault="000E4ED4" w:rsidP="000E4ED4">
      <w:pPr>
        <w:ind w:firstLineChars="500" w:firstLine="1205"/>
        <w:rPr>
          <w:rFonts w:ascii="Times New Roman" w:hAnsi="Times New Roman"/>
          <w:b/>
          <w:color w:val="000000"/>
          <w:sz w:val="28"/>
          <w:szCs w:val="28"/>
          <w:shd w:val="clear" w:color="auto" w:fill="FFFFFF"/>
        </w:rPr>
      </w:pPr>
      <w:r>
        <w:rPr>
          <w:rFonts w:ascii="Times New Roman" w:hAnsi="Times New Roman"/>
          <w:b/>
          <w:bCs/>
          <w:sz w:val="24"/>
        </w:rPr>
        <w:t xml:space="preserve">and </w:t>
      </w:r>
      <w:r>
        <w:rPr>
          <w:rFonts w:ascii="Times New Roman" w:hAnsi="Times New Roman"/>
          <w:b/>
          <w:bCs/>
          <w:sz w:val="24"/>
          <w:szCs w:val="24"/>
        </w:rPr>
        <w:t>SMARCA4</w:t>
      </w:r>
      <w:r>
        <w:rPr>
          <w:rFonts w:ascii="Times New Roman" w:hAnsi="Times New Roman"/>
          <w:b/>
          <w:bCs/>
          <w:sz w:val="24"/>
        </w:rPr>
        <w:t>-R1157W mutant in CRC patients.</w:t>
      </w:r>
    </w:p>
    <w:p w:rsidR="000E4ED4" w:rsidRDefault="000E4ED4" w:rsidP="000E4ED4">
      <w:pPr>
        <w:jc w:val="center"/>
        <w:rPr>
          <w:rFonts w:ascii="Times New Roman" w:hAnsi="Times New Roman"/>
          <w:b/>
          <w:color w:val="000000"/>
          <w:sz w:val="28"/>
          <w:szCs w:val="28"/>
          <w:u w:val="single"/>
          <w:shd w:val="clear" w:color="auto" w:fill="FFFFFF"/>
        </w:rPr>
      </w:pPr>
      <w:r>
        <w:rPr>
          <w:noProof/>
          <w:lang w:eastAsia="en-US"/>
        </w:rPr>
        <w:drawing>
          <wp:inline distT="0" distB="0" distL="0" distR="0">
            <wp:extent cx="3943350" cy="3676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43350" cy="367665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rPr>
      </w:pPr>
      <w:r>
        <w:rPr>
          <w:rFonts w:ascii="Times New Roman" w:hAnsi="Times New Roman"/>
          <w:sz w:val="24"/>
        </w:rPr>
        <w:t xml:space="preserve">Analysis of pathological parameters in patients with CRC. Six samples with SMARCA4-R1157W mutation were identified in 64 CRC samples by direct sequencing. According to the TNM staging criteria set by the American Joint Committee on Cancer (AJCC), patient information was classified by gender, age, grade, and stage. </w:t>
      </w:r>
      <w:r>
        <w:rPr>
          <w:rFonts w:ascii="Times New Roman" w:hAnsi="Times New Roman"/>
          <w:i/>
          <w:sz w:val="24"/>
        </w:rPr>
        <w:t>P</w:t>
      </w:r>
      <w:r>
        <w:rPr>
          <w:rFonts w:ascii="Times New Roman" w:hAnsi="Times New Roman"/>
          <w:sz w:val="24"/>
        </w:rPr>
        <w:t xml:space="preserve"> values were derived using Fisher’s exact test to compare values for the two parameters in each category. [Grade T1-T2: the cancer has grown into submucosa (T1) or </w:t>
      </w:r>
      <w:proofErr w:type="spellStart"/>
      <w:r>
        <w:rPr>
          <w:rFonts w:ascii="Times New Roman" w:hAnsi="Times New Roman"/>
          <w:sz w:val="24"/>
        </w:rPr>
        <w:t>muscularis</w:t>
      </w:r>
      <w:proofErr w:type="spellEnd"/>
      <w:r>
        <w:rPr>
          <w:rFonts w:ascii="Times New Roman" w:hAnsi="Times New Roman"/>
          <w:sz w:val="24"/>
        </w:rPr>
        <w:t xml:space="preserve"> </w:t>
      </w:r>
      <w:proofErr w:type="spellStart"/>
      <w:r>
        <w:rPr>
          <w:rFonts w:ascii="Times New Roman" w:hAnsi="Times New Roman"/>
          <w:sz w:val="24"/>
        </w:rPr>
        <w:t>propria</w:t>
      </w:r>
      <w:proofErr w:type="spellEnd"/>
      <w:r>
        <w:rPr>
          <w:rFonts w:ascii="Times New Roman" w:hAnsi="Times New Roman"/>
          <w:sz w:val="24"/>
        </w:rPr>
        <w:t xml:space="preserve"> (T2). Grade T3:</w:t>
      </w:r>
      <w:r>
        <w:rPr>
          <w:rFonts w:hint="eastAsia"/>
          <w:sz w:val="24"/>
        </w:rPr>
        <w:t xml:space="preserve"> </w:t>
      </w:r>
      <w:r>
        <w:rPr>
          <w:rFonts w:ascii="Times New Roman" w:hAnsi="Times New Roman"/>
          <w:sz w:val="24"/>
        </w:rPr>
        <w:t xml:space="preserve">the cancer has spread into </w:t>
      </w:r>
      <w:proofErr w:type="spellStart"/>
      <w:r>
        <w:rPr>
          <w:rFonts w:ascii="Times New Roman" w:hAnsi="Times New Roman"/>
          <w:sz w:val="24"/>
        </w:rPr>
        <w:t>subserosa</w:t>
      </w:r>
      <w:proofErr w:type="spellEnd"/>
      <w:r>
        <w:rPr>
          <w:rFonts w:ascii="Times New Roman" w:hAnsi="Times New Roman"/>
          <w:sz w:val="24"/>
        </w:rPr>
        <w:t>. Stage I-II: the cancer has spread to surrounding tissues, but not to lymph nodes. Stage III-IV: the cancer has spread to lymph nodes and is more likely to spread to distant sites such as liver, lung, peritoneum, or ovaries].</w:t>
      </w:r>
    </w:p>
    <w:p w:rsidR="000E4ED4" w:rsidRDefault="000E4ED4" w:rsidP="000E4ED4">
      <w:pPr>
        <w:jc w:val="center"/>
        <w:rPr>
          <w:rFonts w:ascii="Times New Roman" w:hAnsi="Times New Roman"/>
          <w:b/>
          <w:color w:val="000000"/>
          <w:sz w:val="28"/>
          <w:szCs w:val="28"/>
          <w:u w:val="single"/>
          <w:shd w:val="clear" w:color="auto" w:fill="FFFFFF"/>
        </w:rPr>
      </w:pPr>
    </w:p>
    <w:p w:rsidR="000E4ED4" w:rsidRDefault="000E4ED4" w:rsidP="000E4ED4">
      <w:pPr>
        <w:rPr>
          <w:rFonts w:ascii="Times New Roman" w:hAnsi="Times New Roman"/>
          <w:b/>
          <w:bCs/>
          <w:sz w:val="24"/>
        </w:rPr>
      </w:pPr>
      <w:r>
        <w:rPr>
          <w:rFonts w:ascii="Times New Roman" w:hAnsi="Times New Roman"/>
          <w:b/>
          <w:bCs/>
          <w:sz w:val="24"/>
        </w:rPr>
        <w:t>Table S2. Primers for RT-PCR</w:t>
      </w:r>
    </w:p>
    <w:tbl>
      <w:tblPr>
        <w:tblW w:w="0"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4120"/>
        <w:gridCol w:w="4202"/>
      </w:tblGrid>
      <w:tr w:rsidR="000E4ED4" w:rsidTr="000E4ED4">
        <w:trPr>
          <w:trHeight w:val="229"/>
          <w:jc w:val="center"/>
        </w:trPr>
        <w:tc>
          <w:tcPr>
            <w:tcW w:w="41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szCs w:val="21"/>
              </w:rPr>
            </w:pPr>
            <w:r>
              <w:rPr>
                <w:rFonts w:ascii="Times New Roman" w:hAnsi="Times New Roman"/>
                <w:b/>
                <w:szCs w:val="21"/>
              </w:rPr>
              <w:t>Gene names</w:t>
            </w:r>
          </w:p>
        </w:tc>
        <w:tc>
          <w:tcPr>
            <w:tcW w:w="4202"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szCs w:val="21"/>
              </w:rPr>
            </w:pPr>
            <w:r>
              <w:rPr>
                <w:rFonts w:ascii="Times New Roman" w:hAnsi="Times New Roman"/>
                <w:b/>
                <w:szCs w:val="21"/>
              </w:rPr>
              <w:t>Sequence (5’-3’)</w:t>
            </w:r>
          </w:p>
        </w:tc>
      </w:tr>
      <w:tr w:rsidR="000E4ED4" w:rsidTr="000E4ED4">
        <w:trPr>
          <w:trHeight w:val="2881"/>
          <w:jc w:val="center"/>
        </w:trPr>
        <w:tc>
          <w:tcPr>
            <w:tcW w:w="41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lastRenderedPageBreak/>
              <w:t>SMARCA4-F</w:t>
            </w:r>
          </w:p>
          <w:p w:rsidR="000E4ED4" w:rsidRDefault="000E4ED4">
            <w:pPr>
              <w:spacing w:line="276" w:lineRule="auto"/>
              <w:jc w:val="left"/>
              <w:rPr>
                <w:rFonts w:ascii="Times New Roman" w:hAnsi="Times New Roman"/>
                <w:szCs w:val="21"/>
              </w:rPr>
            </w:pPr>
            <w:r>
              <w:rPr>
                <w:rFonts w:ascii="Times New Roman" w:hAnsi="Times New Roman"/>
                <w:szCs w:val="21"/>
              </w:rPr>
              <w:t>SMARCA4-R</w:t>
            </w:r>
          </w:p>
          <w:p w:rsidR="000E4ED4" w:rsidRDefault="000E4ED4">
            <w:pPr>
              <w:spacing w:line="276" w:lineRule="auto"/>
              <w:jc w:val="left"/>
              <w:rPr>
                <w:rFonts w:ascii="Times New Roman" w:hAnsi="Times New Roman"/>
                <w:szCs w:val="21"/>
              </w:rPr>
            </w:pPr>
            <w:r>
              <w:rPr>
                <w:rFonts w:ascii="Times New Roman" w:hAnsi="Times New Roman"/>
                <w:szCs w:val="21"/>
              </w:rPr>
              <w:t>EGFR-F</w:t>
            </w:r>
          </w:p>
          <w:p w:rsidR="000E4ED4" w:rsidRDefault="000E4ED4">
            <w:pPr>
              <w:spacing w:line="276" w:lineRule="auto"/>
              <w:jc w:val="left"/>
              <w:rPr>
                <w:rFonts w:ascii="Times New Roman" w:hAnsi="Times New Roman"/>
                <w:szCs w:val="21"/>
              </w:rPr>
            </w:pPr>
            <w:r>
              <w:rPr>
                <w:rFonts w:ascii="Times New Roman" w:hAnsi="Times New Roman"/>
                <w:szCs w:val="21"/>
              </w:rPr>
              <w:t>EGFR-R</w:t>
            </w:r>
          </w:p>
          <w:p w:rsidR="000E4ED4" w:rsidRDefault="000E4ED4">
            <w:pPr>
              <w:spacing w:line="276" w:lineRule="auto"/>
              <w:jc w:val="left"/>
              <w:rPr>
                <w:rFonts w:ascii="Times New Roman" w:hAnsi="Times New Roman"/>
                <w:szCs w:val="21"/>
              </w:rPr>
            </w:pPr>
            <w:r>
              <w:rPr>
                <w:rFonts w:ascii="Times New Roman" w:hAnsi="Times New Roman"/>
                <w:szCs w:val="21"/>
              </w:rPr>
              <w:t>TNS4-F</w:t>
            </w:r>
          </w:p>
          <w:p w:rsidR="000E4ED4" w:rsidRDefault="000E4ED4">
            <w:pPr>
              <w:spacing w:line="276" w:lineRule="auto"/>
              <w:jc w:val="left"/>
              <w:rPr>
                <w:rFonts w:ascii="Times New Roman" w:hAnsi="Times New Roman"/>
                <w:szCs w:val="21"/>
              </w:rPr>
            </w:pPr>
            <w:r>
              <w:rPr>
                <w:rFonts w:ascii="Times New Roman" w:hAnsi="Times New Roman"/>
                <w:szCs w:val="21"/>
              </w:rPr>
              <w:t>TNS4-R</w:t>
            </w:r>
          </w:p>
          <w:p w:rsidR="000E4ED4" w:rsidRDefault="000E4ED4">
            <w:pPr>
              <w:spacing w:line="276" w:lineRule="auto"/>
              <w:jc w:val="left"/>
              <w:rPr>
                <w:rFonts w:ascii="Times New Roman" w:hAnsi="Times New Roman"/>
                <w:szCs w:val="21"/>
              </w:rPr>
            </w:pPr>
            <w:r>
              <w:rPr>
                <w:rFonts w:ascii="Times New Roman" w:hAnsi="Times New Roman"/>
                <w:szCs w:val="21"/>
              </w:rPr>
              <w:t>GAPDH-F</w:t>
            </w:r>
          </w:p>
          <w:p w:rsidR="000E4ED4" w:rsidRDefault="000E4ED4">
            <w:pPr>
              <w:spacing w:line="276" w:lineRule="auto"/>
              <w:jc w:val="left"/>
              <w:rPr>
                <w:rFonts w:ascii="Times New Roman" w:hAnsi="Times New Roman"/>
                <w:szCs w:val="21"/>
              </w:rPr>
            </w:pPr>
            <w:r>
              <w:rPr>
                <w:rFonts w:ascii="Times New Roman" w:hAnsi="Times New Roman"/>
                <w:szCs w:val="21"/>
              </w:rPr>
              <w:t>GAPDH-R</w:t>
            </w:r>
          </w:p>
        </w:tc>
        <w:tc>
          <w:tcPr>
            <w:tcW w:w="4202"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t>GACCAGCACTCCCAAGGTTAC</w:t>
            </w:r>
          </w:p>
          <w:p w:rsidR="000E4ED4" w:rsidRDefault="000E4ED4">
            <w:pPr>
              <w:spacing w:line="276" w:lineRule="auto"/>
              <w:jc w:val="left"/>
              <w:rPr>
                <w:rFonts w:ascii="Times New Roman" w:hAnsi="Times New Roman"/>
                <w:szCs w:val="21"/>
              </w:rPr>
            </w:pPr>
            <w:r>
              <w:rPr>
                <w:rFonts w:ascii="Times New Roman" w:hAnsi="Times New Roman"/>
                <w:szCs w:val="21"/>
              </w:rPr>
              <w:t>CTGGCCCGGAAGACATCTG</w:t>
            </w:r>
          </w:p>
          <w:p w:rsidR="000E4ED4" w:rsidRDefault="000E4ED4">
            <w:pPr>
              <w:spacing w:line="276" w:lineRule="auto"/>
              <w:jc w:val="left"/>
              <w:rPr>
                <w:rFonts w:ascii="Times New Roman" w:hAnsi="Times New Roman"/>
                <w:szCs w:val="21"/>
              </w:rPr>
            </w:pPr>
            <w:r>
              <w:rPr>
                <w:rFonts w:ascii="Times New Roman" w:hAnsi="Times New Roman"/>
                <w:szCs w:val="21"/>
              </w:rPr>
              <w:t>AGGCACGAGTAACAAGCTCAC</w:t>
            </w:r>
          </w:p>
          <w:p w:rsidR="000E4ED4" w:rsidRDefault="000E4ED4">
            <w:pPr>
              <w:spacing w:line="276" w:lineRule="auto"/>
              <w:jc w:val="left"/>
              <w:rPr>
                <w:rFonts w:ascii="Times New Roman" w:hAnsi="Times New Roman"/>
                <w:szCs w:val="21"/>
              </w:rPr>
            </w:pPr>
            <w:r>
              <w:rPr>
                <w:rFonts w:ascii="Times New Roman" w:hAnsi="Times New Roman"/>
                <w:szCs w:val="21"/>
              </w:rPr>
              <w:t>ATGAGGACATAACCAGCCACC</w:t>
            </w:r>
          </w:p>
          <w:p w:rsidR="000E4ED4" w:rsidRDefault="000E4ED4">
            <w:pPr>
              <w:spacing w:line="276" w:lineRule="auto"/>
              <w:jc w:val="left"/>
              <w:rPr>
                <w:rFonts w:ascii="Times New Roman" w:hAnsi="Times New Roman"/>
                <w:szCs w:val="21"/>
              </w:rPr>
            </w:pPr>
            <w:r>
              <w:rPr>
                <w:rFonts w:ascii="Times New Roman" w:hAnsi="Times New Roman"/>
                <w:szCs w:val="21"/>
              </w:rPr>
              <w:t>AGGACACCAGAACTCCGTTCA</w:t>
            </w:r>
          </w:p>
          <w:p w:rsidR="000E4ED4" w:rsidRDefault="000E4ED4">
            <w:pPr>
              <w:spacing w:line="276" w:lineRule="auto"/>
              <w:jc w:val="left"/>
              <w:rPr>
                <w:rFonts w:ascii="Times New Roman" w:hAnsi="Times New Roman"/>
                <w:szCs w:val="21"/>
              </w:rPr>
            </w:pPr>
            <w:r>
              <w:rPr>
                <w:rFonts w:ascii="Times New Roman" w:hAnsi="Times New Roman"/>
                <w:szCs w:val="21"/>
              </w:rPr>
              <w:t>TCTCGGGTGATGTTTGGCTTA</w:t>
            </w:r>
          </w:p>
          <w:p w:rsidR="000E4ED4" w:rsidRDefault="000E4ED4">
            <w:pPr>
              <w:spacing w:line="276" w:lineRule="auto"/>
              <w:jc w:val="left"/>
              <w:rPr>
                <w:rFonts w:ascii="Times New Roman" w:hAnsi="Times New Roman"/>
                <w:szCs w:val="21"/>
              </w:rPr>
            </w:pPr>
            <w:r>
              <w:rPr>
                <w:rFonts w:ascii="Times New Roman" w:hAnsi="Times New Roman"/>
                <w:szCs w:val="21"/>
              </w:rPr>
              <w:t>GAAGGTGAAGGTCGGAG</w:t>
            </w:r>
          </w:p>
          <w:p w:rsidR="000E4ED4" w:rsidRDefault="000E4ED4">
            <w:pPr>
              <w:spacing w:line="276" w:lineRule="auto"/>
              <w:jc w:val="left"/>
              <w:rPr>
                <w:rFonts w:ascii="Times New Roman" w:hAnsi="Times New Roman"/>
                <w:szCs w:val="21"/>
              </w:rPr>
            </w:pPr>
            <w:r>
              <w:rPr>
                <w:rFonts w:ascii="Times New Roman" w:hAnsi="Times New Roman"/>
                <w:szCs w:val="21"/>
              </w:rPr>
              <w:t>GAAGATGGTGATGGGATTTC</w:t>
            </w:r>
          </w:p>
        </w:tc>
      </w:tr>
    </w:tbl>
    <w:p w:rsidR="000E4ED4" w:rsidRDefault="000E4ED4" w:rsidP="000E4ED4">
      <w:pPr>
        <w:spacing w:line="276" w:lineRule="auto"/>
        <w:rPr>
          <w:rFonts w:ascii="Times New Roman" w:hAnsi="Times New Roman"/>
          <w:b/>
          <w:sz w:val="24"/>
        </w:rPr>
      </w:pPr>
    </w:p>
    <w:p w:rsidR="000E4ED4" w:rsidRDefault="000E4ED4" w:rsidP="000E4ED4">
      <w:pPr>
        <w:spacing w:line="276" w:lineRule="auto"/>
        <w:rPr>
          <w:rFonts w:ascii="Times New Roman" w:hAnsi="Times New Roman"/>
          <w:b/>
          <w:sz w:val="24"/>
        </w:rPr>
      </w:pPr>
    </w:p>
    <w:p w:rsidR="000E4ED4" w:rsidRDefault="000E4ED4" w:rsidP="000E4ED4">
      <w:pPr>
        <w:spacing w:line="276" w:lineRule="auto"/>
        <w:rPr>
          <w:rFonts w:ascii="Times New Roman" w:hAnsi="Times New Roman"/>
          <w:b/>
          <w:sz w:val="24"/>
        </w:rPr>
      </w:pPr>
      <w:r>
        <w:rPr>
          <w:rFonts w:ascii="Times New Roman" w:hAnsi="Times New Roman"/>
          <w:b/>
          <w:sz w:val="24"/>
        </w:rPr>
        <w:t xml:space="preserve">Table S3. Primers for </w:t>
      </w:r>
      <w:proofErr w:type="spellStart"/>
      <w:r>
        <w:rPr>
          <w:rFonts w:ascii="Times New Roman" w:hAnsi="Times New Roman"/>
          <w:b/>
          <w:sz w:val="24"/>
        </w:rPr>
        <w:t>ChIP</w:t>
      </w:r>
      <w:proofErr w:type="spellEnd"/>
    </w:p>
    <w:tbl>
      <w:tblPr>
        <w:tblW w:w="8358"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4138"/>
        <w:gridCol w:w="4220"/>
      </w:tblGrid>
      <w:tr w:rsidR="000E4ED4" w:rsidTr="000E4ED4">
        <w:trPr>
          <w:trHeight w:val="243"/>
          <w:jc w:val="center"/>
        </w:trPr>
        <w:tc>
          <w:tcPr>
            <w:tcW w:w="4138"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bCs/>
                <w:szCs w:val="21"/>
              </w:rPr>
            </w:pPr>
            <w:r>
              <w:rPr>
                <w:rFonts w:ascii="Times New Roman" w:hAnsi="Times New Roman"/>
                <w:b/>
                <w:szCs w:val="21"/>
              </w:rPr>
              <w:t>Gene names</w:t>
            </w:r>
          </w:p>
        </w:tc>
        <w:tc>
          <w:tcPr>
            <w:tcW w:w="42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bCs/>
                <w:szCs w:val="21"/>
              </w:rPr>
            </w:pPr>
            <w:r>
              <w:rPr>
                <w:rFonts w:ascii="Times New Roman" w:hAnsi="Times New Roman"/>
                <w:b/>
                <w:szCs w:val="21"/>
              </w:rPr>
              <w:t>Sequence (5’-3’)</w:t>
            </w:r>
          </w:p>
        </w:tc>
      </w:tr>
      <w:tr w:rsidR="000E4ED4" w:rsidTr="000E4ED4">
        <w:trPr>
          <w:trHeight w:val="968"/>
          <w:jc w:val="center"/>
        </w:trPr>
        <w:tc>
          <w:tcPr>
            <w:tcW w:w="4138"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t>EGFR-</w:t>
            </w:r>
            <w:proofErr w:type="spellStart"/>
            <w:r>
              <w:rPr>
                <w:rFonts w:ascii="Times New Roman" w:hAnsi="Times New Roman"/>
                <w:szCs w:val="21"/>
              </w:rPr>
              <w:t>ChIP</w:t>
            </w:r>
            <w:proofErr w:type="spellEnd"/>
            <w:r>
              <w:rPr>
                <w:rFonts w:ascii="Times New Roman" w:hAnsi="Times New Roman"/>
                <w:szCs w:val="21"/>
              </w:rPr>
              <w:t>-F</w:t>
            </w:r>
          </w:p>
          <w:p w:rsidR="000E4ED4" w:rsidRDefault="000E4ED4">
            <w:pPr>
              <w:spacing w:line="276" w:lineRule="auto"/>
              <w:jc w:val="left"/>
              <w:rPr>
                <w:rFonts w:ascii="Times New Roman" w:hAnsi="Times New Roman"/>
                <w:szCs w:val="21"/>
              </w:rPr>
            </w:pPr>
            <w:r>
              <w:rPr>
                <w:rFonts w:ascii="Times New Roman" w:hAnsi="Times New Roman"/>
                <w:szCs w:val="21"/>
              </w:rPr>
              <w:t>EGFR-</w:t>
            </w:r>
            <w:proofErr w:type="spellStart"/>
            <w:r>
              <w:rPr>
                <w:rFonts w:ascii="Times New Roman" w:hAnsi="Times New Roman"/>
                <w:szCs w:val="21"/>
              </w:rPr>
              <w:t>ChIP</w:t>
            </w:r>
            <w:proofErr w:type="spellEnd"/>
            <w:r>
              <w:rPr>
                <w:rFonts w:ascii="Times New Roman" w:hAnsi="Times New Roman"/>
                <w:szCs w:val="21"/>
              </w:rPr>
              <w:t>-R</w:t>
            </w:r>
          </w:p>
          <w:p w:rsidR="000E4ED4" w:rsidRDefault="000E4ED4">
            <w:pPr>
              <w:spacing w:line="276" w:lineRule="auto"/>
              <w:jc w:val="left"/>
              <w:rPr>
                <w:rFonts w:ascii="Times New Roman" w:hAnsi="Times New Roman"/>
                <w:szCs w:val="21"/>
              </w:rPr>
            </w:pPr>
            <w:r>
              <w:rPr>
                <w:rFonts w:ascii="Times New Roman" w:hAnsi="Times New Roman"/>
                <w:szCs w:val="21"/>
              </w:rPr>
              <w:t>TNS4-ChIP-F</w:t>
            </w:r>
          </w:p>
          <w:p w:rsidR="000E4ED4" w:rsidRDefault="000E4ED4">
            <w:pPr>
              <w:spacing w:line="276" w:lineRule="auto"/>
              <w:jc w:val="left"/>
              <w:rPr>
                <w:rFonts w:ascii="Times New Roman" w:hAnsi="Times New Roman"/>
                <w:b/>
                <w:bCs/>
                <w:szCs w:val="21"/>
              </w:rPr>
            </w:pPr>
            <w:r>
              <w:rPr>
                <w:rFonts w:ascii="Times New Roman" w:hAnsi="Times New Roman"/>
                <w:szCs w:val="21"/>
              </w:rPr>
              <w:t>TNS4-ChIP-R</w:t>
            </w:r>
          </w:p>
        </w:tc>
        <w:tc>
          <w:tcPr>
            <w:tcW w:w="42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t>CTCCTCAGGGCACCCGCTC</w:t>
            </w:r>
          </w:p>
          <w:p w:rsidR="000E4ED4" w:rsidRDefault="000E4ED4">
            <w:pPr>
              <w:spacing w:line="276" w:lineRule="auto"/>
              <w:jc w:val="left"/>
              <w:rPr>
                <w:rFonts w:ascii="Times New Roman" w:hAnsi="Times New Roman"/>
                <w:szCs w:val="21"/>
              </w:rPr>
            </w:pPr>
            <w:r>
              <w:rPr>
                <w:rFonts w:ascii="Times New Roman" w:hAnsi="Times New Roman"/>
                <w:szCs w:val="21"/>
              </w:rPr>
              <w:t>CCAGGCGGCGGAGGAGGGATC</w:t>
            </w:r>
          </w:p>
          <w:p w:rsidR="000E4ED4" w:rsidRDefault="000E4ED4">
            <w:pPr>
              <w:spacing w:line="276" w:lineRule="auto"/>
              <w:jc w:val="left"/>
              <w:rPr>
                <w:rFonts w:ascii="Times New Roman" w:hAnsi="Times New Roman"/>
                <w:szCs w:val="21"/>
              </w:rPr>
            </w:pPr>
            <w:r>
              <w:rPr>
                <w:rFonts w:ascii="Times New Roman" w:hAnsi="Times New Roman"/>
                <w:szCs w:val="21"/>
              </w:rPr>
              <w:t>CACTGGCATCCTGCTTTGTCAAG</w:t>
            </w:r>
          </w:p>
          <w:p w:rsidR="000E4ED4" w:rsidRDefault="000E4ED4">
            <w:pPr>
              <w:spacing w:line="276" w:lineRule="auto"/>
              <w:jc w:val="left"/>
              <w:rPr>
                <w:rFonts w:ascii="Times New Roman" w:hAnsi="Times New Roman"/>
                <w:b/>
                <w:bCs/>
                <w:szCs w:val="21"/>
              </w:rPr>
            </w:pPr>
            <w:r>
              <w:rPr>
                <w:rFonts w:ascii="Times New Roman" w:hAnsi="Times New Roman"/>
                <w:szCs w:val="21"/>
              </w:rPr>
              <w:t>GTTCCTGCTTGGGCTTCTCGTG</w:t>
            </w:r>
          </w:p>
        </w:tc>
      </w:tr>
    </w:tbl>
    <w:p w:rsidR="000E4ED4" w:rsidRDefault="000E4ED4" w:rsidP="000E4ED4"/>
    <w:p w:rsidR="000E4ED4" w:rsidRDefault="000E4ED4" w:rsidP="000E4ED4">
      <w:pPr>
        <w:rPr>
          <w:rFonts w:hint="eastAsia"/>
        </w:rPr>
      </w:pPr>
    </w:p>
    <w:p w:rsidR="000E4ED4" w:rsidRDefault="000E4ED4" w:rsidP="000E4ED4">
      <w:pPr>
        <w:rPr>
          <w:rFonts w:ascii="Times New Roman" w:hAnsi="Times New Roman" w:hint="eastAsia"/>
          <w:b/>
          <w:sz w:val="24"/>
        </w:rPr>
      </w:pPr>
      <w:r>
        <w:rPr>
          <w:rFonts w:ascii="Times New Roman" w:hAnsi="Times New Roman"/>
          <w:b/>
          <w:sz w:val="24"/>
        </w:rPr>
        <w:t>Table S4. Primers for</w:t>
      </w:r>
      <w:r>
        <w:rPr>
          <w:rFonts w:hint="eastAsia"/>
        </w:rPr>
        <w:t xml:space="preserve"> </w:t>
      </w:r>
      <w:r>
        <w:rPr>
          <w:rFonts w:ascii="Times New Roman" w:hAnsi="Times New Roman"/>
          <w:b/>
          <w:sz w:val="24"/>
        </w:rPr>
        <w:t>DNase I chromatin accessibility analysis</w:t>
      </w:r>
    </w:p>
    <w:tbl>
      <w:tblPr>
        <w:tblW w:w="8358"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4138"/>
        <w:gridCol w:w="4220"/>
      </w:tblGrid>
      <w:tr w:rsidR="000E4ED4" w:rsidTr="000E4ED4">
        <w:trPr>
          <w:trHeight w:val="243"/>
          <w:jc w:val="center"/>
        </w:trPr>
        <w:tc>
          <w:tcPr>
            <w:tcW w:w="4138"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bCs/>
                <w:szCs w:val="21"/>
              </w:rPr>
            </w:pPr>
            <w:r>
              <w:rPr>
                <w:rFonts w:ascii="Times New Roman" w:hAnsi="Times New Roman"/>
                <w:b/>
                <w:szCs w:val="21"/>
              </w:rPr>
              <w:t>Gene names</w:t>
            </w:r>
          </w:p>
        </w:tc>
        <w:tc>
          <w:tcPr>
            <w:tcW w:w="42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b/>
                <w:bCs/>
                <w:szCs w:val="21"/>
              </w:rPr>
            </w:pPr>
            <w:r>
              <w:rPr>
                <w:rFonts w:ascii="Times New Roman" w:hAnsi="Times New Roman"/>
                <w:b/>
                <w:szCs w:val="21"/>
              </w:rPr>
              <w:t>Sequence (5’-3’)</w:t>
            </w:r>
          </w:p>
        </w:tc>
      </w:tr>
      <w:tr w:rsidR="000E4ED4" w:rsidTr="000E4ED4">
        <w:trPr>
          <w:trHeight w:val="968"/>
          <w:jc w:val="center"/>
        </w:trPr>
        <w:tc>
          <w:tcPr>
            <w:tcW w:w="4138"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t>EGFR-F (promoter)</w:t>
            </w:r>
          </w:p>
          <w:p w:rsidR="000E4ED4" w:rsidRDefault="000E4ED4">
            <w:pPr>
              <w:spacing w:line="276" w:lineRule="auto"/>
              <w:jc w:val="left"/>
              <w:rPr>
                <w:rFonts w:ascii="Times New Roman" w:hAnsi="Times New Roman"/>
                <w:szCs w:val="21"/>
              </w:rPr>
            </w:pPr>
            <w:r>
              <w:rPr>
                <w:rFonts w:ascii="Times New Roman" w:hAnsi="Times New Roman"/>
                <w:szCs w:val="21"/>
              </w:rPr>
              <w:t>EGFR-R (promoter)</w:t>
            </w:r>
          </w:p>
          <w:p w:rsidR="000E4ED4" w:rsidRDefault="000E4ED4">
            <w:pPr>
              <w:spacing w:line="276" w:lineRule="auto"/>
              <w:jc w:val="left"/>
              <w:rPr>
                <w:rFonts w:ascii="Times New Roman" w:hAnsi="Times New Roman"/>
                <w:szCs w:val="21"/>
              </w:rPr>
            </w:pPr>
            <w:r>
              <w:rPr>
                <w:rFonts w:ascii="Times New Roman" w:hAnsi="Times New Roman"/>
                <w:szCs w:val="21"/>
              </w:rPr>
              <w:t>EGFR-F (gene body)</w:t>
            </w:r>
          </w:p>
          <w:p w:rsidR="000E4ED4" w:rsidRDefault="000E4ED4">
            <w:pPr>
              <w:spacing w:line="276" w:lineRule="auto"/>
              <w:jc w:val="left"/>
              <w:rPr>
                <w:rFonts w:ascii="Times New Roman" w:hAnsi="Times New Roman"/>
                <w:szCs w:val="21"/>
              </w:rPr>
            </w:pPr>
            <w:r>
              <w:rPr>
                <w:rFonts w:ascii="Times New Roman" w:hAnsi="Times New Roman"/>
                <w:szCs w:val="21"/>
              </w:rPr>
              <w:t>EGFR-R (gene body)</w:t>
            </w:r>
          </w:p>
          <w:p w:rsidR="000E4ED4" w:rsidRDefault="000E4ED4">
            <w:pPr>
              <w:spacing w:line="276" w:lineRule="auto"/>
              <w:jc w:val="left"/>
              <w:rPr>
                <w:rFonts w:ascii="Times New Roman" w:hAnsi="Times New Roman"/>
                <w:szCs w:val="21"/>
              </w:rPr>
            </w:pPr>
            <w:r>
              <w:rPr>
                <w:rFonts w:ascii="Times New Roman" w:hAnsi="Times New Roman"/>
                <w:szCs w:val="21"/>
              </w:rPr>
              <w:t>TNS4-F (promoter)</w:t>
            </w:r>
          </w:p>
          <w:p w:rsidR="000E4ED4" w:rsidRDefault="000E4ED4">
            <w:pPr>
              <w:spacing w:line="276" w:lineRule="auto"/>
              <w:jc w:val="left"/>
              <w:rPr>
                <w:rFonts w:ascii="Times New Roman" w:hAnsi="Times New Roman"/>
                <w:szCs w:val="21"/>
              </w:rPr>
            </w:pPr>
            <w:r>
              <w:rPr>
                <w:rFonts w:ascii="Times New Roman" w:hAnsi="Times New Roman"/>
                <w:szCs w:val="21"/>
              </w:rPr>
              <w:t>TNS4 -R (promoter)</w:t>
            </w:r>
          </w:p>
          <w:p w:rsidR="000E4ED4" w:rsidRDefault="000E4ED4">
            <w:pPr>
              <w:spacing w:line="276" w:lineRule="auto"/>
              <w:jc w:val="left"/>
              <w:rPr>
                <w:rFonts w:ascii="Times New Roman" w:hAnsi="Times New Roman"/>
                <w:szCs w:val="21"/>
              </w:rPr>
            </w:pPr>
            <w:r>
              <w:rPr>
                <w:rFonts w:ascii="Times New Roman" w:hAnsi="Times New Roman"/>
                <w:szCs w:val="21"/>
              </w:rPr>
              <w:t>TNS4 -F (gene body)</w:t>
            </w:r>
          </w:p>
          <w:p w:rsidR="000E4ED4" w:rsidRDefault="000E4ED4">
            <w:pPr>
              <w:spacing w:line="276" w:lineRule="auto"/>
              <w:jc w:val="left"/>
              <w:rPr>
                <w:rFonts w:ascii="Times New Roman" w:hAnsi="Times New Roman"/>
                <w:szCs w:val="21"/>
              </w:rPr>
            </w:pPr>
            <w:r>
              <w:rPr>
                <w:rFonts w:ascii="Times New Roman" w:hAnsi="Times New Roman"/>
                <w:szCs w:val="21"/>
              </w:rPr>
              <w:t>TNS4-R (gene body)</w:t>
            </w:r>
          </w:p>
        </w:tc>
        <w:tc>
          <w:tcPr>
            <w:tcW w:w="4220" w:type="dxa"/>
            <w:tcBorders>
              <w:top w:val="single" w:sz="4" w:space="0" w:color="auto"/>
              <w:left w:val="nil"/>
              <w:bottom w:val="single" w:sz="4" w:space="0" w:color="auto"/>
              <w:right w:val="nil"/>
            </w:tcBorders>
            <w:hideMark/>
          </w:tcPr>
          <w:p w:rsidR="000E4ED4" w:rsidRDefault="000E4ED4">
            <w:pPr>
              <w:spacing w:line="276" w:lineRule="auto"/>
              <w:jc w:val="left"/>
              <w:rPr>
                <w:rFonts w:ascii="Times New Roman" w:hAnsi="Times New Roman"/>
                <w:szCs w:val="21"/>
              </w:rPr>
            </w:pPr>
            <w:r>
              <w:rPr>
                <w:rFonts w:ascii="Times New Roman" w:hAnsi="Times New Roman"/>
                <w:szCs w:val="21"/>
              </w:rPr>
              <w:t>CTCCTCAGGGCACCCGCTC</w:t>
            </w:r>
          </w:p>
          <w:p w:rsidR="000E4ED4" w:rsidRDefault="000E4ED4">
            <w:pPr>
              <w:spacing w:line="276" w:lineRule="auto"/>
              <w:jc w:val="left"/>
              <w:rPr>
                <w:rFonts w:ascii="Times New Roman" w:hAnsi="Times New Roman"/>
                <w:szCs w:val="21"/>
              </w:rPr>
            </w:pPr>
            <w:r>
              <w:rPr>
                <w:rFonts w:ascii="Times New Roman" w:hAnsi="Times New Roman"/>
                <w:szCs w:val="21"/>
              </w:rPr>
              <w:t>CCAGGCGGCGGAGGAGGGATC</w:t>
            </w:r>
          </w:p>
          <w:p w:rsidR="000E4ED4" w:rsidRDefault="000E4ED4">
            <w:pPr>
              <w:spacing w:line="276" w:lineRule="auto"/>
              <w:jc w:val="left"/>
              <w:rPr>
                <w:rFonts w:ascii="Times New Roman" w:hAnsi="Times New Roman"/>
                <w:szCs w:val="21"/>
              </w:rPr>
            </w:pPr>
            <w:r>
              <w:rPr>
                <w:rFonts w:ascii="Times New Roman" w:hAnsi="Times New Roman"/>
                <w:szCs w:val="21"/>
              </w:rPr>
              <w:t>GCCTTGACTGAGGACAGCAT</w:t>
            </w:r>
          </w:p>
          <w:p w:rsidR="000E4ED4" w:rsidRDefault="000E4ED4">
            <w:pPr>
              <w:spacing w:line="276" w:lineRule="auto"/>
              <w:jc w:val="left"/>
              <w:rPr>
                <w:rFonts w:ascii="Times New Roman" w:hAnsi="Times New Roman"/>
                <w:szCs w:val="21"/>
              </w:rPr>
            </w:pPr>
            <w:r>
              <w:rPr>
                <w:rFonts w:ascii="Times New Roman" w:hAnsi="Times New Roman"/>
                <w:szCs w:val="21"/>
              </w:rPr>
              <w:t>CCTTACGCCCTTCACTGTGT</w:t>
            </w:r>
          </w:p>
          <w:p w:rsidR="000E4ED4" w:rsidRDefault="000E4ED4">
            <w:pPr>
              <w:spacing w:line="276" w:lineRule="auto"/>
              <w:jc w:val="left"/>
              <w:rPr>
                <w:rFonts w:ascii="Times New Roman" w:hAnsi="Times New Roman"/>
                <w:szCs w:val="21"/>
              </w:rPr>
            </w:pPr>
            <w:r>
              <w:rPr>
                <w:rFonts w:ascii="Times New Roman" w:hAnsi="Times New Roman"/>
                <w:szCs w:val="21"/>
              </w:rPr>
              <w:t>CACTGGCATCCTGCTTTGTCAAG</w:t>
            </w:r>
          </w:p>
          <w:p w:rsidR="000E4ED4" w:rsidRDefault="000E4ED4">
            <w:pPr>
              <w:spacing w:line="276" w:lineRule="auto"/>
              <w:jc w:val="left"/>
              <w:rPr>
                <w:rFonts w:ascii="Times New Roman" w:hAnsi="Times New Roman"/>
                <w:szCs w:val="21"/>
              </w:rPr>
            </w:pPr>
            <w:r>
              <w:rPr>
                <w:rFonts w:ascii="Times New Roman" w:hAnsi="Times New Roman"/>
                <w:szCs w:val="21"/>
              </w:rPr>
              <w:t>GTTCCTGCTTGGGCTTCTCGTG</w:t>
            </w:r>
          </w:p>
          <w:p w:rsidR="000E4ED4" w:rsidRDefault="000E4ED4">
            <w:pPr>
              <w:spacing w:line="276" w:lineRule="auto"/>
              <w:jc w:val="left"/>
              <w:rPr>
                <w:rFonts w:ascii="Times New Roman" w:hAnsi="Times New Roman"/>
                <w:szCs w:val="21"/>
              </w:rPr>
            </w:pPr>
            <w:r>
              <w:rPr>
                <w:rFonts w:ascii="Times New Roman" w:hAnsi="Times New Roman"/>
                <w:szCs w:val="21"/>
              </w:rPr>
              <w:t>GAGAGACACGAAGCAGCAGT</w:t>
            </w:r>
          </w:p>
          <w:p w:rsidR="000E4ED4" w:rsidRDefault="000E4ED4">
            <w:pPr>
              <w:spacing w:line="276" w:lineRule="auto"/>
              <w:jc w:val="left"/>
              <w:rPr>
                <w:rFonts w:ascii="Times New Roman" w:hAnsi="Times New Roman"/>
                <w:b/>
                <w:bCs/>
                <w:szCs w:val="21"/>
              </w:rPr>
            </w:pPr>
            <w:r>
              <w:rPr>
                <w:rFonts w:ascii="Times New Roman" w:hAnsi="Times New Roman"/>
                <w:szCs w:val="21"/>
              </w:rPr>
              <w:t>CCAGTCTTGGAGAAGCCACC</w:t>
            </w:r>
          </w:p>
        </w:tc>
      </w:tr>
    </w:tbl>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270500" cy="2686050"/>
            <wp:effectExtent l="0" t="0" r="6350" b="0"/>
            <wp:docPr id="6" name="Picture 6"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S1"/>
                    <pic:cNvPicPr>
                      <a:picLocks noChangeAspect="1" noChangeArrowheads="1"/>
                    </pic:cNvPicPr>
                  </pic:nvPicPr>
                  <pic:blipFill>
                    <a:blip r:embed="rId5" cstate="print">
                      <a:extLst>
                        <a:ext uri="{28A0092B-C50C-407E-A947-70E740481C1C}">
                          <a14:useLocalDpi xmlns:a14="http://schemas.microsoft.com/office/drawing/2010/main" val="0"/>
                        </a:ext>
                      </a:extLst>
                    </a:blip>
                    <a:srcRect b="64764"/>
                    <a:stretch>
                      <a:fillRect/>
                    </a:stretch>
                  </pic:blipFill>
                  <pic:spPr bwMode="auto">
                    <a:xfrm>
                      <a:off x="0" y="0"/>
                      <a:ext cx="5270500" cy="268605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szCs w:val="24"/>
        </w:rPr>
      </w:pPr>
      <w:r>
        <w:rPr>
          <w:rFonts w:ascii="Times New Roman" w:hAnsi="Times New Roman"/>
          <w:b/>
          <w:sz w:val="24"/>
          <w:szCs w:val="24"/>
        </w:rPr>
        <w:t>Figure S1.</w:t>
      </w:r>
      <w:r>
        <w:rPr>
          <w:rFonts w:ascii="Times New Roman" w:hAnsi="Times New Roman"/>
          <w:sz w:val="24"/>
          <w:szCs w:val="24"/>
        </w:rPr>
        <w:t xml:space="preserve"> SMARCA4 ATPase domain harbors specific genomic mutations in CRC. Mutations of SMARCA4 in lung, liver, stomach, and colorectal cancers were analyzed in the </w:t>
      </w:r>
      <w:proofErr w:type="spellStart"/>
      <w:r>
        <w:rPr>
          <w:rFonts w:ascii="Times New Roman" w:hAnsi="Times New Roman"/>
          <w:sz w:val="24"/>
          <w:szCs w:val="24"/>
        </w:rPr>
        <w:t>cBioPortal</w:t>
      </w:r>
      <w:proofErr w:type="spellEnd"/>
      <w:r>
        <w:rPr>
          <w:rFonts w:ascii="Times New Roman" w:hAnsi="Times New Roman"/>
          <w:sz w:val="24"/>
          <w:szCs w:val="24"/>
        </w:rPr>
        <w:t xml:space="preserve"> database.</w:t>
      </w: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270500" cy="3479800"/>
            <wp:effectExtent l="0" t="0" r="6350" b="6350"/>
            <wp:docPr id="5" name="Picture 5"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S2"/>
                    <pic:cNvPicPr>
                      <a:picLocks noChangeAspect="1" noChangeArrowheads="1"/>
                    </pic:cNvPicPr>
                  </pic:nvPicPr>
                  <pic:blipFill>
                    <a:blip r:embed="rId6" cstate="print">
                      <a:extLst>
                        <a:ext uri="{28A0092B-C50C-407E-A947-70E740481C1C}">
                          <a14:useLocalDpi xmlns:a14="http://schemas.microsoft.com/office/drawing/2010/main" val="0"/>
                        </a:ext>
                      </a:extLst>
                    </a:blip>
                    <a:srcRect b="54161"/>
                    <a:stretch>
                      <a:fillRect/>
                    </a:stretch>
                  </pic:blipFill>
                  <pic:spPr bwMode="auto">
                    <a:xfrm>
                      <a:off x="0" y="0"/>
                      <a:ext cx="5270500" cy="347980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szCs w:val="24"/>
        </w:rPr>
      </w:pPr>
      <w:r>
        <w:rPr>
          <w:rFonts w:ascii="Times New Roman" w:hAnsi="Times New Roman"/>
          <w:b/>
          <w:sz w:val="24"/>
          <w:szCs w:val="24"/>
        </w:rPr>
        <w:t>Figure S2.</w:t>
      </w:r>
      <w:r>
        <w:rPr>
          <w:rFonts w:ascii="Times New Roman" w:hAnsi="Times New Roman"/>
          <w:sz w:val="24"/>
          <w:szCs w:val="24"/>
        </w:rPr>
        <w:t xml:space="preserve"> The SMARCA4-R1157W mutant promotes the growth of SW620 cells. </w:t>
      </w:r>
      <w:r>
        <w:rPr>
          <w:rFonts w:ascii="Times New Roman" w:hAnsi="Times New Roman"/>
          <w:b/>
          <w:sz w:val="24"/>
          <w:szCs w:val="24"/>
        </w:rPr>
        <w:t xml:space="preserve">A, </w:t>
      </w:r>
      <w:r>
        <w:rPr>
          <w:rFonts w:ascii="Times New Roman" w:hAnsi="Times New Roman"/>
          <w:sz w:val="24"/>
          <w:szCs w:val="24"/>
        </w:rPr>
        <w:t>Proliferation of SW620 cells transfected with SMARCA4 overexpression plasmids (SMARCA4-WT, SMARCA4-R1157W, SMARCA4-R1157Q, or SMARCA4-R1243Q) or vector plasmids. Values at the indicated time points represent mean ± SD from three independent tests. **</w:t>
      </w:r>
      <w:r>
        <w:rPr>
          <w:rFonts w:ascii="Times New Roman" w:hAnsi="Times New Roman"/>
          <w:i/>
          <w:sz w:val="24"/>
          <w:szCs w:val="24"/>
        </w:rPr>
        <w:t>P</w:t>
      </w:r>
      <w:r>
        <w:rPr>
          <w:rFonts w:ascii="Times New Roman" w:hAnsi="Times New Roman"/>
          <w:sz w:val="24"/>
          <w:szCs w:val="24"/>
        </w:rPr>
        <w:t xml:space="preserve"> &lt; 0.01. </w:t>
      </w:r>
      <w:r>
        <w:rPr>
          <w:rFonts w:ascii="Times New Roman" w:hAnsi="Times New Roman"/>
          <w:b/>
          <w:sz w:val="24"/>
          <w:szCs w:val="24"/>
        </w:rPr>
        <w:t>B,</w:t>
      </w:r>
      <w:r>
        <w:rPr>
          <w:rFonts w:ascii="Times New Roman" w:hAnsi="Times New Roman"/>
          <w:sz w:val="24"/>
          <w:szCs w:val="24"/>
        </w:rPr>
        <w:t xml:space="preserve"> Colony formation assay of SW620 cells transfected with SMARCA4 overexpression plasmids as in (A). Representative images (left panel) and quantitative analyses of the colony formation (right panel) are shown.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b/>
          <w:sz w:val="24"/>
          <w:szCs w:val="24"/>
        </w:rPr>
        <w:t>C,</w:t>
      </w:r>
      <w:r>
        <w:rPr>
          <w:rFonts w:ascii="Times New Roman" w:hAnsi="Times New Roman"/>
          <w:sz w:val="24"/>
          <w:szCs w:val="24"/>
        </w:rPr>
        <w:t xml:space="preserve"> Migration assays of SW620 cells transfected with SMARCA4 overexpression plasmids as in (A). The numbers of migrated cells were quantified by counting the numbers of cells in entire fields at ×200 magnification. Representative images (left panel) and quantitative analyses of the migrated cells (right panel) are shown.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i/>
          <w:sz w:val="24"/>
          <w:szCs w:val="24"/>
        </w:rPr>
        <w:t>P</w:t>
      </w:r>
      <w:r>
        <w:rPr>
          <w:rFonts w:ascii="Times New Roman" w:hAnsi="Times New Roman"/>
          <w:sz w:val="24"/>
          <w:szCs w:val="24"/>
        </w:rPr>
        <w:t xml:space="preserve"> &lt; 0.01.</w:t>
      </w: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270500" cy="3562350"/>
            <wp:effectExtent l="0" t="0" r="6350" b="0"/>
            <wp:docPr id="4" name="Picture 4"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S3"/>
                    <pic:cNvPicPr>
                      <a:picLocks noChangeAspect="1" noChangeArrowheads="1"/>
                    </pic:cNvPicPr>
                  </pic:nvPicPr>
                  <pic:blipFill>
                    <a:blip r:embed="rId7" cstate="print">
                      <a:extLst>
                        <a:ext uri="{28A0092B-C50C-407E-A947-70E740481C1C}">
                          <a14:useLocalDpi xmlns:a14="http://schemas.microsoft.com/office/drawing/2010/main" val="0"/>
                        </a:ext>
                      </a:extLst>
                    </a:blip>
                    <a:srcRect b="53131"/>
                    <a:stretch>
                      <a:fillRect/>
                    </a:stretch>
                  </pic:blipFill>
                  <pic:spPr bwMode="auto">
                    <a:xfrm>
                      <a:off x="0" y="0"/>
                      <a:ext cx="5270500" cy="3562350"/>
                    </a:xfrm>
                    <a:prstGeom prst="rect">
                      <a:avLst/>
                    </a:prstGeom>
                    <a:noFill/>
                    <a:ln>
                      <a:noFill/>
                    </a:ln>
                  </pic:spPr>
                </pic:pic>
              </a:graphicData>
            </a:graphic>
          </wp:inline>
        </w:drawing>
      </w:r>
    </w:p>
    <w:p w:rsidR="000E4ED4" w:rsidRDefault="000E4ED4" w:rsidP="000E4ED4">
      <w:pPr>
        <w:pStyle w:val="NormalWeb"/>
        <w:spacing w:before="0" w:beforeAutospacing="0" w:after="0" w:afterAutospacing="0" w:line="480" w:lineRule="auto"/>
        <w:jc w:val="both"/>
        <w:textAlignment w:val="baseline"/>
        <w:rPr>
          <w:rFonts w:ascii="Times New Roman" w:hAnsi="Times New Roman"/>
        </w:rPr>
      </w:pPr>
      <w:r>
        <w:rPr>
          <w:rFonts w:ascii="Times New Roman" w:hAnsi="Times New Roman"/>
          <w:b/>
        </w:rPr>
        <w:t xml:space="preserve">Figure S3. </w:t>
      </w:r>
      <w:r>
        <w:rPr>
          <w:rFonts w:ascii="Times New Roman" w:hAnsi="Times New Roman"/>
        </w:rPr>
        <w:t xml:space="preserve">The SMARCA4-R1157W mutation </w:t>
      </w:r>
      <w:r>
        <w:rPr>
          <w:rFonts w:ascii="Times New Roman" w:hAnsi="Times New Roman"/>
          <w:lang w:val="en-US"/>
        </w:rPr>
        <w:t>enhances its binding to H4R3me2a</w:t>
      </w:r>
      <w:r>
        <w:rPr>
          <w:rFonts w:ascii="Times New Roman" w:hAnsi="Times New Roman"/>
        </w:rPr>
        <w:t xml:space="preserve">. </w:t>
      </w:r>
      <w:r>
        <w:rPr>
          <w:rFonts w:ascii="Times New Roman" w:hAnsi="Times New Roman"/>
          <w:b/>
          <w:lang w:eastAsia="zh-CN"/>
        </w:rPr>
        <w:t>A</w:t>
      </w:r>
      <w:r>
        <w:rPr>
          <w:rFonts w:ascii="Times New Roman" w:hAnsi="Times New Roman"/>
          <w:b/>
        </w:rPr>
        <w:t>,</w:t>
      </w:r>
      <w:r>
        <w:rPr>
          <w:rFonts w:ascii="Times New Roman" w:hAnsi="Times New Roman"/>
        </w:rPr>
        <w:t xml:space="preserve"> Immunofluorescence assay was performed in HCT116 cells after transfection with SMARCA4-WT or SMARCA4-R1157W plasmids; rabbit anti-SMARCA4 antibody (green), DAPI (blue). </w:t>
      </w:r>
      <w:r>
        <w:rPr>
          <w:rFonts w:ascii="Times New Roman" w:hAnsi="Times New Roman"/>
          <w:b/>
        </w:rPr>
        <w:t>B,</w:t>
      </w:r>
      <w:r>
        <w:rPr>
          <w:rFonts w:ascii="Times New Roman" w:hAnsi="Times New Roman"/>
        </w:rPr>
        <w:t xml:space="preserve"> </w:t>
      </w:r>
      <w:proofErr w:type="spellStart"/>
      <w:r>
        <w:rPr>
          <w:rFonts w:ascii="Times New Roman" w:hAnsi="Times New Roman"/>
          <w:color w:val="000000"/>
          <w:kern w:val="24"/>
        </w:rPr>
        <w:t>Coimmunoprecipitation</w:t>
      </w:r>
      <w:proofErr w:type="spellEnd"/>
      <w:r>
        <w:rPr>
          <w:rFonts w:ascii="Times New Roman" w:hAnsi="Times New Roman"/>
          <w:color w:val="000000"/>
          <w:kern w:val="24"/>
        </w:rPr>
        <w:t xml:space="preserve"> assay with lysates prepared from SMARCA4-KO HCT116 cells after transfection with SMARCA4-WT or </w:t>
      </w:r>
      <w:r>
        <w:rPr>
          <w:rFonts w:ascii="Times New Roman" w:hAnsi="Times New Roman"/>
          <w:color w:val="000000"/>
          <w:kern w:val="24"/>
          <w:lang w:val="en-US"/>
        </w:rPr>
        <w:t>-</w:t>
      </w:r>
      <w:r>
        <w:rPr>
          <w:rFonts w:ascii="Times New Roman" w:hAnsi="Times New Roman"/>
          <w:color w:val="000000"/>
          <w:kern w:val="24"/>
        </w:rPr>
        <w:t xml:space="preserve">R1157W mutant plasmids. Anti-H4R3me2a antibody was used for immunoprecipitation, and </w:t>
      </w:r>
      <w:r>
        <w:rPr>
          <w:rFonts w:ascii="Times New Roman" w:hAnsi="Times New Roman"/>
          <w:color w:val="000000"/>
          <w:kern w:val="24"/>
          <w:lang w:val="en-US"/>
        </w:rPr>
        <w:t>precipitate</w:t>
      </w:r>
      <w:r>
        <w:rPr>
          <w:rFonts w:ascii="Times New Roman" w:hAnsi="Times New Roman"/>
          <w:color w:val="000000"/>
          <w:kern w:val="24"/>
        </w:rPr>
        <w:t xml:space="preserve">s were </w:t>
      </w:r>
      <w:r>
        <w:rPr>
          <w:rFonts w:ascii="Times New Roman" w:hAnsi="Times New Roman"/>
          <w:color w:val="000000"/>
          <w:kern w:val="24"/>
          <w:lang w:val="en-US"/>
        </w:rPr>
        <w:t>blotted</w:t>
      </w:r>
      <w:r>
        <w:rPr>
          <w:rFonts w:ascii="Times New Roman" w:hAnsi="Times New Roman"/>
          <w:color w:val="000000"/>
          <w:kern w:val="24"/>
        </w:rPr>
        <w:t xml:space="preserve"> </w:t>
      </w:r>
      <w:r>
        <w:rPr>
          <w:rFonts w:ascii="Times New Roman" w:hAnsi="Times New Roman"/>
          <w:color w:val="000000"/>
          <w:kern w:val="24"/>
          <w:lang w:val="en-US"/>
        </w:rPr>
        <w:t>with the indicated antibody</w:t>
      </w:r>
      <w:r>
        <w:rPr>
          <w:rFonts w:ascii="Times New Roman" w:hAnsi="Times New Roman"/>
          <w:color w:val="000000"/>
          <w:kern w:val="24"/>
        </w:rPr>
        <w:t xml:space="preserve">. IgG serves as a negative control. </w:t>
      </w:r>
      <w:r>
        <w:rPr>
          <w:rFonts w:ascii="Times New Roman" w:hAnsi="Times New Roman"/>
          <w:b/>
          <w:bCs/>
          <w:color w:val="000000"/>
          <w:kern w:val="24"/>
        </w:rPr>
        <w:t xml:space="preserve">C, </w:t>
      </w:r>
      <w:proofErr w:type="spellStart"/>
      <w:r>
        <w:rPr>
          <w:rFonts w:ascii="Times New Roman" w:hAnsi="Times New Roman"/>
          <w:color w:val="000000"/>
          <w:kern w:val="24"/>
        </w:rPr>
        <w:t>ChIP-reChIP</w:t>
      </w:r>
      <w:proofErr w:type="spellEnd"/>
      <w:r>
        <w:rPr>
          <w:rFonts w:ascii="Times New Roman" w:hAnsi="Times New Roman"/>
          <w:color w:val="000000"/>
          <w:kern w:val="24"/>
        </w:rPr>
        <w:t xml:space="preserve"> analysis of chromatin from SMARCA4-KO HCT116 cells after transfection with SMARCA4-WT or R1157W mutant plasmids. The first antibody (H4R3me2a) and second antibody (SMARCA4) used in the </w:t>
      </w:r>
      <w:proofErr w:type="spellStart"/>
      <w:r>
        <w:rPr>
          <w:rFonts w:ascii="Times New Roman" w:hAnsi="Times New Roman"/>
          <w:color w:val="000000"/>
          <w:kern w:val="24"/>
        </w:rPr>
        <w:t>reChIP</w:t>
      </w:r>
      <w:proofErr w:type="spellEnd"/>
      <w:r>
        <w:rPr>
          <w:rFonts w:ascii="Times New Roman" w:hAnsi="Times New Roman"/>
          <w:color w:val="000000"/>
          <w:kern w:val="24"/>
        </w:rPr>
        <w:t xml:space="preserve"> are shown below the bar plot. The amount recovered from the </w:t>
      </w:r>
      <w:proofErr w:type="spellStart"/>
      <w:r>
        <w:rPr>
          <w:rFonts w:ascii="Times New Roman" w:hAnsi="Times New Roman"/>
          <w:color w:val="000000"/>
          <w:kern w:val="24"/>
        </w:rPr>
        <w:t>reChIP</w:t>
      </w:r>
      <w:proofErr w:type="spellEnd"/>
      <w:r>
        <w:rPr>
          <w:rFonts w:ascii="Times New Roman" w:hAnsi="Times New Roman"/>
          <w:color w:val="000000"/>
          <w:kern w:val="24"/>
        </w:rPr>
        <w:t xml:space="preserve"> was determined by qPCR and is shown as values relative to IgG. *</w:t>
      </w:r>
      <w:r>
        <w:rPr>
          <w:rFonts w:ascii="Times New Roman" w:hAnsi="Times New Roman"/>
          <w:i/>
          <w:iCs/>
          <w:color w:val="000000"/>
          <w:kern w:val="24"/>
        </w:rPr>
        <w:t>P</w:t>
      </w:r>
      <w:r>
        <w:rPr>
          <w:rFonts w:ascii="Times New Roman" w:hAnsi="Times New Roman"/>
          <w:color w:val="000000"/>
          <w:kern w:val="24"/>
        </w:rPr>
        <w:t xml:space="preserve"> &lt; 0.05.</w:t>
      </w: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270500" cy="4641850"/>
            <wp:effectExtent l="0" t="0" r="6350" b="6350"/>
            <wp:docPr id="3" name="Picture 3"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S4"/>
                    <pic:cNvPicPr>
                      <a:picLocks noChangeAspect="1" noChangeArrowheads="1"/>
                    </pic:cNvPicPr>
                  </pic:nvPicPr>
                  <pic:blipFill>
                    <a:blip r:embed="rId8" cstate="print">
                      <a:extLst>
                        <a:ext uri="{28A0092B-C50C-407E-A947-70E740481C1C}">
                          <a14:useLocalDpi xmlns:a14="http://schemas.microsoft.com/office/drawing/2010/main" val="0"/>
                        </a:ext>
                      </a:extLst>
                    </a:blip>
                    <a:srcRect b="39041"/>
                    <a:stretch>
                      <a:fillRect/>
                    </a:stretch>
                  </pic:blipFill>
                  <pic:spPr bwMode="auto">
                    <a:xfrm>
                      <a:off x="0" y="0"/>
                      <a:ext cx="5270500" cy="464185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szCs w:val="24"/>
        </w:rPr>
      </w:pPr>
      <w:r>
        <w:rPr>
          <w:rFonts w:ascii="Times New Roman" w:hAnsi="Times New Roman"/>
          <w:b/>
          <w:sz w:val="24"/>
          <w:szCs w:val="24"/>
        </w:rPr>
        <w:t>Figure S4.</w:t>
      </w:r>
      <w:r>
        <w:rPr>
          <w:rFonts w:ascii="Times New Roman" w:hAnsi="Times New Roman"/>
          <w:sz w:val="24"/>
          <w:szCs w:val="24"/>
        </w:rPr>
        <w:t xml:space="preserve"> The SMARCA4-R1157W mutant reinforces expression of EGFR and TNS4 in SW620 cells. </w:t>
      </w:r>
      <w:r>
        <w:rPr>
          <w:rFonts w:ascii="Times New Roman" w:hAnsi="Times New Roman"/>
          <w:b/>
          <w:sz w:val="24"/>
          <w:szCs w:val="24"/>
        </w:rPr>
        <w:t>A,</w:t>
      </w:r>
      <w:r>
        <w:rPr>
          <w:rFonts w:ascii="Times New Roman" w:hAnsi="Times New Roman"/>
          <w:sz w:val="24"/>
          <w:szCs w:val="24"/>
        </w:rPr>
        <w:t xml:space="preserve"> Quantitative real-time PCR analysis of SMARCA4, EGFR, and TNS4 mRNA levels normalized to GAPDH in SW620 cells transfected with SMARCA4-WT or R1157W overexpression plasmids. **</w:t>
      </w:r>
      <w:r>
        <w:rPr>
          <w:rFonts w:ascii="Times New Roman" w:hAnsi="Times New Roman"/>
          <w:i/>
          <w:sz w:val="24"/>
          <w:szCs w:val="24"/>
        </w:rPr>
        <w:t>P</w:t>
      </w:r>
      <w:r>
        <w:rPr>
          <w:rFonts w:ascii="Times New Roman" w:hAnsi="Times New Roman"/>
          <w:sz w:val="24"/>
          <w:szCs w:val="24"/>
        </w:rPr>
        <w:t xml:space="preserve"> &lt; 0.01, ***</w:t>
      </w:r>
      <w:r>
        <w:rPr>
          <w:rFonts w:ascii="Times New Roman" w:hAnsi="Times New Roman"/>
          <w:i/>
          <w:sz w:val="24"/>
          <w:szCs w:val="24"/>
        </w:rPr>
        <w:t>P</w:t>
      </w:r>
      <w:r>
        <w:rPr>
          <w:rFonts w:ascii="Times New Roman" w:hAnsi="Times New Roman"/>
          <w:sz w:val="24"/>
          <w:szCs w:val="24"/>
        </w:rPr>
        <w:t xml:space="preserve"> &lt; 0.001. </w:t>
      </w:r>
      <w:r>
        <w:rPr>
          <w:rFonts w:ascii="Times New Roman" w:hAnsi="Times New Roman"/>
          <w:b/>
          <w:sz w:val="24"/>
          <w:szCs w:val="24"/>
        </w:rPr>
        <w:t>B,</w:t>
      </w:r>
      <w:r>
        <w:rPr>
          <w:rFonts w:ascii="Times New Roman" w:hAnsi="Times New Roman"/>
          <w:sz w:val="24"/>
          <w:szCs w:val="24"/>
        </w:rPr>
        <w:t xml:space="preserve"> Western blot analysis of indicated proteins in SW620 cells transfected with SMARCA4-WT or SMARCA4-R1157W overexpression plasmids. GAPDH served as a loading control. </w:t>
      </w:r>
      <w:r>
        <w:rPr>
          <w:rFonts w:ascii="Times New Roman" w:hAnsi="Times New Roman"/>
          <w:b/>
          <w:sz w:val="24"/>
          <w:szCs w:val="24"/>
        </w:rPr>
        <w:t>C,</w:t>
      </w:r>
      <w:r>
        <w:rPr>
          <w:rFonts w:ascii="Times New Roman" w:hAnsi="Times New Roman"/>
          <w:sz w:val="24"/>
          <w:szCs w:val="24"/>
        </w:rPr>
        <w:t xml:space="preserve"> </w:t>
      </w:r>
      <w:proofErr w:type="spellStart"/>
      <w:r>
        <w:rPr>
          <w:rFonts w:ascii="Times New Roman" w:hAnsi="Times New Roman"/>
          <w:sz w:val="24"/>
          <w:szCs w:val="24"/>
        </w:rPr>
        <w:t>ChIP</w:t>
      </w:r>
      <w:proofErr w:type="spellEnd"/>
      <w:r>
        <w:rPr>
          <w:rFonts w:ascii="Times New Roman" w:hAnsi="Times New Roman"/>
          <w:sz w:val="24"/>
          <w:szCs w:val="24"/>
        </w:rPr>
        <w:t xml:space="preserve"> analysis of SMARCA4-WT and SMARCA4-R1157W binding to the EGFR and TNS4 promoter in SW620 cells.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i/>
          <w:sz w:val="24"/>
          <w:szCs w:val="24"/>
        </w:rPr>
        <w:t>P</w:t>
      </w:r>
      <w:r>
        <w:rPr>
          <w:rFonts w:ascii="Times New Roman" w:hAnsi="Times New Roman"/>
          <w:sz w:val="24"/>
          <w:szCs w:val="24"/>
        </w:rPr>
        <w:t xml:space="preserve"> &lt; 0.01. </w:t>
      </w:r>
      <w:r>
        <w:rPr>
          <w:rFonts w:ascii="Times New Roman" w:hAnsi="Times New Roman"/>
          <w:b/>
          <w:sz w:val="24"/>
          <w:szCs w:val="24"/>
        </w:rPr>
        <w:t>D-F,</w:t>
      </w:r>
      <w:r>
        <w:rPr>
          <w:rFonts w:ascii="Times New Roman" w:hAnsi="Times New Roman"/>
          <w:sz w:val="24"/>
          <w:szCs w:val="24"/>
        </w:rPr>
        <w:t xml:space="preserve"> CRISPR/Cas9 was used to knockout SMARCA4 in SW620 cells, and SMARCA4-WT or SMARCA4-R1157W plasmids were transfected into SMARCA4-KO cells. CCK-8 assay (</w:t>
      </w:r>
      <w:r>
        <w:rPr>
          <w:rFonts w:ascii="Times New Roman" w:hAnsi="Times New Roman"/>
          <w:b/>
          <w:sz w:val="24"/>
          <w:szCs w:val="24"/>
        </w:rPr>
        <w:t>D</w:t>
      </w:r>
      <w:r>
        <w:rPr>
          <w:rFonts w:ascii="Times New Roman" w:hAnsi="Times New Roman"/>
          <w:sz w:val="24"/>
          <w:szCs w:val="24"/>
        </w:rPr>
        <w:t>) was used to detect proliferation of cells in each group. Colony formation assay (</w:t>
      </w:r>
      <w:r>
        <w:rPr>
          <w:rFonts w:ascii="Times New Roman" w:hAnsi="Times New Roman"/>
          <w:b/>
          <w:sz w:val="24"/>
          <w:szCs w:val="24"/>
        </w:rPr>
        <w:t>E</w:t>
      </w:r>
      <w:r>
        <w:rPr>
          <w:rFonts w:ascii="Times New Roman" w:hAnsi="Times New Roman"/>
          <w:sz w:val="24"/>
          <w:szCs w:val="24"/>
        </w:rPr>
        <w:t xml:space="preserve">) was used to </w:t>
      </w:r>
      <w:r>
        <w:rPr>
          <w:rFonts w:ascii="Times New Roman" w:hAnsi="Times New Roman"/>
          <w:sz w:val="24"/>
          <w:szCs w:val="24"/>
        </w:rPr>
        <w:lastRenderedPageBreak/>
        <w:t xml:space="preserve">detect the </w:t>
      </w:r>
      <w:proofErr w:type="spellStart"/>
      <w:r>
        <w:rPr>
          <w:rFonts w:ascii="Times New Roman" w:hAnsi="Times New Roman"/>
          <w:sz w:val="24"/>
          <w:szCs w:val="24"/>
        </w:rPr>
        <w:t>clonogenesis</w:t>
      </w:r>
      <w:proofErr w:type="spellEnd"/>
      <w:r>
        <w:rPr>
          <w:rFonts w:ascii="Times New Roman" w:hAnsi="Times New Roman"/>
          <w:sz w:val="24"/>
          <w:szCs w:val="24"/>
        </w:rPr>
        <w:t xml:space="preserve"> of cells in each group. Migration assay (</w:t>
      </w:r>
      <w:r>
        <w:rPr>
          <w:rFonts w:ascii="Times New Roman" w:hAnsi="Times New Roman"/>
          <w:b/>
          <w:sz w:val="24"/>
          <w:szCs w:val="24"/>
        </w:rPr>
        <w:t>F</w:t>
      </w:r>
      <w:r>
        <w:rPr>
          <w:rFonts w:ascii="Times New Roman" w:hAnsi="Times New Roman"/>
          <w:sz w:val="24"/>
          <w:szCs w:val="24"/>
        </w:rPr>
        <w:t>) was used to detect migration of cells in each group.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i/>
          <w:sz w:val="24"/>
          <w:szCs w:val="24"/>
        </w:rPr>
        <w:t>P</w:t>
      </w:r>
      <w:r>
        <w:rPr>
          <w:rFonts w:ascii="Times New Roman" w:hAnsi="Times New Roman"/>
          <w:sz w:val="24"/>
          <w:szCs w:val="24"/>
        </w:rPr>
        <w:t xml:space="preserve"> &lt; 0.01, ***</w:t>
      </w:r>
      <w:r>
        <w:rPr>
          <w:rFonts w:ascii="Times New Roman" w:hAnsi="Times New Roman"/>
          <w:i/>
          <w:sz w:val="24"/>
          <w:szCs w:val="24"/>
        </w:rPr>
        <w:t>P</w:t>
      </w:r>
      <w:r>
        <w:rPr>
          <w:rFonts w:ascii="Times New Roman" w:hAnsi="Times New Roman"/>
          <w:sz w:val="24"/>
          <w:szCs w:val="24"/>
        </w:rPr>
        <w:t xml:space="preserve"> &lt; 0.001. </w:t>
      </w:r>
      <w:r>
        <w:rPr>
          <w:rFonts w:ascii="Times New Roman" w:hAnsi="Times New Roman"/>
          <w:b/>
          <w:sz w:val="24"/>
          <w:szCs w:val="24"/>
        </w:rPr>
        <w:t>G,</w:t>
      </w:r>
      <w:r>
        <w:rPr>
          <w:rFonts w:ascii="Times New Roman" w:hAnsi="Times New Roman"/>
          <w:sz w:val="24"/>
          <w:szCs w:val="24"/>
        </w:rPr>
        <w:t xml:space="preserve"> Quantitative real-time PCR analysis of SMARCA4, EGFR, and TNS4 mRNA levels normalized to GAPDH in SMARCA4-KO SW620 cells transfected with SMARCA4-WT or SMARCA4-R1157W plasmids.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i/>
          <w:sz w:val="24"/>
          <w:szCs w:val="24"/>
        </w:rPr>
        <w:t>P</w:t>
      </w:r>
      <w:r>
        <w:rPr>
          <w:rFonts w:ascii="Times New Roman" w:hAnsi="Times New Roman"/>
          <w:sz w:val="24"/>
          <w:szCs w:val="24"/>
        </w:rPr>
        <w:t xml:space="preserve"> &lt; 0.01, ***</w:t>
      </w:r>
      <w:r>
        <w:rPr>
          <w:rFonts w:ascii="Times New Roman" w:hAnsi="Times New Roman"/>
          <w:i/>
          <w:sz w:val="24"/>
          <w:szCs w:val="24"/>
        </w:rPr>
        <w:t>P</w:t>
      </w:r>
      <w:r>
        <w:rPr>
          <w:rFonts w:ascii="Times New Roman" w:hAnsi="Times New Roman"/>
          <w:sz w:val="24"/>
          <w:szCs w:val="24"/>
        </w:rPr>
        <w:t xml:space="preserve"> &lt; 0.001. </w:t>
      </w:r>
      <w:r>
        <w:rPr>
          <w:rFonts w:ascii="Times New Roman" w:hAnsi="Times New Roman"/>
          <w:b/>
          <w:sz w:val="24"/>
          <w:szCs w:val="24"/>
        </w:rPr>
        <w:t>H,</w:t>
      </w:r>
      <w:r>
        <w:rPr>
          <w:rFonts w:ascii="Times New Roman" w:hAnsi="Times New Roman"/>
          <w:sz w:val="24"/>
          <w:szCs w:val="24"/>
        </w:rPr>
        <w:t xml:space="preserve"> Western blot analysis of indicated proteins in SMARCA4-KO SW620 cells transfected with SMARCA4-WT or SMARCA4-R1157W plasmids. GAPDH served as a loading control.</w:t>
      </w: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270500" cy="5232400"/>
            <wp:effectExtent l="0" t="0" r="6350" b="6350"/>
            <wp:docPr id="2" name="Picture 2"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S5"/>
                    <pic:cNvPicPr>
                      <a:picLocks noChangeAspect="1" noChangeArrowheads="1"/>
                    </pic:cNvPicPr>
                  </pic:nvPicPr>
                  <pic:blipFill>
                    <a:blip r:embed="rId9" cstate="print">
                      <a:extLst>
                        <a:ext uri="{28A0092B-C50C-407E-A947-70E740481C1C}">
                          <a14:useLocalDpi xmlns:a14="http://schemas.microsoft.com/office/drawing/2010/main" val="0"/>
                        </a:ext>
                      </a:extLst>
                    </a:blip>
                    <a:srcRect b="31331"/>
                    <a:stretch>
                      <a:fillRect/>
                    </a:stretch>
                  </pic:blipFill>
                  <pic:spPr bwMode="auto">
                    <a:xfrm>
                      <a:off x="0" y="0"/>
                      <a:ext cx="5270500" cy="523240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szCs w:val="24"/>
        </w:rPr>
      </w:pPr>
      <w:r>
        <w:rPr>
          <w:rFonts w:ascii="Times New Roman" w:hAnsi="Times New Roman"/>
          <w:b/>
          <w:sz w:val="24"/>
          <w:szCs w:val="24"/>
        </w:rPr>
        <w:t>Figure S5.</w:t>
      </w:r>
      <w:r>
        <w:rPr>
          <w:rFonts w:ascii="Times New Roman" w:hAnsi="Times New Roman"/>
          <w:sz w:val="24"/>
          <w:szCs w:val="24"/>
        </w:rPr>
        <w:t xml:space="preserve"> Synergistic effect of combined treatment with GSK-</w:t>
      </w:r>
      <w:proofErr w:type="spellStart"/>
      <w:r>
        <w:rPr>
          <w:rFonts w:ascii="Times New Roman" w:hAnsi="Times New Roman"/>
          <w:sz w:val="24"/>
          <w:szCs w:val="24"/>
        </w:rPr>
        <w:t>PTi</w:t>
      </w:r>
      <w:proofErr w:type="spellEnd"/>
      <w:r>
        <w:rPr>
          <w:rFonts w:ascii="Times New Roman" w:hAnsi="Times New Roman"/>
          <w:sz w:val="24"/>
          <w:szCs w:val="24"/>
        </w:rPr>
        <w:t xml:space="preserve"> and BBAi-1 in SMARCA4-R1157W SW620 cells. </w:t>
      </w:r>
      <w:r>
        <w:rPr>
          <w:rFonts w:ascii="Times New Roman" w:hAnsi="Times New Roman"/>
          <w:b/>
          <w:sz w:val="24"/>
          <w:szCs w:val="24"/>
        </w:rPr>
        <w:t>A,</w:t>
      </w:r>
      <w:r>
        <w:rPr>
          <w:rFonts w:ascii="Times New Roman" w:hAnsi="Times New Roman"/>
          <w:sz w:val="24"/>
          <w:szCs w:val="24"/>
        </w:rPr>
        <w:t xml:space="preserve"> Drug dose-response matrix for growth inhibition of SMARCA4-WT or -R1157W SW620 cells following 7-day culture with GSK-</w:t>
      </w:r>
      <w:proofErr w:type="spellStart"/>
      <w:r>
        <w:rPr>
          <w:rFonts w:ascii="Times New Roman" w:hAnsi="Times New Roman"/>
          <w:sz w:val="24"/>
          <w:szCs w:val="24"/>
        </w:rPr>
        <w:t>PTi</w:t>
      </w:r>
      <w:proofErr w:type="spellEnd"/>
      <w:r>
        <w:rPr>
          <w:rFonts w:ascii="Times New Roman" w:hAnsi="Times New Roman"/>
          <w:sz w:val="24"/>
          <w:szCs w:val="24"/>
        </w:rPr>
        <w:t xml:space="preserve"> plus BBAi-1. Color gradation indicates percent viability at the indicated dose combination. Combination index (CI) plots for 5 </w:t>
      </w:r>
      <w:proofErr w:type="spellStart"/>
      <w:r>
        <w:rPr>
          <w:rFonts w:ascii="Times New Roman" w:hAnsi="Times New Roman"/>
          <w:sz w:val="24"/>
          <w:szCs w:val="24"/>
        </w:rPr>
        <w:t>μM</w:t>
      </w:r>
      <w:proofErr w:type="spellEnd"/>
      <w:r>
        <w:rPr>
          <w:rFonts w:ascii="Times New Roman" w:hAnsi="Times New Roman"/>
          <w:sz w:val="24"/>
          <w:szCs w:val="24"/>
        </w:rPr>
        <w:t xml:space="preserve"> BBAi-1 or 5 </w:t>
      </w:r>
      <w:proofErr w:type="spellStart"/>
      <w:r>
        <w:rPr>
          <w:rFonts w:ascii="Times New Roman" w:hAnsi="Times New Roman"/>
          <w:sz w:val="24"/>
          <w:szCs w:val="24"/>
        </w:rPr>
        <w:t>μM</w:t>
      </w:r>
      <w:proofErr w:type="spellEnd"/>
      <w:r>
        <w:rPr>
          <w:rFonts w:ascii="Times New Roman" w:hAnsi="Times New Roman"/>
          <w:sz w:val="24"/>
          <w:szCs w:val="24"/>
        </w:rPr>
        <w:t xml:space="preserve"> GSK-</w:t>
      </w:r>
      <w:proofErr w:type="spellStart"/>
      <w:r>
        <w:rPr>
          <w:rFonts w:ascii="Times New Roman" w:hAnsi="Times New Roman"/>
          <w:sz w:val="24"/>
          <w:szCs w:val="24"/>
        </w:rPr>
        <w:t>PTi</w:t>
      </w:r>
      <w:proofErr w:type="spellEnd"/>
      <w:r>
        <w:rPr>
          <w:rFonts w:ascii="Times New Roman" w:hAnsi="Times New Roman"/>
          <w:sz w:val="24"/>
          <w:szCs w:val="24"/>
        </w:rPr>
        <w:t xml:space="preserve"> with graded doses of GSK-</w:t>
      </w:r>
      <w:proofErr w:type="spellStart"/>
      <w:r>
        <w:rPr>
          <w:rFonts w:ascii="Times New Roman" w:hAnsi="Times New Roman"/>
          <w:sz w:val="24"/>
          <w:szCs w:val="24"/>
        </w:rPr>
        <w:t>PTi</w:t>
      </w:r>
      <w:proofErr w:type="spellEnd"/>
      <w:r>
        <w:rPr>
          <w:rFonts w:ascii="Times New Roman" w:hAnsi="Times New Roman"/>
          <w:sz w:val="24"/>
          <w:szCs w:val="24"/>
        </w:rPr>
        <w:t xml:space="preserve"> (top) or BBAi-1 (bottom) in SMARCA4-</w:t>
      </w:r>
      <w:proofErr w:type="gramStart"/>
      <w:r>
        <w:rPr>
          <w:rFonts w:ascii="Times New Roman" w:hAnsi="Times New Roman"/>
          <w:sz w:val="24"/>
          <w:szCs w:val="24"/>
        </w:rPr>
        <w:t>WT  or</w:t>
      </w:r>
      <w:proofErr w:type="gramEnd"/>
      <w:r>
        <w:rPr>
          <w:rFonts w:ascii="Times New Roman" w:hAnsi="Times New Roman"/>
          <w:sz w:val="24"/>
          <w:szCs w:val="24"/>
        </w:rPr>
        <w:t xml:space="preserve"> -R1157W SW620 cells. </w:t>
      </w:r>
      <w:r>
        <w:rPr>
          <w:rFonts w:ascii="Times New Roman" w:hAnsi="Times New Roman"/>
          <w:b/>
          <w:sz w:val="24"/>
          <w:szCs w:val="24"/>
        </w:rPr>
        <w:t>B and C,</w:t>
      </w:r>
      <w:r>
        <w:rPr>
          <w:rFonts w:ascii="Times New Roman" w:hAnsi="Times New Roman"/>
          <w:sz w:val="24"/>
          <w:szCs w:val="24"/>
        </w:rPr>
        <w:t xml:space="preserve"> CCK8 (</w:t>
      </w:r>
      <w:r>
        <w:rPr>
          <w:rFonts w:ascii="Times New Roman" w:hAnsi="Times New Roman"/>
          <w:b/>
          <w:sz w:val="24"/>
          <w:szCs w:val="24"/>
        </w:rPr>
        <w:t>B</w:t>
      </w:r>
      <w:r>
        <w:rPr>
          <w:rFonts w:ascii="Times New Roman" w:hAnsi="Times New Roman"/>
          <w:sz w:val="24"/>
          <w:szCs w:val="24"/>
        </w:rPr>
        <w:t>) and colony formation (</w:t>
      </w:r>
      <w:r>
        <w:rPr>
          <w:rFonts w:ascii="Times New Roman" w:hAnsi="Times New Roman"/>
          <w:b/>
          <w:sz w:val="24"/>
          <w:szCs w:val="24"/>
        </w:rPr>
        <w:t>C</w:t>
      </w:r>
      <w:r>
        <w:rPr>
          <w:rFonts w:ascii="Times New Roman" w:hAnsi="Times New Roman"/>
          <w:sz w:val="24"/>
          <w:szCs w:val="24"/>
        </w:rPr>
        <w:t xml:space="preserve">) assay were performed to evaluate the effect of the combination treatment with 5 </w:t>
      </w:r>
      <w:proofErr w:type="spellStart"/>
      <w:r>
        <w:rPr>
          <w:rFonts w:ascii="Times New Roman" w:hAnsi="Times New Roman"/>
          <w:sz w:val="24"/>
          <w:szCs w:val="24"/>
        </w:rPr>
        <w:t>μM</w:t>
      </w:r>
      <w:proofErr w:type="spellEnd"/>
      <w:r>
        <w:rPr>
          <w:rFonts w:ascii="Times New Roman" w:hAnsi="Times New Roman"/>
          <w:sz w:val="24"/>
          <w:szCs w:val="24"/>
        </w:rPr>
        <w:t xml:space="preserve"> GSK-</w:t>
      </w:r>
      <w:proofErr w:type="spellStart"/>
      <w:r>
        <w:rPr>
          <w:rFonts w:ascii="Times New Roman" w:hAnsi="Times New Roman"/>
          <w:sz w:val="24"/>
          <w:szCs w:val="24"/>
        </w:rPr>
        <w:t>PTi</w:t>
      </w:r>
      <w:proofErr w:type="spellEnd"/>
      <w:r>
        <w:rPr>
          <w:rFonts w:ascii="Times New Roman" w:hAnsi="Times New Roman"/>
          <w:sz w:val="24"/>
          <w:szCs w:val="24"/>
        </w:rPr>
        <w:t xml:space="preserve"> and 5 </w:t>
      </w:r>
      <w:proofErr w:type="spellStart"/>
      <w:r>
        <w:rPr>
          <w:rFonts w:ascii="Times New Roman" w:hAnsi="Times New Roman"/>
          <w:sz w:val="24"/>
          <w:szCs w:val="24"/>
        </w:rPr>
        <w:t>μM</w:t>
      </w:r>
      <w:proofErr w:type="spellEnd"/>
      <w:r>
        <w:rPr>
          <w:rFonts w:ascii="Times New Roman" w:hAnsi="Times New Roman"/>
          <w:sz w:val="24"/>
          <w:szCs w:val="24"/>
        </w:rPr>
        <w:t xml:space="preserve"> BBAi-1 on cell proliferation of SMARCA4-WT or -R1157W SW620 cells. *</w:t>
      </w:r>
      <w:r>
        <w:rPr>
          <w:rFonts w:ascii="Times New Roman" w:hAnsi="Times New Roman"/>
          <w:i/>
          <w:sz w:val="24"/>
          <w:szCs w:val="24"/>
        </w:rPr>
        <w:t>P</w:t>
      </w:r>
      <w:r>
        <w:rPr>
          <w:rFonts w:ascii="Times New Roman" w:hAnsi="Times New Roman"/>
          <w:sz w:val="24"/>
          <w:szCs w:val="24"/>
        </w:rPr>
        <w:t xml:space="preserve"> &lt; 0.05. </w:t>
      </w:r>
      <w:r>
        <w:rPr>
          <w:rFonts w:ascii="Times New Roman" w:hAnsi="Times New Roman"/>
          <w:b/>
          <w:sz w:val="24"/>
          <w:szCs w:val="24"/>
        </w:rPr>
        <w:t>D,</w:t>
      </w:r>
      <w:r>
        <w:rPr>
          <w:rFonts w:ascii="Times New Roman" w:hAnsi="Times New Roman"/>
          <w:sz w:val="24"/>
          <w:szCs w:val="24"/>
        </w:rPr>
        <w:t xml:space="preserve"> Western </w:t>
      </w:r>
      <w:r>
        <w:rPr>
          <w:rFonts w:ascii="Times New Roman" w:hAnsi="Times New Roman"/>
          <w:sz w:val="24"/>
          <w:szCs w:val="24"/>
        </w:rPr>
        <w:lastRenderedPageBreak/>
        <w:t xml:space="preserve">blot analysis of indicated proteins in SMARCA4-WT or -R1157W SW620 cells following treatment with 5 </w:t>
      </w:r>
      <w:proofErr w:type="spellStart"/>
      <w:r>
        <w:rPr>
          <w:rFonts w:ascii="Times New Roman" w:hAnsi="Times New Roman"/>
          <w:sz w:val="24"/>
          <w:szCs w:val="24"/>
        </w:rPr>
        <w:t>μM</w:t>
      </w:r>
      <w:proofErr w:type="spellEnd"/>
      <w:r>
        <w:rPr>
          <w:rFonts w:ascii="Times New Roman" w:hAnsi="Times New Roman"/>
          <w:sz w:val="24"/>
          <w:szCs w:val="24"/>
        </w:rPr>
        <w:t xml:space="preserve"> GSK-</w:t>
      </w:r>
      <w:proofErr w:type="spellStart"/>
      <w:r>
        <w:rPr>
          <w:rFonts w:ascii="Times New Roman" w:hAnsi="Times New Roman"/>
          <w:sz w:val="24"/>
          <w:szCs w:val="24"/>
        </w:rPr>
        <w:t>PTi</w:t>
      </w:r>
      <w:proofErr w:type="spellEnd"/>
      <w:r>
        <w:rPr>
          <w:rFonts w:ascii="Times New Roman" w:hAnsi="Times New Roman"/>
          <w:sz w:val="24"/>
          <w:szCs w:val="24"/>
        </w:rPr>
        <w:t xml:space="preserve"> or 5 </w:t>
      </w:r>
      <w:proofErr w:type="spellStart"/>
      <w:r>
        <w:rPr>
          <w:rFonts w:ascii="Times New Roman" w:hAnsi="Times New Roman"/>
          <w:sz w:val="24"/>
          <w:szCs w:val="24"/>
        </w:rPr>
        <w:t>μM</w:t>
      </w:r>
      <w:proofErr w:type="spellEnd"/>
      <w:r>
        <w:rPr>
          <w:rFonts w:ascii="Times New Roman" w:hAnsi="Times New Roman"/>
          <w:sz w:val="24"/>
          <w:szCs w:val="24"/>
        </w:rPr>
        <w:t xml:space="preserve"> BBAi-1. Histone H4 and GAPDH were used as loading control.</w:t>
      </w:r>
    </w:p>
    <w:p w:rsidR="000E4ED4" w:rsidRDefault="000E4ED4" w:rsidP="000E4ED4">
      <w:pPr>
        <w:spacing w:line="480" w:lineRule="auto"/>
        <w:rPr>
          <w:rFonts w:ascii="Times New Roman" w:hAnsi="Times New Roman"/>
          <w:sz w:val="24"/>
          <w:szCs w:val="24"/>
        </w:rPr>
      </w:pPr>
    </w:p>
    <w:p w:rsidR="000E4ED4" w:rsidRDefault="000E4ED4" w:rsidP="000E4ED4">
      <w:pPr>
        <w:spacing w:line="480" w:lineRule="auto"/>
        <w:rPr>
          <w:rFonts w:ascii="Times New Roman" w:hAnsi="Times New Roman"/>
          <w:sz w:val="24"/>
          <w:szCs w:val="24"/>
        </w:rPr>
      </w:pPr>
    </w:p>
    <w:p w:rsidR="000E4ED4" w:rsidRDefault="000E4ED4" w:rsidP="000E4ED4">
      <w:pPr>
        <w:spacing w:line="480" w:lineRule="auto"/>
        <w:jc w:val="center"/>
        <w:rPr>
          <w:rFonts w:ascii="Times New Roman" w:hAnsi="Times New Roman"/>
          <w:sz w:val="24"/>
          <w:szCs w:val="24"/>
        </w:rPr>
      </w:pPr>
      <w:r>
        <w:rPr>
          <w:rFonts w:ascii="Times New Roman" w:hAnsi="Times New Roman"/>
          <w:noProof/>
          <w:sz w:val="24"/>
          <w:szCs w:val="24"/>
          <w:lang w:eastAsia="en-US"/>
        </w:rPr>
        <w:drawing>
          <wp:inline distT="0" distB="0" distL="0" distR="0">
            <wp:extent cx="5270500" cy="2247900"/>
            <wp:effectExtent l="0" t="0" r="6350" b="0"/>
            <wp:docPr id="1" name="Picture 1"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S6"/>
                    <pic:cNvPicPr>
                      <a:picLocks noChangeAspect="1" noChangeArrowheads="1"/>
                    </pic:cNvPicPr>
                  </pic:nvPicPr>
                  <pic:blipFill>
                    <a:blip r:embed="rId10" cstate="print">
                      <a:extLst>
                        <a:ext uri="{28A0092B-C50C-407E-A947-70E740481C1C}">
                          <a14:useLocalDpi xmlns:a14="http://schemas.microsoft.com/office/drawing/2010/main" val="0"/>
                        </a:ext>
                      </a:extLst>
                    </a:blip>
                    <a:srcRect b="70471"/>
                    <a:stretch>
                      <a:fillRect/>
                    </a:stretch>
                  </pic:blipFill>
                  <pic:spPr bwMode="auto">
                    <a:xfrm>
                      <a:off x="0" y="0"/>
                      <a:ext cx="5270500" cy="2247900"/>
                    </a:xfrm>
                    <a:prstGeom prst="rect">
                      <a:avLst/>
                    </a:prstGeom>
                    <a:noFill/>
                    <a:ln>
                      <a:noFill/>
                    </a:ln>
                  </pic:spPr>
                </pic:pic>
              </a:graphicData>
            </a:graphic>
          </wp:inline>
        </w:drawing>
      </w:r>
    </w:p>
    <w:p w:rsidR="000E4ED4" w:rsidRDefault="000E4ED4" w:rsidP="000E4ED4">
      <w:pPr>
        <w:spacing w:line="480" w:lineRule="auto"/>
        <w:rPr>
          <w:rFonts w:ascii="Times New Roman" w:hAnsi="Times New Roman"/>
          <w:sz w:val="24"/>
          <w:szCs w:val="24"/>
        </w:rPr>
      </w:pPr>
      <w:r>
        <w:rPr>
          <w:rFonts w:ascii="Times New Roman" w:hAnsi="Times New Roman"/>
          <w:b/>
          <w:sz w:val="24"/>
          <w:szCs w:val="24"/>
        </w:rPr>
        <w:t>Figure S6.</w:t>
      </w:r>
      <w:r>
        <w:rPr>
          <w:rFonts w:ascii="Times New Roman" w:hAnsi="Times New Roman"/>
          <w:sz w:val="24"/>
          <w:szCs w:val="24"/>
        </w:rPr>
        <w:t xml:space="preserve"> The binding of SMARCA2 </w:t>
      </w:r>
      <w:proofErr w:type="spellStart"/>
      <w:r>
        <w:rPr>
          <w:rFonts w:ascii="Times New Roman" w:hAnsi="Times New Roman"/>
          <w:sz w:val="24"/>
          <w:szCs w:val="24"/>
        </w:rPr>
        <w:t>HELICc</w:t>
      </w:r>
      <w:proofErr w:type="spellEnd"/>
      <w:r>
        <w:rPr>
          <w:rFonts w:ascii="Times New Roman" w:hAnsi="Times New Roman"/>
          <w:sz w:val="24"/>
          <w:szCs w:val="24"/>
        </w:rPr>
        <w:t xml:space="preserve"> domain to H4R3me2a. </w:t>
      </w:r>
      <w:r>
        <w:rPr>
          <w:rFonts w:ascii="Times New Roman" w:hAnsi="Times New Roman"/>
          <w:b/>
          <w:sz w:val="24"/>
          <w:szCs w:val="24"/>
        </w:rPr>
        <w:t>A,</w:t>
      </w:r>
      <w:r>
        <w:rPr>
          <w:rFonts w:hint="eastAsia"/>
          <w:sz w:val="24"/>
          <w:szCs w:val="24"/>
        </w:rPr>
        <w:t xml:space="preserve"> </w:t>
      </w:r>
      <w:r>
        <w:rPr>
          <w:rFonts w:ascii="Times New Roman" w:hAnsi="Times New Roman"/>
          <w:sz w:val="24"/>
          <w:szCs w:val="24"/>
        </w:rPr>
        <w:t xml:space="preserve">Comparison of the amino acid sequences of SMARCA2 and SMARCA4 </w:t>
      </w:r>
      <w:proofErr w:type="spellStart"/>
      <w:r>
        <w:rPr>
          <w:rFonts w:ascii="Times New Roman" w:hAnsi="Times New Roman"/>
          <w:sz w:val="24"/>
          <w:szCs w:val="24"/>
        </w:rPr>
        <w:t>HELICc</w:t>
      </w:r>
      <w:proofErr w:type="spellEnd"/>
      <w:r>
        <w:rPr>
          <w:rFonts w:ascii="Times New Roman" w:hAnsi="Times New Roman"/>
          <w:sz w:val="24"/>
          <w:szCs w:val="24"/>
        </w:rPr>
        <w:t xml:space="preserve"> domain and their mutations in CRC. </w:t>
      </w:r>
      <w:r>
        <w:rPr>
          <w:rFonts w:ascii="Times New Roman" w:hAnsi="Times New Roman"/>
          <w:b/>
          <w:sz w:val="24"/>
          <w:szCs w:val="24"/>
        </w:rPr>
        <w:t>B,</w:t>
      </w:r>
      <w:r>
        <w:rPr>
          <w:rFonts w:ascii="Times New Roman" w:hAnsi="Times New Roman"/>
          <w:sz w:val="24"/>
          <w:szCs w:val="24"/>
        </w:rPr>
        <w:t xml:space="preserve"> Peptide pulldown assays to detect the interaction between H4R3me2a peptide and SMARCA2 </w:t>
      </w:r>
      <w:proofErr w:type="spellStart"/>
      <w:r>
        <w:rPr>
          <w:rFonts w:ascii="Times New Roman" w:hAnsi="Times New Roman"/>
          <w:sz w:val="24"/>
          <w:szCs w:val="24"/>
        </w:rPr>
        <w:t>HELICc</w:t>
      </w:r>
      <w:proofErr w:type="spellEnd"/>
      <w:r>
        <w:rPr>
          <w:rFonts w:ascii="Times New Roman" w:hAnsi="Times New Roman"/>
          <w:sz w:val="24"/>
          <w:szCs w:val="24"/>
        </w:rPr>
        <w:t xml:space="preserve"> domain protein as a GST fusion protein. GST was used as a negative control.</w:t>
      </w:r>
    </w:p>
    <w:p w:rsidR="000E4ED4" w:rsidRDefault="000E4ED4" w:rsidP="000E4ED4">
      <w:pPr>
        <w:spacing w:line="480" w:lineRule="auto"/>
        <w:jc w:val="center"/>
        <w:rPr>
          <w:rFonts w:ascii="Times New Roman" w:hAnsi="Times New Roman"/>
          <w:sz w:val="24"/>
          <w:szCs w:val="24"/>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modern"/>
    <w:pitch w:val="fixed"/>
    <w:sig w:usb0="00000001" w:usb1="080E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ED4"/>
    <w:rsid w:val="000E4ED4"/>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F81774-BFD5-46B3-81C3-3758C2F35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4ED4"/>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WebChar">
    <w:name w:val="Normal (Web) Char"/>
    <w:link w:val="NormalWeb"/>
    <w:uiPriority w:val="99"/>
    <w:semiHidden/>
    <w:locked/>
    <w:rsid w:val="000E4ED4"/>
    <w:rPr>
      <w:rFonts w:ascii="SimSun" w:eastAsia="SimSun" w:hAnsi="SimSun"/>
      <w:sz w:val="24"/>
      <w:szCs w:val="24"/>
      <w:lang w:val="x-none" w:eastAsia="x-none"/>
    </w:rPr>
  </w:style>
  <w:style w:type="paragraph" w:styleId="NormalWeb">
    <w:name w:val="Normal (Web)"/>
    <w:basedOn w:val="Normal"/>
    <w:link w:val="NormalWebChar"/>
    <w:uiPriority w:val="99"/>
    <w:semiHidden/>
    <w:unhideWhenUsed/>
    <w:qFormat/>
    <w:rsid w:val="000E4ED4"/>
    <w:pPr>
      <w:widowControl/>
      <w:spacing w:before="100" w:beforeAutospacing="1" w:after="100" w:afterAutospacing="1"/>
      <w:jc w:val="left"/>
    </w:pPr>
    <w:rPr>
      <w:rFonts w:ascii="SimSun" w:eastAsia="SimSun" w:hAnsi="SimSun" w:cstheme="minorBidi"/>
      <w:kern w:val="0"/>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096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962</Words>
  <Characters>5488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2022-07-13T07:03:00Z</dcterms:created>
  <dcterms:modified xsi:type="dcterms:W3CDTF">2022-07-13T07:03:00Z</dcterms:modified>
</cp:coreProperties>
</file>