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24B" w:rsidRDefault="00EB3E17">
      <w:pPr>
        <w:jc w:val="center"/>
        <w:rPr>
          <w:rFonts w:cstheme="minorHAnsi"/>
          <w:b/>
        </w:rPr>
      </w:pPr>
      <w:r>
        <w:rPr>
          <w:rFonts w:cstheme="minorHAnsi"/>
          <w:b/>
        </w:rPr>
        <w:t>Supplementary</w:t>
      </w:r>
    </w:p>
    <w:p w:rsidR="0009124B" w:rsidRDefault="0009124B">
      <w:pPr>
        <w:jc w:val="center"/>
        <w:rPr>
          <w:sz w:val="10"/>
        </w:rPr>
      </w:pPr>
    </w:p>
    <w:p w:rsidR="0009124B" w:rsidRDefault="00EB3E17">
      <w:pPr>
        <w:pStyle w:val="NoSpacing"/>
        <w:spacing w:line="276" w:lineRule="auto"/>
        <w:jc w:val="center"/>
        <w:rPr>
          <w:rFonts w:eastAsiaTheme="majorEastAsia" w:cstheme="minorHAnsi"/>
          <w:b/>
          <w:spacing w:val="-10"/>
          <w:kern w:val="28"/>
          <w:sz w:val="28"/>
          <w:szCs w:val="41"/>
        </w:rPr>
      </w:pPr>
      <w:r>
        <w:rPr>
          <w:rFonts w:eastAsiaTheme="majorEastAsia" w:cstheme="minorHAnsi"/>
          <w:b/>
          <w:spacing w:val="-10"/>
          <w:kern w:val="28"/>
          <w:sz w:val="28"/>
          <w:szCs w:val="41"/>
        </w:rPr>
        <w:t>The potential of emerging bio-based products to reduce environmental impacts</w:t>
      </w:r>
    </w:p>
    <w:p w:rsidR="0009124B" w:rsidRDefault="0009124B">
      <w:pPr>
        <w:pStyle w:val="NoSpacing"/>
        <w:spacing w:line="276" w:lineRule="auto"/>
        <w:jc w:val="center"/>
        <w:rPr>
          <w:rFonts w:ascii="Times New Roman" w:hAnsi="Times New Roman" w:cs="Times New Roman"/>
        </w:rPr>
      </w:pPr>
    </w:p>
    <w:p w:rsidR="0009124B" w:rsidRDefault="00EB3E17">
      <w:pPr>
        <w:spacing w:after="0" w:line="480" w:lineRule="auto"/>
        <w:ind w:left="100"/>
        <w:jc w:val="center"/>
        <w:rPr>
          <w:rFonts w:cstheme="minorHAnsi"/>
          <w:szCs w:val="24"/>
          <w:vertAlign w:val="superscript"/>
        </w:rPr>
      </w:pPr>
      <w:r>
        <w:rPr>
          <w:rFonts w:cstheme="minorHAnsi"/>
          <w:sz w:val="20"/>
          <w:szCs w:val="24"/>
        </w:rPr>
        <w:t>Emma A R Zuiderveen</w:t>
      </w:r>
      <w:r>
        <w:rPr>
          <w:rFonts w:cstheme="minorHAnsi"/>
          <w:sz w:val="20"/>
          <w:szCs w:val="24"/>
          <w:vertAlign w:val="superscript"/>
        </w:rPr>
        <w:t>1,2</w:t>
      </w:r>
      <w:r>
        <w:rPr>
          <w:rFonts w:cstheme="minorHAnsi"/>
          <w:sz w:val="20"/>
          <w:szCs w:val="24"/>
        </w:rPr>
        <w:t xml:space="preserve">, Koen J </w:t>
      </w:r>
      <w:proofErr w:type="spellStart"/>
      <w:r>
        <w:rPr>
          <w:rFonts w:cstheme="minorHAnsi"/>
          <w:sz w:val="20"/>
          <w:szCs w:val="24"/>
        </w:rPr>
        <w:t>J</w:t>
      </w:r>
      <w:proofErr w:type="spellEnd"/>
      <w:r>
        <w:rPr>
          <w:rFonts w:cstheme="minorHAnsi"/>
          <w:sz w:val="20"/>
          <w:szCs w:val="24"/>
        </w:rPr>
        <w:t xml:space="preserve"> Kuipers</w:t>
      </w:r>
      <w:r>
        <w:rPr>
          <w:rFonts w:cstheme="minorHAnsi"/>
          <w:sz w:val="20"/>
          <w:szCs w:val="24"/>
          <w:vertAlign w:val="superscript"/>
        </w:rPr>
        <w:t>1</w:t>
      </w:r>
      <w:r>
        <w:rPr>
          <w:rFonts w:cstheme="minorHAnsi"/>
          <w:sz w:val="20"/>
          <w:szCs w:val="24"/>
        </w:rPr>
        <w:t>, Carla Caldeira</w:t>
      </w:r>
      <w:r>
        <w:rPr>
          <w:rFonts w:cstheme="minorHAnsi"/>
          <w:sz w:val="20"/>
          <w:szCs w:val="24"/>
          <w:vertAlign w:val="superscript"/>
        </w:rPr>
        <w:t>2</w:t>
      </w:r>
      <w:r>
        <w:rPr>
          <w:rFonts w:cstheme="minorHAnsi"/>
          <w:sz w:val="20"/>
          <w:szCs w:val="24"/>
        </w:rPr>
        <w:t>, Steef Hanssen</w:t>
      </w:r>
      <w:r>
        <w:rPr>
          <w:rFonts w:cstheme="minorHAnsi"/>
          <w:sz w:val="20"/>
          <w:szCs w:val="24"/>
          <w:vertAlign w:val="superscript"/>
        </w:rPr>
        <w:t>1</w:t>
      </w:r>
      <w:r>
        <w:rPr>
          <w:rFonts w:cstheme="minorHAnsi"/>
          <w:sz w:val="20"/>
          <w:szCs w:val="24"/>
        </w:rPr>
        <w:t>, Mitchell van der Hulst</w:t>
      </w:r>
      <w:r>
        <w:rPr>
          <w:rFonts w:cstheme="minorHAnsi"/>
          <w:sz w:val="20"/>
          <w:szCs w:val="24"/>
          <w:vertAlign w:val="superscript"/>
        </w:rPr>
        <w:t>1,3</w:t>
      </w:r>
      <w:r>
        <w:rPr>
          <w:rFonts w:cstheme="minorHAnsi"/>
          <w:sz w:val="20"/>
          <w:szCs w:val="24"/>
        </w:rPr>
        <w:t>, Melinda de Jonge</w:t>
      </w:r>
      <w:r>
        <w:rPr>
          <w:rFonts w:cstheme="minorHAnsi"/>
          <w:sz w:val="20"/>
          <w:szCs w:val="24"/>
          <w:vertAlign w:val="superscript"/>
        </w:rPr>
        <w:t>1</w:t>
      </w:r>
      <w:r>
        <w:rPr>
          <w:rFonts w:cstheme="minorHAnsi"/>
          <w:sz w:val="20"/>
          <w:szCs w:val="24"/>
        </w:rPr>
        <w:t xml:space="preserve">, </w:t>
      </w:r>
      <w:proofErr w:type="spellStart"/>
      <w:r>
        <w:rPr>
          <w:rFonts w:cstheme="minorHAnsi"/>
          <w:sz w:val="20"/>
          <w:szCs w:val="24"/>
        </w:rPr>
        <w:t>Anestis</w:t>
      </w:r>
      <w:proofErr w:type="spellEnd"/>
      <w:r>
        <w:rPr>
          <w:rFonts w:cstheme="minorHAnsi"/>
          <w:sz w:val="20"/>
          <w:szCs w:val="24"/>
        </w:rPr>
        <w:t xml:space="preserve"> Vlysidis</w:t>
      </w:r>
      <w:r>
        <w:rPr>
          <w:rFonts w:cstheme="minorHAnsi"/>
          <w:sz w:val="20"/>
          <w:szCs w:val="24"/>
          <w:vertAlign w:val="superscript"/>
        </w:rPr>
        <w:t>2</w:t>
      </w:r>
      <w:r w:rsidR="00CB2560">
        <w:rPr>
          <w:rFonts w:cstheme="minorHAnsi"/>
          <w:sz w:val="20"/>
          <w:szCs w:val="24"/>
          <w:vertAlign w:val="superscript"/>
        </w:rPr>
        <w:t>,4</w:t>
      </w:r>
      <w:r>
        <w:rPr>
          <w:rFonts w:cstheme="minorHAnsi"/>
          <w:sz w:val="20"/>
          <w:szCs w:val="24"/>
        </w:rPr>
        <w:t>,</w:t>
      </w:r>
      <w:r>
        <w:rPr>
          <w:rFonts w:cstheme="minorHAnsi"/>
          <w:sz w:val="20"/>
          <w:szCs w:val="24"/>
          <w:vertAlign w:val="superscript"/>
        </w:rPr>
        <w:t xml:space="preserve"> </w:t>
      </w:r>
      <w:r>
        <w:rPr>
          <w:rFonts w:cstheme="minorHAnsi"/>
          <w:sz w:val="20"/>
          <w:szCs w:val="24"/>
        </w:rPr>
        <w:t>Rosalie van Zelm</w:t>
      </w:r>
      <w:r>
        <w:rPr>
          <w:rFonts w:cstheme="minorHAnsi"/>
          <w:sz w:val="20"/>
          <w:szCs w:val="24"/>
          <w:vertAlign w:val="superscript"/>
        </w:rPr>
        <w:t>1</w:t>
      </w:r>
      <w:r>
        <w:rPr>
          <w:rFonts w:cstheme="minorHAnsi"/>
          <w:sz w:val="20"/>
          <w:szCs w:val="24"/>
        </w:rPr>
        <w:t>, Serenella Sala</w:t>
      </w:r>
      <w:r>
        <w:rPr>
          <w:rFonts w:cstheme="minorHAnsi"/>
          <w:sz w:val="20"/>
          <w:szCs w:val="24"/>
          <w:vertAlign w:val="superscript"/>
        </w:rPr>
        <w:t>2</w:t>
      </w:r>
      <w:r>
        <w:rPr>
          <w:rFonts w:cstheme="minorHAnsi"/>
          <w:sz w:val="20"/>
          <w:szCs w:val="24"/>
        </w:rPr>
        <w:t>, Mark A J Huijbregts</w:t>
      </w:r>
      <w:r>
        <w:rPr>
          <w:rFonts w:cstheme="minorHAnsi"/>
          <w:sz w:val="20"/>
          <w:szCs w:val="24"/>
          <w:vertAlign w:val="superscript"/>
        </w:rPr>
        <w:t>1</w:t>
      </w:r>
      <w:r>
        <w:rPr>
          <w:rFonts w:cstheme="minorHAnsi"/>
          <w:szCs w:val="24"/>
          <w:vertAlign w:val="superscript"/>
        </w:rPr>
        <w:br/>
      </w:r>
    </w:p>
    <w:p w:rsidR="0009124B" w:rsidRDefault="00EB3E17">
      <w:pPr>
        <w:pStyle w:val="BodyText"/>
        <w:spacing w:line="480" w:lineRule="auto"/>
        <w:jc w:val="center"/>
        <w:rPr>
          <w:rFonts w:asciiTheme="minorHAnsi" w:hAnsiTheme="minorHAnsi" w:cstheme="minorHAnsi"/>
          <w:sz w:val="18"/>
          <w:szCs w:val="18"/>
        </w:rPr>
      </w:pPr>
      <w:r>
        <w:rPr>
          <w:rFonts w:asciiTheme="minorHAnsi" w:hAnsiTheme="minorHAnsi" w:cstheme="minorHAnsi"/>
          <w:sz w:val="18"/>
          <w:szCs w:val="18"/>
          <w:vertAlign w:val="superscript"/>
        </w:rPr>
        <w:t>1</w:t>
      </w:r>
      <w:r>
        <w:rPr>
          <w:rFonts w:asciiTheme="minorHAnsi" w:hAnsiTheme="minorHAnsi" w:cstheme="minorHAnsi"/>
          <w:sz w:val="18"/>
          <w:szCs w:val="18"/>
        </w:rPr>
        <w:t xml:space="preserve"> Department of Environmental Science, </w:t>
      </w:r>
      <w:proofErr w:type="spellStart"/>
      <w:r>
        <w:rPr>
          <w:rFonts w:asciiTheme="minorHAnsi" w:hAnsiTheme="minorHAnsi" w:cstheme="minorHAnsi"/>
          <w:sz w:val="18"/>
          <w:szCs w:val="18"/>
        </w:rPr>
        <w:t>Radboud</w:t>
      </w:r>
      <w:proofErr w:type="spellEnd"/>
      <w:r>
        <w:rPr>
          <w:rFonts w:asciiTheme="minorHAnsi" w:hAnsiTheme="minorHAnsi" w:cstheme="minorHAnsi"/>
          <w:sz w:val="18"/>
          <w:szCs w:val="18"/>
        </w:rPr>
        <w:t xml:space="preserve"> Institute for Biological and Environmental Sciences, </w:t>
      </w:r>
      <w:proofErr w:type="spellStart"/>
      <w:r>
        <w:rPr>
          <w:rFonts w:asciiTheme="minorHAnsi" w:hAnsiTheme="minorHAnsi" w:cstheme="minorHAnsi"/>
          <w:sz w:val="18"/>
          <w:szCs w:val="18"/>
        </w:rPr>
        <w:t>Radboud</w:t>
      </w:r>
      <w:proofErr w:type="spellEnd"/>
      <w:r>
        <w:rPr>
          <w:rFonts w:asciiTheme="minorHAnsi" w:hAnsiTheme="minorHAnsi" w:cstheme="minorHAnsi"/>
          <w:sz w:val="18"/>
          <w:szCs w:val="18"/>
        </w:rPr>
        <w:t xml:space="preserve"> University Nijmegen, P.O. Box 9010, 65</w:t>
      </w:r>
      <w:r w:rsidR="0063226B">
        <w:rPr>
          <w:rFonts w:asciiTheme="minorHAnsi" w:hAnsiTheme="minorHAnsi" w:cstheme="minorHAnsi"/>
          <w:sz w:val="18"/>
          <w:szCs w:val="18"/>
        </w:rPr>
        <w:t>00 GL Nijmegen, The Netherlands</w:t>
      </w:r>
    </w:p>
    <w:p w:rsidR="0009124B" w:rsidRDefault="00EB3E17">
      <w:pPr>
        <w:pStyle w:val="BodyText"/>
        <w:spacing w:line="480" w:lineRule="auto"/>
        <w:jc w:val="center"/>
        <w:rPr>
          <w:rFonts w:asciiTheme="minorHAnsi" w:hAnsiTheme="minorHAnsi" w:cstheme="minorHAnsi"/>
          <w:sz w:val="18"/>
          <w:szCs w:val="18"/>
          <w:lang w:val="it-IT"/>
        </w:rPr>
      </w:pPr>
      <w:r>
        <w:rPr>
          <w:rFonts w:asciiTheme="minorHAnsi" w:hAnsiTheme="minorHAnsi" w:cstheme="minorHAnsi"/>
          <w:sz w:val="18"/>
          <w:szCs w:val="18"/>
          <w:vertAlign w:val="superscript"/>
          <w:lang w:val="it-IT"/>
        </w:rPr>
        <w:t>2</w:t>
      </w:r>
      <w:r>
        <w:rPr>
          <w:rFonts w:asciiTheme="minorHAnsi" w:hAnsiTheme="minorHAnsi" w:cstheme="minorHAnsi"/>
          <w:sz w:val="18"/>
          <w:szCs w:val="18"/>
          <w:lang w:val="it-IT"/>
        </w:rPr>
        <w:t xml:space="preserve">   European Commission, Joint Research Centre, Via Enrico Fermi 2749, 21027, Ispra, VA, Italy</w:t>
      </w:r>
    </w:p>
    <w:p w:rsidR="0009124B" w:rsidRDefault="00EB3E17">
      <w:pPr>
        <w:pStyle w:val="BodyText"/>
        <w:spacing w:line="480" w:lineRule="auto"/>
        <w:jc w:val="center"/>
        <w:rPr>
          <w:rFonts w:asciiTheme="minorHAnsi" w:hAnsiTheme="minorHAnsi" w:cstheme="minorHAnsi"/>
          <w:sz w:val="18"/>
          <w:szCs w:val="18"/>
          <w:lang w:val="en-GB"/>
        </w:rPr>
      </w:pPr>
      <w:r>
        <w:rPr>
          <w:rFonts w:asciiTheme="minorHAnsi" w:hAnsiTheme="minorHAnsi" w:cstheme="minorHAnsi"/>
          <w:iCs/>
          <w:sz w:val="18"/>
          <w:szCs w:val="18"/>
          <w:vertAlign w:val="superscript"/>
          <w:lang w:val="en-GB"/>
        </w:rPr>
        <w:t>3</w:t>
      </w:r>
      <w:r>
        <w:rPr>
          <w:rFonts w:asciiTheme="minorHAnsi" w:hAnsiTheme="minorHAnsi" w:cstheme="minorHAnsi"/>
          <w:sz w:val="18"/>
          <w:szCs w:val="18"/>
          <w:lang w:val="en-GB"/>
        </w:rPr>
        <w:t xml:space="preserve"> Department of Climate, Air and Sustainability, TNO, </w:t>
      </w:r>
      <w:proofErr w:type="spellStart"/>
      <w:r>
        <w:rPr>
          <w:rFonts w:asciiTheme="minorHAnsi" w:hAnsiTheme="minorHAnsi" w:cstheme="minorHAnsi"/>
          <w:sz w:val="18"/>
          <w:szCs w:val="18"/>
          <w:lang w:val="en-GB"/>
        </w:rPr>
        <w:t>Princetonlaan</w:t>
      </w:r>
      <w:proofErr w:type="spellEnd"/>
      <w:r>
        <w:rPr>
          <w:rFonts w:asciiTheme="minorHAnsi" w:hAnsiTheme="minorHAnsi" w:cstheme="minorHAnsi"/>
          <w:sz w:val="18"/>
          <w:szCs w:val="18"/>
          <w:lang w:val="en-GB"/>
        </w:rPr>
        <w:t xml:space="preserve"> 6, 3584CB Utrecht, The Netherlands</w:t>
      </w:r>
    </w:p>
    <w:p w:rsidR="00CB2560" w:rsidRPr="00CB2560" w:rsidRDefault="00CB2560" w:rsidP="00CB2560">
      <w:pPr>
        <w:pStyle w:val="BodyText"/>
        <w:spacing w:line="480" w:lineRule="auto"/>
        <w:jc w:val="center"/>
        <w:rPr>
          <w:rFonts w:asciiTheme="minorHAnsi" w:hAnsiTheme="minorHAnsi" w:cstheme="minorHAnsi"/>
          <w:sz w:val="18"/>
          <w:szCs w:val="16"/>
          <w:lang w:val="en-GB"/>
        </w:rPr>
      </w:pPr>
      <w:r w:rsidRPr="00CB2560">
        <w:rPr>
          <w:rFonts w:asciiTheme="minorHAnsi" w:hAnsiTheme="minorHAnsi" w:cstheme="minorHAnsi"/>
          <w:iCs/>
          <w:sz w:val="18"/>
          <w:szCs w:val="16"/>
          <w:vertAlign w:val="superscript"/>
          <w:lang w:val="en-GB"/>
        </w:rPr>
        <w:t>4</w:t>
      </w:r>
      <w:r w:rsidRPr="00CB2560">
        <w:rPr>
          <w:rFonts w:asciiTheme="minorHAnsi" w:hAnsiTheme="minorHAnsi" w:cstheme="minorHAnsi"/>
          <w:sz w:val="18"/>
          <w:szCs w:val="16"/>
          <w:lang w:val="en-GB"/>
        </w:rPr>
        <w:t xml:space="preserve"> School of Chemical Engineering, National Technical University of Athens, </w:t>
      </w:r>
      <w:proofErr w:type="spellStart"/>
      <w:r w:rsidRPr="00CB2560">
        <w:rPr>
          <w:rFonts w:asciiTheme="minorHAnsi" w:hAnsiTheme="minorHAnsi" w:cstheme="minorHAnsi"/>
          <w:sz w:val="18"/>
          <w:szCs w:val="16"/>
          <w:lang w:val="en-GB"/>
        </w:rPr>
        <w:t>Iroon</w:t>
      </w:r>
      <w:proofErr w:type="spellEnd"/>
      <w:r w:rsidRPr="00CB2560">
        <w:rPr>
          <w:rFonts w:asciiTheme="minorHAnsi" w:hAnsiTheme="minorHAnsi" w:cstheme="minorHAnsi"/>
          <w:sz w:val="18"/>
          <w:szCs w:val="16"/>
          <w:lang w:val="en-GB"/>
        </w:rPr>
        <w:t xml:space="preserve"> </w:t>
      </w:r>
      <w:proofErr w:type="spellStart"/>
      <w:r w:rsidRPr="00CB2560">
        <w:rPr>
          <w:rFonts w:asciiTheme="minorHAnsi" w:hAnsiTheme="minorHAnsi" w:cstheme="minorHAnsi"/>
          <w:sz w:val="18"/>
          <w:szCs w:val="16"/>
          <w:lang w:val="en-GB"/>
        </w:rPr>
        <w:t>Polytechneiou</w:t>
      </w:r>
      <w:proofErr w:type="spellEnd"/>
      <w:r w:rsidRPr="00CB2560">
        <w:rPr>
          <w:rFonts w:asciiTheme="minorHAnsi" w:hAnsiTheme="minorHAnsi" w:cstheme="minorHAnsi"/>
          <w:sz w:val="18"/>
          <w:szCs w:val="16"/>
          <w:lang w:val="en-GB"/>
        </w:rPr>
        <w:t xml:space="preserve"> 9, </w:t>
      </w:r>
      <w:proofErr w:type="spellStart"/>
      <w:r w:rsidRPr="00CB2560">
        <w:rPr>
          <w:rFonts w:asciiTheme="minorHAnsi" w:hAnsiTheme="minorHAnsi" w:cstheme="minorHAnsi"/>
          <w:sz w:val="18"/>
          <w:szCs w:val="16"/>
          <w:lang w:val="en-GB"/>
        </w:rPr>
        <w:t>Zografou</w:t>
      </w:r>
      <w:proofErr w:type="spellEnd"/>
      <w:r w:rsidRPr="00CB2560">
        <w:rPr>
          <w:rFonts w:asciiTheme="minorHAnsi" w:hAnsiTheme="minorHAnsi" w:cstheme="minorHAnsi"/>
          <w:sz w:val="18"/>
          <w:szCs w:val="16"/>
          <w:lang w:val="en-GB"/>
        </w:rPr>
        <w:t>, 15780 Athens, Greece</w:t>
      </w:r>
    </w:p>
    <w:p w:rsidR="0009124B" w:rsidRDefault="0009124B">
      <w:pPr>
        <w:pStyle w:val="BodyText"/>
        <w:spacing w:line="480" w:lineRule="auto"/>
        <w:jc w:val="center"/>
        <w:rPr>
          <w:rFonts w:asciiTheme="minorHAnsi" w:hAnsiTheme="minorHAnsi" w:cstheme="minorHAnsi"/>
          <w:sz w:val="18"/>
          <w:szCs w:val="18"/>
          <w:lang w:val="en-GB"/>
        </w:rPr>
      </w:pPr>
    </w:p>
    <w:sdt>
      <w:sdtPr>
        <w:rPr>
          <w:rFonts w:asciiTheme="minorHAnsi" w:eastAsiaTheme="minorHAnsi" w:hAnsiTheme="minorHAnsi" w:cstheme="minorBidi"/>
          <w:color w:val="auto"/>
          <w:sz w:val="18"/>
          <w:szCs w:val="18"/>
        </w:rPr>
        <w:id w:val="82200354"/>
        <w:docPartObj>
          <w:docPartGallery w:val="Table of Contents"/>
          <w:docPartUnique/>
        </w:docPartObj>
      </w:sdtPr>
      <w:sdtEndPr>
        <w:rPr>
          <w:b/>
          <w:bCs/>
        </w:rPr>
      </w:sdtEndPr>
      <w:sdtContent>
        <w:p w:rsidR="0009124B" w:rsidRDefault="00EB3E17">
          <w:pPr>
            <w:pStyle w:val="TOCHeading1"/>
            <w:spacing w:line="240" w:lineRule="auto"/>
            <w:rPr>
              <w:rFonts w:asciiTheme="minorHAnsi" w:hAnsiTheme="minorHAnsi"/>
              <w:color w:val="auto"/>
              <w:sz w:val="18"/>
              <w:szCs w:val="18"/>
            </w:rPr>
          </w:pPr>
          <w:r>
            <w:rPr>
              <w:rFonts w:asciiTheme="minorHAnsi" w:hAnsiTheme="minorHAnsi"/>
              <w:b/>
              <w:color w:val="auto"/>
              <w:sz w:val="18"/>
              <w:szCs w:val="18"/>
            </w:rPr>
            <w:t>Contents</w:t>
          </w:r>
          <w:r>
            <w:rPr>
              <w:rFonts w:asciiTheme="minorHAnsi" w:hAnsiTheme="minorHAnsi"/>
              <w:color w:val="auto"/>
              <w:sz w:val="18"/>
              <w:szCs w:val="18"/>
            </w:rPr>
            <w:br/>
          </w:r>
        </w:p>
        <w:p w:rsidR="003919B9" w:rsidRPr="003919B9" w:rsidRDefault="00EB3E17">
          <w:pPr>
            <w:pStyle w:val="TOC1"/>
            <w:tabs>
              <w:tab w:val="right" w:leader="dot" w:pos="9350"/>
            </w:tabs>
            <w:rPr>
              <w:rFonts w:eastAsiaTheme="minorEastAsia"/>
              <w:noProof/>
              <w:sz w:val="18"/>
              <w:szCs w:val="18"/>
            </w:rPr>
          </w:pPr>
          <w:r w:rsidRPr="003919B9">
            <w:rPr>
              <w:sz w:val="18"/>
              <w:szCs w:val="18"/>
            </w:rPr>
            <w:fldChar w:fldCharType="begin"/>
          </w:r>
          <w:r w:rsidRPr="003919B9">
            <w:rPr>
              <w:sz w:val="18"/>
              <w:szCs w:val="18"/>
            </w:rPr>
            <w:instrText xml:space="preserve"> TOC \o "1-3" \h \z \u </w:instrText>
          </w:r>
          <w:r w:rsidRPr="003919B9">
            <w:rPr>
              <w:sz w:val="18"/>
              <w:szCs w:val="18"/>
            </w:rPr>
            <w:fldChar w:fldCharType="separate"/>
          </w:r>
          <w:hyperlink w:anchor="_Toc96078423" w:history="1">
            <w:r w:rsidR="003919B9" w:rsidRPr="003919B9">
              <w:rPr>
                <w:rStyle w:val="Hyperlink"/>
                <w:rFonts w:eastAsia="Times New Roman" w:cstheme="minorHAnsi"/>
                <w:noProof/>
                <w:sz w:val="18"/>
                <w:szCs w:val="18"/>
              </w:rPr>
              <w:t>S.1 Arithmetic average RRs per bio-based product with corresponding 95% CI: ordered from largest reduction to highest increase.</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_Toc96078423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3</w:t>
            </w:r>
            <w:r w:rsidR="003919B9" w:rsidRPr="003919B9">
              <w:rPr>
                <w:noProof/>
                <w:webHidden/>
                <w:sz w:val="18"/>
                <w:szCs w:val="18"/>
              </w:rPr>
              <w:fldChar w:fldCharType="end"/>
            </w:r>
          </w:hyperlink>
        </w:p>
        <w:p w:rsidR="003919B9" w:rsidRPr="003919B9" w:rsidRDefault="004F5BDD">
          <w:pPr>
            <w:pStyle w:val="TOC1"/>
            <w:tabs>
              <w:tab w:val="right" w:leader="dot" w:pos="9350"/>
            </w:tabs>
            <w:rPr>
              <w:rFonts w:eastAsiaTheme="minorEastAsia"/>
              <w:noProof/>
              <w:sz w:val="18"/>
              <w:szCs w:val="18"/>
            </w:rPr>
          </w:pPr>
          <w:hyperlink w:anchor="_Toc96078425" w:history="1">
            <w:r w:rsidR="003919B9" w:rsidRPr="003919B9">
              <w:rPr>
                <w:rStyle w:val="Hyperlink"/>
                <w:rFonts w:eastAsia="Times New Roman" w:cstheme="minorHAnsi"/>
                <w:noProof/>
                <w:sz w:val="18"/>
                <w:szCs w:val="18"/>
              </w:rPr>
              <w:t>S.2 Additional calculations in ‘Greenhouse gas Footprints’</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_Toc96078425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5</w:t>
            </w:r>
            <w:r w:rsidR="003919B9" w:rsidRPr="003919B9">
              <w:rPr>
                <w:noProof/>
                <w:webHidden/>
                <w:sz w:val="18"/>
                <w:szCs w:val="18"/>
              </w:rPr>
              <w:fldChar w:fldCharType="end"/>
            </w:r>
          </w:hyperlink>
        </w:p>
        <w:p w:rsidR="003919B9" w:rsidRPr="003919B9" w:rsidRDefault="004F5BDD">
          <w:pPr>
            <w:pStyle w:val="TOC1"/>
            <w:tabs>
              <w:tab w:val="right" w:leader="dot" w:pos="9350"/>
            </w:tabs>
            <w:rPr>
              <w:rFonts w:eastAsiaTheme="minorEastAsia"/>
              <w:noProof/>
              <w:sz w:val="18"/>
              <w:szCs w:val="18"/>
            </w:rPr>
          </w:pPr>
          <w:hyperlink w:anchor="_Toc96078427" w:history="1">
            <w:r w:rsidR="003919B9" w:rsidRPr="003919B9">
              <w:rPr>
                <w:rStyle w:val="Hyperlink"/>
                <w:rFonts w:eastAsia="Times New Roman" w:cstheme="minorHAnsi"/>
                <w:noProof/>
                <w:sz w:val="18"/>
                <w:szCs w:val="18"/>
              </w:rPr>
              <w:t xml:space="preserve">S.3 </w:t>
            </w:r>
            <w:r w:rsidR="001B5215" w:rsidRPr="001B5215">
              <w:rPr>
                <w:rStyle w:val="Hyperlink"/>
                <w:rFonts w:eastAsia="Times New Roman" w:cstheme="minorHAnsi"/>
                <w:noProof/>
                <w:sz w:val="18"/>
                <w:szCs w:val="18"/>
              </w:rPr>
              <w:t>Predicted mean RR and 95% CI for the GHG emissions and if it in- or excluded Land Use Changes (LUC) related GHG emissions based on single linear mixed-effect models</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_Toc96078427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5</w:t>
            </w:r>
            <w:r w:rsidR="003919B9" w:rsidRPr="003919B9">
              <w:rPr>
                <w:noProof/>
                <w:webHidden/>
                <w:sz w:val="18"/>
                <w:szCs w:val="18"/>
              </w:rPr>
              <w:fldChar w:fldCharType="end"/>
            </w:r>
          </w:hyperlink>
        </w:p>
        <w:p w:rsidR="003919B9" w:rsidRPr="003919B9" w:rsidRDefault="004F5BDD">
          <w:pPr>
            <w:pStyle w:val="TOC1"/>
            <w:tabs>
              <w:tab w:val="right" w:leader="dot" w:pos="9350"/>
            </w:tabs>
            <w:rPr>
              <w:rFonts w:eastAsiaTheme="minorEastAsia"/>
              <w:noProof/>
              <w:sz w:val="18"/>
              <w:szCs w:val="18"/>
            </w:rPr>
          </w:pPr>
          <w:hyperlink w:anchor="_Toc96078429" w:history="1">
            <w:r w:rsidR="003919B9" w:rsidRPr="003919B9">
              <w:rPr>
                <w:rStyle w:val="Hyperlink"/>
                <w:rFonts w:cstheme="minorHAnsi"/>
                <w:noProof/>
                <w:sz w:val="18"/>
                <w:szCs w:val="18"/>
              </w:rPr>
              <w:t xml:space="preserve">S.4 </w:t>
            </w:r>
            <w:r w:rsidR="003919B9" w:rsidRPr="003919B9">
              <w:rPr>
                <w:rStyle w:val="Hyperlink"/>
                <w:rFonts w:cstheme="minorHAnsi"/>
                <w:noProof/>
                <w:sz w:val="18"/>
                <w:szCs w:val="18"/>
                <w:lang w:val="en"/>
              </w:rPr>
              <w:t xml:space="preserve">Predicted mean RR and 95% CI </w:t>
            </w:r>
            <w:r w:rsidR="003919B9" w:rsidRPr="003919B9">
              <w:rPr>
                <w:rStyle w:val="Hyperlink"/>
                <w:rFonts w:eastAsia="Times New Roman" w:cstheme="minorHAnsi"/>
                <w:noProof/>
                <w:sz w:val="18"/>
                <w:szCs w:val="18"/>
                <w:lang w:val="en"/>
              </w:rPr>
              <w:t>per feedstock category based on s</w:t>
            </w:r>
            <w:r w:rsidR="003919B9" w:rsidRPr="003919B9">
              <w:rPr>
                <w:rStyle w:val="Hyperlink"/>
                <w:rFonts w:eastAsia="Times New Roman" w:cstheme="minorHAnsi"/>
                <w:noProof/>
                <w:sz w:val="18"/>
                <w:szCs w:val="18"/>
              </w:rPr>
              <w:t xml:space="preserve">ingle linear mixed-effect models </w:t>
            </w:r>
            <w:r w:rsidR="003919B9" w:rsidRPr="003919B9">
              <w:rPr>
                <w:rStyle w:val="Hyperlink"/>
                <w:rFonts w:eastAsia="Times New Roman" w:cstheme="minorHAnsi"/>
                <w:noProof/>
                <w:sz w:val="18"/>
                <w:szCs w:val="18"/>
                <w:lang w:val="en"/>
              </w:rPr>
              <w:t>for</w:t>
            </w:r>
            <w:r w:rsidR="003919B9" w:rsidRPr="003919B9">
              <w:rPr>
                <w:rStyle w:val="Hyperlink"/>
                <w:rFonts w:cstheme="minorHAnsi"/>
                <w:noProof/>
                <w:sz w:val="18"/>
                <w:szCs w:val="18"/>
              </w:rPr>
              <w:t xml:space="preserve"> eutrophication, acidification, </w:t>
            </w:r>
            <w:r w:rsidR="003919B9" w:rsidRPr="003919B9">
              <w:rPr>
                <w:rStyle w:val="Hyperlink"/>
                <w:rFonts w:eastAsia="Times New Roman" w:cstheme="minorHAnsi"/>
                <w:noProof/>
                <w:sz w:val="18"/>
                <w:szCs w:val="18"/>
              </w:rPr>
              <w:t>non-renewable energy-use</w:t>
            </w:r>
            <w:r w:rsidR="003919B9" w:rsidRPr="003919B9">
              <w:rPr>
                <w:rStyle w:val="Hyperlink"/>
                <w:rFonts w:cstheme="minorHAnsi"/>
                <w:noProof/>
                <w:sz w:val="18"/>
                <w:szCs w:val="18"/>
              </w:rPr>
              <w:t>,</w:t>
            </w:r>
            <w:r w:rsidR="003919B9" w:rsidRPr="003919B9">
              <w:rPr>
                <w:rStyle w:val="Hyperlink"/>
                <w:rFonts w:eastAsia="Times New Roman" w:cstheme="minorHAnsi"/>
                <w:noProof/>
                <w:sz w:val="18"/>
                <w:szCs w:val="18"/>
              </w:rPr>
              <w:t xml:space="preserve"> ozone depletion and photochemical ozone formation</w:t>
            </w:r>
            <w:r w:rsidR="003919B9" w:rsidRPr="003919B9">
              <w:rPr>
                <w:rStyle w:val="Hyperlink"/>
                <w:rFonts w:eastAsia="Times New Roman" w:cstheme="minorHAnsi"/>
                <w:noProof/>
                <w:sz w:val="18"/>
                <w:szCs w:val="18"/>
                <w:lang w:val="en"/>
              </w:rPr>
              <w:t xml:space="preserve"> impacts</w:t>
            </w:r>
            <w:r w:rsidR="003919B9" w:rsidRPr="003919B9">
              <w:rPr>
                <w:rStyle w:val="Hyperlink"/>
                <w:rFonts w:eastAsia="Times New Roman" w:cstheme="minorHAnsi"/>
                <w:noProof/>
                <w:sz w:val="18"/>
                <w:szCs w:val="18"/>
              </w:rPr>
              <w:t>.</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_Toc96078429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6</w:t>
            </w:r>
            <w:r w:rsidR="003919B9" w:rsidRPr="003919B9">
              <w:rPr>
                <w:noProof/>
                <w:webHidden/>
                <w:sz w:val="18"/>
                <w:szCs w:val="18"/>
              </w:rPr>
              <w:fldChar w:fldCharType="end"/>
            </w:r>
          </w:hyperlink>
        </w:p>
        <w:p w:rsidR="003919B9" w:rsidRPr="003919B9" w:rsidRDefault="004F5BDD">
          <w:pPr>
            <w:pStyle w:val="TOC1"/>
            <w:tabs>
              <w:tab w:val="right" w:leader="dot" w:pos="9350"/>
            </w:tabs>
            <w:rPr>
              <w:rFonts w:eastAsiaTheme="minorEastAsia"/>
              <w:noProof/>
              <w:sz w:val="18"/>
              <w:szCs w:val="18"/>
            </w:rPr>
          </w:pPr>
          <w:hyperlink w:anchor="_Toc96078431" w:history="1">
            <w:r w:rsidR="003919B9" w:rsidRPr="003919B9">
              <w:rPr>
                <w:rStyle w:val="Hyperlink"/>
                <w:rFonts w:cstheme="minorHAnsi"/>
                <w:noProof/>
                <w:sz w:val="18"/>
                <w:szCs w:val="18"/>
              </w:rPr>
              <w:t xml:space="preserve">S.5 </w:t>
            </w:r>
            <w:r w:rsidR="003919B9" w:rsidRPr="003919B9">
              <w:rPr>
                <w:rStyle w:val="Hyperlink"/>
                <w:rFonts w:cstheme="minorHAnsi"/>
                <w:noProof/>
                <w:sz w:val="18"/>
                <w:szCs w:val="18"/>
                <w:lang w:val="en"/>
              </w:rPr>
              <w:t xml:space="preserve">Predicted mean RR and 95% CI </w:t>
            </w:r>
            <w:r w:rsidR="003919B9" w:rsidRPr="003919B9">
              <w:rPr>
                <w:rStyle w:val="Hyperlink"/>
                <w:rFonts w:eastAsia="Times New Roman" w:cstheme="minorHAnsi"/>
                <w:noProof/>
                <w:sz w:val="18"/>
                <w:szCs w:val="18"/>
                <w:lang w:val="en"/>
              </w:rPr>
              <w:t>per product category based on s</w:t>
            </w:r>
            <w:r w:rsidR="003919B9" w:rsidRPr="003919B9">
              <w:rPr>
                <w:rStyle w:val="Hyperlink"/>
                <w:rFonts w:eastAsia="Times New Roman" w:cstheme="minorHAnsi"/>
                <w:noProof/>
                <w:sz w:val="18"/>
                <w:szCs w:val="18"/>
              </w:rPr>
              <w:t xml:space="preserve">ingle linear mixed-effect models </w:t>
            </w:r>
            <w:r w:rsidR="003919B9" w:rsidRPr="003919B9">
              <w:rPr>
                <w:rStyle w:val="Hyperlink"/>
                <w:rFonts w:eastAsia="Times New Roman" w:cstheme="minorHAnsi"/>
                <w:noProof/>
                <w:sz w:val="18"/>
                <w:szCs w:val="18"/>
                <w:lang w:val="en"/>
              </w:rPr>
              <w:t>for</w:t>
            </w:r>
            <w:r w:rsidR="003919B9" w:rsidRPr="003919B9">
              <w:rPr>
                <w:rStyle w:val="Hyperlink"/>
                <w:rFonts w:cstheme="minorHAnsi"/>
                <w:noProof/>
                <w:sz w:val="18"/>
                <w:szCs w:val="18"/>
              </w:rPr>
              <w:t xml:space="preserve"> eutrophication, acidification, </w:t>
            </w:r>
            <w:r w:rsidR="003919B9" w:rsidRPr="003919B9">
              <w:rPr>
                <w:rStyle w:val="Hyperlink"/>
                <w:rFonts w:eastAsia="Times New Roman" w:cstheme="minorHAnsi"/>
                <w:noProof/>
                <w:sz w:val="18"/>
                <w:szCs w:val="18"/>
              </w:rPr>
              <w:t>non-renewable energy-use</w:t>
            </w:r>
            <w:r w:rsidR="003919B9" w:rsidRPr="003919B9">
              <w:rPr>
                <w:rStyle w:val="Hyperlink"/>
                <w:rFonts w:cstheme="minorHAnsi"/>
                <w:noProof/>
                <w:sz w:val="18"/>
                <w:szCs w:val="18"/>
              </w:rPr>
              <w:t>,</w:t>
            </w:r>
            <w:r w:rsidR="003919B9" w:rsidRPr="003919B9">
              <w:rPr>
                <w:rStyle w:val="Hyperlink"/>
                <w:rFonts w:eastAsia="Times New Roman" w:cstheme="minorHAnsi"/>
                <w:noProof/>
                <w:sz w:val="18"/>
                <w:szCs w:val="18"/>
              </w:rPr>
              <w:t xml:space="preserve"> ozone depletion and photochemical ozone formation</w:t>
            </w:r>
            <w:r w:rsidR="003919B9" w:rsidRPr="003919B9">
              <w:rPr>
                <w:rStyle w:val="Hyperlink"/>
                <w:rFonts w:eastAsia="Times New Roman" w:cstheme="minorHAnsi"/>
                <w:noProof/>
                <w:sz w:val="18"/>
                <w:szCs w:val="18"/>
                <w:lang w:val="en"/>
              </w:rPr>
              <w:t xml:space="preserve"> impacts</w:t>
            </w:r>
            <w:r w:rsidR="003919B9" w:rsidRPr="003919B9">
              <w:rPr>
                <w:rStyle w:val="Hyperlink"/>
                <w:rFonts w:eastAsia="Times New Roman" w:cstheme="minorHAnsi"/>
                <w:noProof/>
                <w:sz w:val="18"/>
                <w:szCs w:val="18"/>
              </w:rPr>
              <w:t>.</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_Toc96078431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7</w:t>
            </w:r>
            <w:r w:rsidR="003919B9" w:rsidRPr="003919B9">
              <w:rPr>
                <w:noProof/>
                <w:webHidden/>
                <w:sz w:val="18"/>
                <w:szCs w:val="18"/>
              </w:rPr>
              <w:fldChar w:fldCharType="end"/>
            </w:r>
          </w:hyperlink>
        </w:p>
        <w:p w:rsidR="003919B9" w:rsidRPr="003919B9" w:rsidRDefault="004F5BDD">
          <w:pPr>
            <w:pStyle w:val="TOC1"/>
            <w:tabs>
              <w:tab w:val="right" w:leader="dot" w:pos="9350"/>
            </w:tabs>
            <w:rPr>
              <w:rFonts w:eastAsiaTheme="minorEastAsia"/>
              <w:noProof/>
              <w:sz w:val="18"/>
              <w:szCs w:val="18"/>
            </w:rPr>
          </w:pPr>
          <w:hyperlink w:anchor="_Toc96078433" w:history="1">
            <w:r w:rsidR="003919B9" w:rsidRPr="003919B9">
              <w:rPr>
                <w:rStyle w:val="Hyperlink"/>
                <w:rFonts w:cstheme="minorHAnsi"/>
                <w:noProof/>
                <w:sz w:val="18"/>
                <w:szCs w:val="18"/>
              </w:rPr>
              <w:t xml:space="preserve">S.6 Overview of arithmetic average RRs and corresponding 95% CI for greenhouse gas emissions, eutrophication, acidification, </w:t>
            </w:r>
            <w:r w:rsidR="003919B9" w:rsidRPr="003919B9">
              <w:rPr>
                <w:rStyle w:val="Hyperlink"/>
                <w:rFonts w:eastAsia="Times New Roman" w:cstheme="minorHAnsi"/>
                <w:noProof/>
                <w:sz w:val="18"/>
                <w:szCs w:val="18"/>
              </w:rPr>
              <w:t>non-renewable energy-use</w:t>
            </w:r>
            <w:r w:rsidR="003919B9" w:rsidRPr="003919B9">
              <w:rPr>
                <w:rStyle w:val="Hyperlink"/>
                <w:rFonts w:cstheme="minorHAnsi"/>
                <w:noProof/>
                <w:sz w:val="18"/>
                <w:szCs w:val="18"/>
              </w:rPr>
              <w:t>,</w:t>
            </w:r>
            <w:r w:rsidR="003919B9" w:rsidRPr="003919B9">
              <w:rPr>
                <w:rStyle w:val="Hyperlink"/>
                <w:rFonts w:eastAsia="Times New Roman" w:cstheme="minorHAnsi"/>
                <w:noProof/>
                <w:sz w:val="18"/>
                <w:szCs w:val="18"/>
              </w:rPr>
              <w:t xml:space="preserve"> ozone depletion and photochemical ozone formation</w:t>
            </w:r>
            <w:r w:rsidR="003919B9" w:rsidRPr="003919B9">
              <w:rPr>
                <w:rStyle w:val="Hyperlink"/>
                <w:rFonts w:eastAsia="Times New Roman" w:cstheme="minorHAnsi"/>
                <w:noProof/>
                <w:sz w:val="18"/>
                <w:szCs w:val="18"/>
                <w:lang w:val="en"/>
              </w:rPr>
              <w:t xml:space="preserve"> impacts</w:t>
            </w:r>
            <w:r w:rsidR="003919B9" w:rsidRPr="003919B9">
              <w:rPr>
                <w:rStyle w:val="Hyperlink"/>
                <w:rFonts w:cstheme="minorHAnsi"/>
                <w:noProof/>
                <w:sz w:val="18"/>
                <w:szCs w:val="18"/>
              </w:rPr>
              <w:t xml:space="preserve"> </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_Toc96078433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8</w:t>
            </w:r>
            <w:r w:rsidR="003919B9" w:rsidRPr="003919B9">
              <w:rPr>
                <w:noProof/>
                <w:webHidden/>
                <w:sz w:val="18"/>
                <w:szCs w:val="18"/>
              </w:rPr>
              <w:fldChar w:fldCharType="end"/>
            </w:r>
          </w:hyperlink>
        </w:p>
        <w:p w:rsidR="003919B9" w:rsidRPr="003919B9" w:rsidRDefault="004F5BDD">
          <w:pPr>
            <w:pStyle w:val="TOC1"/>
            <w:tabs>
              <w:tab w:val="right" w:leader="dot" w:pos="9350"/>
            </w:tabs>
            <w:rPr>
              <w:rFonts w:eastAsiaTheme="minorEastAsia"/>
              <w:noProof/>
              <w:sz w:val="18"/>
              <w:szCs w:val="18"/>
            </w:rPr>
          </w:pPr>
          <w:hyperlink w:anchor="_Toc96078434" w:history="1">
            <w:r w:rsidR="003919B9" w:rsidRPr="003919B9">
              <w:rPr>
                <w:rStyle w:val="Hyperlink"/>
                <w:rFonts w:cstheme="minorHAnsi"/>
                <w:noProof/>
                <w:sz w:val="18"/>
                <w:szCs w:val="18"/>
              </w:rPr>
              <w:t xml:space="preserve">S.7 Overview of the </w:t>
            </w:r>
            <w:r w:rsidR="003919B9" w:rsidRPr="003919B9">
              <w:rPr>
                <w:rStyle w:val="Hyperlink"/>
                <w:rFonts w:cstheme="minorHAnsi"/>
                <w:noProof/>
                <w:sz w:val="18"/>
                <w:szCs w:val="18"/>
                <w:lang w:val="en"/>
              </w:rPr>
              <w:t xml:space="preserve">predicted </w:t>
            </w:r>
            <w:r w:rsidR="003919B9" w:rsidRPr="003919B9">
              <w:rPr>
                <w:rStyle w:val="Hyperlink"/>
                <w:rFonts w:cstheme="minorHAnsi"/>
                <w:noProof/>
                <w:sz w:val="18"/>
                <w:szCs w:val="18"/>
              </w:rPr>
              <w:t>mean and 95% CI of the RRs</w:t>
            </w:r>
            <w:r w:rsidR="003919B9" w:rsidRPr="003919B9">
              <w:rPr>
                <w:rStyle w:val="Hyperlink"/>
                <w:rFonts w:cstheme="minorHAnsi"/>
                <w:noProof/>
                <w:sz w:val="18"/>
                <w:szCs w:val="18"/>
                <w:lang w:val="en"/>
              </w:rPr>
              <w:t xml:space="preserve"> across all product types and studies for all environmental impacts with n&lt;20. Separate random-effects models were ran for each impact category.</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_Toc96078434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9</w:t>
            </w:r>
            <w:r w:rsidR="003919B9" w:rsidRPr="003919B9">
              <w:rPr>
                <w:noProof/>
                <w:webHidden/>
                <w:sz w:val="18"/>
                <w:szCs w:val="18"/>
              </w:rPr>
              <w:fldChar w:fldCharType="end"/>
            </w:r>
          </w:hyperlink>
        </w:p>
        <w:p w:rsidR="003919B9" w:rsidRPr="003919B9" w:rsidRDefault="004F5BDD">
          <w:pPr>
            <w:pStyle w:val="TOC1"/>
            <w:tabs>
              <w:tab w:val="right" w:leader="dot" w:pos="9350"/>
            </w:tabs>
            <w:rPr>
              <w:rFonts w:eastAsiaTheme="minorEastAsia"/>
              <w:noProof/>
              <w:sz w:val="18"/>
              <w:szCs w:val="18"/>
            </w:rPr>
          </w:pPr>
          <w:hyperlink w:anchor="_Toc96078436" w:history="1">
            <w:r w:rsidR="003919B9" w:rsidRPr="003919B9">
              <w:rPr>
                <w:rStyle w:val="Hyperlink"/>
                <w:rFonts w:cstheme="minorHAnsi"/>
                <w:noProof/>
                <w:sz w:val="18"/>
                <w:szCs w:val="18"/>
              </w:rPr>
              <w:t>S.8 Overview TRLs</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_Toc96078436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10</w:t>
            </w:r>
            <w:r w:rsidR="003919B9" w:rsidRPr="003919B9">
              <w:rPr>
                <w:noProof/>
                <w:webHidden/>
                <w:sz w:val="18"/>
                <w:szCs w:val="18"/>
              </w:rPr>
              <w:fldChar w:fldCharType="end"/>
            </w:r>
          </w:hyperlink>
        </w:p>
        <w:p w:rsidR="003919B9" w:rsidRPr="003919B9" w:rsidRDefault="004F5BDD">
          <w:pPr>
            <w:pStyle w:val="TOC1"/>
            <w:tabs>
              <w:tab w:val="right" w:leader="dot" w:pos="9350"/>
            </w:tabs>
            <w:rPr>
              <w:rFonts w:eastAsiaTheme="minorEastAsia"/>
              <w:noProof/>
              <w:sz w:val="18"/>
              <w:szCs w:val="18"/>
            </w:rPr>
          </w:pPr>
          <w:hyperlink w:anchor="_Toc96078438" w:history="1">
            <w:r w:rsidR="003919B9" w:rsidRPr="003919B9">
              <w:rPr>
                <w:rStyle w:val="Hyperlink"/>
                <w:rFonts w:cstheme="minorHAnsi"/>
                <w:noProof/>
                <w:sz w:val="18"/>
                <w:szCs w:val="18"/>
              </w:rPr>
              <w:t>References</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_Toc96078438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11</w:t>
            </w:r>
            <w:r w:rsidR="003919B9" w:rsidRPr="003919B9">
              <w:rPr>
                <w:noProof/>
                <w:webHidden/>
                <w:sz w:val="18"/>
                <w:szCs w:val="18"/>
              </w:rPr>
              <w:fldChar w:fldCharType="end"/>
            </w:r>
          </w:hyperlink>
        </w:p>
        <w:p w:rsidR="003919B9" w:rsidRPr="003919B9" w:rsidRDefault="004F5BDD">
          <w:pPr>
            <w:pStyle w:val="TOC1"/>
            <w:tabs>
              <w:tab w:val="right" w:leader="dot" w:pos="9350"/>
            </w:tabs>
            <w:rPr>
              <w:rFonts w:eastAsiaTheme="minorEastAsia"/>
              <w:noProof/>
              <w:sz w:val="18"/>
              <w:szCs w:val="18"/>
            </w:rPr>
          </w:pPr>
          <w:hyperlink w:anchor="_Toc96078439" w:history="1">
            <w:r w:rsidR="003919B9" w:rsidRPr="003919B9">
              <w:rPr>
                <w:rStyle w:val="Hyperlink"/>
                <w:rFonts w:cstheme="minorHAnsi"/>
                <w:noProof/>
                <w:sz w:val="18"/>
                <w:szCs w:val="18"/>
              </w:rPr>
              <w:t>Data</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_Toc96078439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12</w:t>
            </w:r>
            <w:r w:rsidR="003919B9" w:rsidRPr="003919B9">
              <w:rPr>
                <w:noProof/>
                <w:webHidden/>
                <w:sz w:val="18"/>
                <w:szCs w:val="18"/>
              </w:rPr>
              <w:fldChar w:fldCharType="end"/>
            </w:r>
          </w:hyperlink>
        </w:p>
        <w:p w:rsidR="003919B9" w:rsidRPr="003919B9" w:rsidRDefault="004F5BDD">
          <w:pPr>
            <w:pStyle w:val="TOC2"/>
            <w:tabs>
              <w:tab w:val="right" w:leader="dot" w:pos="9350"/>
            </w:tabs>
            <w:rPr>
              <w:rFonts w:eastAsiaTheme="minorEastAsia"/>
              <w:noProof/>
              <w:sz w:val="18"/>
              <w:szCs w:val="18"/>
            </w:rPr>
          </w:pPr>
          <w:hyperlink w:anchor="_Toc96078440" w:history="1">
            <w:r w:rsidR="003919B9" w:rsidRPr="003919B9">
              <w:rPr>
                <w:rStyle w:val="Hyperlink"/>
                <w:rFonts w:cstheme="minorHAnsi"/>
                <w:i/>
                <w:noProof/>
                <w:sz w:val="18"/>
                <w:szCs w:val="18"/>
              </w:rPr>
              <w:t>Table S.9</w:t>
            </w:r>
            <w:r w:rsidR="00737277">
              <w:rPr>
                <w:rStyle w:val="Hyperlink"/>
                <w:rFonts w:cstheme="minorHAnsi"/>
                <w:i/>
                <w:noProof/>
                <w:sz w:val="18"/>
                <w:szCs w:val="18"/>
              </w:rPr>
              <w:t>.a,b</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_Toc96078440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12</w:t>
            </w:r>
            <w:r w:rsidR="003919B9" w:rsidRPr="003919B9">
              <w:rPr>
                <w:noProof/>
                <w:webHidden/>
                <w:sz w:val="18"/>
                <w:szCs w:val="18"/>
              </w:rPr>
              <w:fldChar w:fldCharType="end"/>
            </w:r>
          </w:hyperlink>
        </w:p>
        <w:p w:rsidR="003919B9" w:rsidRPr="003919B9" w:rsidRDefault="004F5BDD">
          <w:pPr>
            <w:pStyle w:val="TOC2"/>
            <w:tabs>
              <w:tab w:val="right" w:leader="dot" w:pos="9350"/>
            </w:tabs>
            <w:rPr>
              <w:rFonts w:eastAsiaTheme="minorEastAsia"/>
              <w:noProof/>
              <w:sz w:val="18"/>
              <w:szCs w:val="18"/>
            </w:rPr>
          </w:pPr>
          <w:hyperlink w:anchor="_Toc96078441" w:history="1">
            <w:r w:rsidR="003919B9" w:rsidRPr="003919B9">
              <w:rPr>
                <w:rStyle w:val="Hyperlink"/>
                <w:rFonts w:cstheme="minorHAnsi"/>
                <w:i/>
                <w:iCs/>
                <w:noProof/>
                <w:sz w:val="18"/>
                <w:szCs w:val="18"/>
              </w:rPr>
              <w:t>Table S.10</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_Toc96078441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32</w:t>
            </w:r>
            <w:r w:rsidR="003919B9" w:rsidRPr="003919B9">
              <w:rPr>
                <w:noProof/>
                <w:webHidden/>
                <w:sz w:val="18"/>
                <w:szCs w:val="18"/>
              </w:rPr>
              <w:fldChar w:fldCharType="end"/>
            </w:r>
          </w:hyperlink>
        </w:p>
        <w:p w:rsidR="003919B9" w:rsidRPr="003919B9" w:rsidRDefault="004F5BDD">
          <w:pPr>
            <w:pStyle w:val="TOC1"/>
            <w:tabs>
              <w:tab w:val="right" w:leader="dot" w:pos="9350"/>
            </w:tabs>
            <w:rPr>
              <w:rFonts w:eastAsiaTheme="minorEastAsia"/>
              <w:noProof/>
              <w:sz w:val="18"/>
              <w:szCs w:val="18"/>
            </w:rPr>
          </w:pPr>
          <w:hyperlink w:anchor="_Toc96078442" w:history="1">
            <w:r w:rsidR="003919B9" w:rsidRPr="003919B9">
              <w:rPr>
                <w:rStyle w:val="Hyperlink"/>
                <w:rFonts w:cstheme="minorHAnsi"/>
                <w:noProof/>
                <w:sz w:val="18"/>
                <w:szCs w:val="18"/>
              </w:rPr>
              <w:t>Data References</w:t>
            </w:r>
            <w:r w:rsidR="003919B9" w:rsidRPr="003919B9">
              <w:rPr>
                <w:noProof/>
                <w:webHidden/>
                <w:sz w:val="18"/>
                <w:szCs w:val="18"/>
              </w:rPr>
              <w:tab/>
            </w:r>
            <w:r w:rsidR="003919B9" w:rsidRPr="003919B9">
              <w:rPr>
                <w:noProof/>
                <w:webHidden/>
                <w:sz w:val="18"/>
                <w:szCs w:val="18"/>
              </w:rPr>
              <w:fldChar w:fldCharType="begin"/>
            </w:r>
            <w:r w:rsidR="003919B9" w:rsidRPr="003919B9">
              <w:rPr>
                <w:noProof/>
                <w:webHidden/>
                <w:sz w:val="18"/>
                <w:szCs w:val="18"/>
              </w:rPr>
              <w:instrText xml:space="preserve"> PAGEREF _Toc96078442 \h </w:instrText>
            </w:r>
            <w:r w:rsidR="003919B9" w:rsidRPr="003919B9">
              <w:rPr>
                <w:noProof/>
                <w:webHidden/>
                <w:sz w:val="18"/>
                <w:szCs w:val="18"/>
              </w:rPr>
            </w:r>
            <w:r w:rsidR="003919B9" w:rsidRPr="003919B9">
              <w:rPr>
                <w:noProof/>
                <w:webHidden/>
                <w:sz w:val="18"/>
                <w:szCs w:val="18"/>
              </w:rPr>
              <w:fldChar w:fldCharType="separate"/>
            </w:r>
            <w:r w:rsidR="003919B9" w:rsidRPr="003919B9">
              <w:rPr>
                <w:noProof/>
                <w:webHidden/>
                <w:sz w:val="18"/>
                <w:szCs w:val="18"/>
              </w:rPr>
              <w:t>34</w:t>
            </w:r>
            <w:r w:rsidR="003919B9" w:rsidRPr="003919B9">
              <w:rPr>
                <w:noProof/>
                <w:webHidden/>
                <w:sz w:val="18"/>
                <w:szCs w:val="18"/>
              </w:rPr>
              <w:fldChar w:fldCharType="end"/>
            </w:r>
          </w:hyperlink>
        </w:p>
        <w:p w:rsidR="0009124B" w:rsidRDefault="00EB3E17">
          <w:pPr>
            <w:spacing w:line="240" w:lineRule="auto"/>
          </w:pPr>
          <w:r w:rsidRPr="003919B9">
            <w:rPr>
              <w:bCs/>
              <w:sz w:val="18"/>
              <w:szCs w:val="18"/>
            </w:rPr>
            <w:fldChar w:fldCharType="end"/>
          </w:r>
        </w:p>
      </w:sdtContent>
    </w:sdt>
    <w:p w:rsidR="000B3880" w:rsidRDefault="00EB3E17" w:rsidP="000D0811">
      <w:pPr>
        <w:pStyle w:val="Heading1"/>
        <w:rPr>
          <w:rFonts w:asciiTheme="minorHAnsi" w:eastAsia="Times New Roman" w:hAnsiTheme="minorHAnsi" w:cstheme="minorHAnsi"/>
          <w:b/>
          <w:color w:val="auto"/>
          <w:sz w:val="22"/>
          <w:szCs w:val="22"/>
        </w:rPr>
      </w:pPr>
      <w:bookmarkStart w:id="0" w:name="_Toc96078423"/>
      <w:r>
        <w:rPr>
          <w:rFonts w:asciiTheme="minorHAnsi" w:eastAsia="Times New Roman" w:hAnsiTheme="minorHAnsi" w:cstheme="minorHAnsi"/>
          <w:b/>
          <w:color w:val="auto"/>
          <w:sz w:val="22"/>
          <w:szCs w:val="22"/>
        </w:rPr>
        <w:lastRenderedPageBreak/>
        <w:t xml:space="preserve">S.1 </w:t>
      </w:r>
      <w:r w:rsidR="00CE6D1D">
        <w:rPr>
          <w:rFonts w:asciiTheme="minorHAnsi" w:eastAsia="Times New Roman" w:hAnsiTheme="minorHAnsi" w:cstheme="minorHAnsi"/>
          <w:b/>
          <w:color w:val="auto"/>
          <w:sz w:val="22"/>
          <w:szCs w:val="22"/>
        </w:rPr>
        <w:t>A</w:t>
      </w:r>
      <w:r w:rsidR="00CE6D1D" w:rsidRPr="00CE6D1D">
        <w:rPr>
          <w:rFonts w:asciiTheme="minorHAnsi" w:eastAsia="Times New Roman" w:hAnsiTheme="minorHAnsi" w:cstheme="minorHAnsi"/>
          <w:b/>
          <w:color w:val="auto"/>
          <w:sz w:val="22"/>
          <w:szCs w:val="22"/>
        </w:rPr>
        <w:t xml:space="preserve">rithmetic </w:t>
      </w:r>
      <w:r w:rsidR="000B3880" w:rsidRPr="00EB3E17">
        <w:rPr>
          <w:rFonts w:asciiTheme="minorHAnsi" w:eastAsia="Times New Roman" w:hAnsiTheme="minorHAnsi" w:cstheme="minorHAnsi"/>
          <w:b/>
          <w:color w:val="auto"/>
          <w:sz w:val="22"/>
          <w:szCs w:val="22"/>
        </w:rPr>
        <w:t xml:space="preserve">average RRs per bio-based product with corresponding </w:t>
      </w:r>
      <w:r w:rsidR="00827B0E">
        <w:rPr>
          <w:rFonts w:asciiTheme="minorHAnsi" w:eastAsia="Times New Roman" w:hAnsiTheme="minorHAnsi" w:cstheme="minorHAnsi"/>
          <w:b/>
          <w:color w:val="auto"/>
          <w:sz w:val="22"/>
          <w:szCs w:val="22"/>
        </w:rPr>
        <w:t>95% CI</w:t>
      </w:r>
      <w:r w:rsidR="000B3880">
        <w:rPr>
          <w:rFonts w:asciiTheme="minorHAnsi" w:eastAsia="Times New Roman" w:hAnsiTheme="minorHAnsi" w:cstheme="minorHAnsi"/>
          <w:b/>
          <w:color w:val="auto"/>
          <w:sz w:val="22"/>
          <w:szCs w:val="22"/>
        </w:rPr>
        <w:t>: ordered from largest reduction to highest increase.</w:t>
      </w:r>
      <w:bookmarkEnd w:id="0"/>
    </w:p>
    <w:p w:rsidR="000B3880" w:rsidRDefault="000B3880" w:rsidP="000D0811"/>
    <w:p w:rsidR="000B3880" w:rsidRDefault="000B3880" w:rsidP="000B3880">
      <w:pPr>
        <w:pStyle w:val="Caption"/>
        <w:keepNext/>
        <w:rPr>
          <w:rFonts w:cstheme="minorHAnsi"/>
          <w:color w:val="auto"/>
        </w:rPr>
      </w:pPr>
      <w:bookmarkStart w:id="1" w:name="_Toc95306292"/>
      <w:bookmarkStart w:id="2" w:name="_Toc95306683"/>
      <w:bookmarkStart w:id="3" w:name="_Toc96078424"/>
      <w:r>
        <w:rPr>
          <w:rStyle w:val="Heading2Char"/>
          <w:rFonts w:asciiTheme="minorHAnsi" w:hAnsiTheme="minorHAnsi" w:cstheme="minorHAnsi"/>
          <w:b/>
          <w:color w:val="auto"/>
          <w:sz w:val="18"/>
          <w:szCs w:val="18"/>
        </w:rPr>
        <w:t>Table S.</w:t>
      </w:r>
      <w:r>
        <w:rPr>
          <w:rStyle w:val="Heading2Char"/>
          <w:rFonts w:asciiTheme="minorHAnsi" w:hAnsiTheme="minorHAnsi" w:cstheme="minorHAnsi"/>
          <w:b/>
          <w:color w:val="auto"/>
          <w:sz w:val="18"/>
          <w:szCs w:val="18"/>
        </w:rPr>
        <w:fldChar w:fldCharType="begin"/>
      </w:r>
      <w:r>
        <w:rPr>
          <w:rStyle w:val="Heading2Char"/>
          <w:rFonts w:asciiTheme="minorHAnsi" w:hAnsiTheme="minorHAnsi" w:cstheme="minorHAnsi"/>
          <w:b/>
          <w:color w:val="auto"/>
          <w:sz w:val="18"/>
          <w:szCs w:val="18"/>
        </w:rPr>
        <w:instrText xml:space="preserve"> SEQ Table \* ARABIC </w:instrText>
      </w:r>
      <w:r>
        <w:rPr>
          <w:rStyle w:val="Heading2Char"/>
          <w:rFonts w:asciiTheme="minorHAnsi" w:hAnsiTheme="minorHAnsi" w:cstheme="minorHAnsi"/>
          <w:b/>
          <w:color w:val="auto"/>
          <w:sz w:val="18"/>
          <w:szCs w:val="18"/>
        </w:rPr>
        <w:fldChar w:fldCharType="separate"/>
      </w:r>
      <w:r w:rsidR="008D7E13">
        <w:rPr>
          <w:rStyle w:val="Heading2Char"/>
          <w:rFonts w:asciiTheme="minorHAnsi" w:hAnsiTheme="minorHAnsi" w:cstheme="minorHAnsi"/>
          <w:b/>
          <w:noProof/>
          <w:color w:val="auto"/>
          <w:sz w:val="18"/>
          <w:szCs w:val="18"/>
        </w:rPr>
        <w:t>1</w:t>
      </w:r>
      <w:bookmarkEnd w:id="1"/>
      <w:bookmarkEnd w:id="2"/>
      <w:bookmarkEnd w:id="3"/>
      <w:r>
        <w:rPr>
          <w:rStyle w:val="Heading2Char"/>
          <w:rFonts w:asciiTheme="minorHAnsi" w:hAnsiTheme="minorHAnsi" w:cstheme="minorHAnsi"/>
          <w:b/>
          <w:color w:val="auto"/>
          <w:sz w:val="18"/>
          <w:szCs w:val="18"/>
        </w:rPr>
        <w:fldChar w:fldCharType="end"/>
      </w:r>
      <w:r>
        <w:rPr>
          <w:rFonts w:cstheme="minorHAnsi"/>
          <w:color w:val="auto"/>
        </w:rPr>
        <w:t xml:space="preserve">: overview of the bio-based products, the number of data points (n), the </w:t>
      </w:r>
      <w:r w:rsidR="00CE6D1D" w:rsidRPr="00CE6D1D">
        <w:rPr>
          <w:rFonts w:cstheme="minorHAnsi"/>
          <w:color w:val="auto"/>
        </w:rPr>
        <w:t xml:space="preserve">arithmetic </w:t>
      </w:r>
      <w:r w:rsidRPr="00EB3E17">
        <w:rPr>
          <w:rFonts w:cstheme="minorHAnsi"/>
          <w:color w:val="auto"/>
        </w:rPr>
        <w:t xml:space="preserve">average </w:t>
      </w:r>
      <w:r>
        <w:rPr>
          <w:rFonts w:cstheme="minorHAnsi"/>
          <w:color w:val="auto"/>
        </w:rPr>
        <w:t xml:space="preserve">RR and </w:t>
      </w:r>
      <w:r w:rsidR="00827B0E">
        <w:rPr>
          <w:rFonts w:cstheme="minorHAnsi"/>
          <w:color w:val="auto"/>
        </w:rPr>
        <w:t>95% CI</w:t>
      </w:r>
      <w:r>
        <w:rPr>
          <w:rFonts w:cstheme="minorHAnsi"/>
          <w:color w:val="auto"/>
        </w:rPr>
        <w:t xml:space="preserve">; if n = 1, there is no </w:t>
      </w:r>
      <w:r w:rsidR="00827B0E">
        <w:rPr>
          <w:rFonts w:cstheme="minorHAnsi"/>
          <w:color w:val="auto"/>
        </w:rPr>
        <w:t>95% CI</w:t>
      </w:r>
      <w:r>
        <w:rPr>
          <w:rFonts w:cstheme="minorHAnsi"/>
          <w:color w:val="auto"/>
        </w:rPr>
        <w:t xml:space="preserve">, which is indicated with 0; *indicates the bio-based product with their average and </w:t>
      </w:r>
      <w:r w:rsidR="00827B0E">
        <w:rPr>
          <w:rFonts w:cstheme="minorHAnsi"/>
          <w:color w:val="auto"/>
        </w:rPr>
        <w:t>95% CI</w:t>
      </w:r>
      <w:r>
        <w:rPr>
          <w:rFonts w:cstheme="minorHAnsi"/>
          <w:color w:val="auto"/>
        </w:rPr>
        <w:t xml:space="preserve"> below zero.</w:t>
      </w:r>
    </w:p>
    <w:tbl>
      <w:tblPr>
        <w:tblW w:w="9174" w:type="dxa"/>
        <w:tblLook w:val="04A0" w:firstRow="1" w:lastRow="0" w:firstColumn="1" w:lastColumn="0" w:noHBand="0" w:noVBand="1"/>
      </w:tblPr>
      <w:tblGrid>
        <w:gridCol w:w="4923"/>
        <w:gridCol w:w="569"/>
        <w:gridCol w:w="1387"/>
        <w:gridCol w:w="1147"/>
        <w:gridCol w:w="1148"/>
      </w:tblGrid>
      <w:tr w:rsidR="0009124B">
        <w:trPr>
          <w:trHeight w:hRule="exact" w:val="677"/>
        </w:trPr>
        <w:tc>
          <w:tcPr>
            <w:tcW w:w="4923" w:type="dxa"/>
            <w:tcBorders>
              <w:top w:val="single" w:sz="8" w:space="0" w:color="auto"/>
              <w:bottom w:val="single" w:sz="8" w:space="0" w:color="auto"/>
            </w:tcBorders>
          </w:tcPr>
          <w:p w:rsidR="0009124B" w:rsidRDefault="000D0811">
            <w:pPr>
              <w:spacing w:line="240" w:lineRule="auto"/>
              <w:rPr>
                <w:rFonts w:eastAsia="Times New Roman" w:cstheme="minorHAnsi"/>
                <w:b/>
                <w:sz w:val="18"/>
                <w:szCs w:val="18"/>
              </w:rPr>
            </w:pPr>
            <w:r>
              <w:rPr>
                <w:rFonts w:eastAsia="Times New Roman" w:cstheme="minorHAnsi"/>
                <w:b/>
                <w:sz w:val="18"/>
                <w:szCs w:val="18"/>
              </w:rPr>
              <w:t>Bio-based product</w:t>
            </w:r>
          </w:p>
        </w:tc>
        <w:tc>
          <w:tcPr>
            <w:tcW w:w="569" w:type="dxa"/>
            <w:tcBorders>
              <w:top w:val="single" w:sz="8" w:space="0" w:color="auto"/>
              <w:bottom w:val="single" w:sz="8" w:space="0" w:color="auto"/>
            </w:tcBorders>
          </w:tcPr>
          <w:p w:rsidR="0009124B" w:rsidRDefault="000D0811">
            <w:pPr>
              <w:spacing w:line="240" w:lineRule="auto"/>
              <w:rPr>
                <w:rFonts w:eastAsia="Times New Roman" w:cstheme="minorHAnsi"/>
                <w:b/>
                <w:sz w:val="18"/>
                <w:szCs w:val="18"/>
              </w:rPr>
            </w:pPr>
            <w:r>
              <w:rPr>
                <w:rFonts w:eastAsia="Times New Roman" w:cstheme="minorHAnsi"/>
                <w:b/>
                <w:sz w:val="18"/>
                <w:szCs w:val="18"/>
              </w:rPr>
              <w:t xml:space="preserve">n </w:t>
            </w:r>
          </w:p>
        </w:tc>
        <w:tc>
          <w:tcPr>
            <w:tcW w:w="1387" w:type="dxa"/>
            <w:tcBorders>
              <w:top w:val="single" w:sz="8" w:space="0" w:color="auto"/>
              <w:bottom w:val="single" w:sz="8" w:space="0" w:color="auto"/>
            </w:tcBorders>
          </w:tcPr>
          <w:p w:rsidR="0009124B" w:rsidRDefault="00554658" w:rsidP="00554658">
            <w:pPr>
              <w:spacing w:line="240" w:lineRule="auto"/>
              <w:rPr>
                <w:rFonts w:eastAsia="Times New Roman" w:cstheme="minorHAnsi"/>
                <w:b/>
                <w:sz w:val="18"/>
                <w:szCs w:val="18"/>
              </w:rPr>
            </w:pPr>
            <w:r>
              <w:rPr>
                <w:rFonts w:eastAsia="Times New Roman" w:cstheme="minorHAnsi"/>
                <w:b/>
                <w:sz w:val="18"/>
                <w:szCs w:val="18"/>
              </w:rPr>
              <w:t>A</w:t>
            </w:r>
            <w:r w:rsidRPr="00554658">
              <w:rPr>
                <w:rFonts w:eastAsia="Times New Roman" w:cstheme="minorHAnsi"/>
                <w:b/>
                <w:sz w:val="18"/>
                <w:szCs w:val="18"/>
              </w:rPr>
              <w:t>rithmetic average</w:t>
            </w:r>
            <w:r>
              <w:rPr>
                <w:rFonts w:eastAsia="Times New Roman" w:cstheme="minorHAnsi"/>
                <w:b/>
                <w:sz w:val="18"/>
                <w:szCs w:val="18"/>
              </w:rPr>
              <w:t xml:space="preserve"> (</w:t>
            </w:r>
            <w:r w:rsidR="000D0811">
              <w:rPr>
                <w:rFonts w:eastAsia="Times New Roman" w:cstheme="minorHAnsi"/>
                <w:b/>
                <w:sz w:val="18"/>
                <w:szCs w:val="18"/>
              </w:rPr>
              <w:t>RR)</w:t>
            </w:r>
          </w:p>
        </w:tc>
        <w:tc>
          <w:tcPr>
            <w:tcW w:w="1147" w:type="dxa"/>
            <w:tcBorders>
              <w:top w:val="single" w:sz="8" w:space="0" w:color="auto"/>
              <w:bottom w:val="single" w:sz="8" w:space="0" w:color="auto"/>
            </w:tcBorders>
          </w:tcPr>
          <w:p w:rsidR="0009124B" w:rsidRDefault="000D0811">
            <w:pPr>
              <w:spacing w:line="240" w:lineRule="auto"/>
              <w:rPr>
                <w:rFonts w:eastAsia="Times New Roman" w:cstheme="minorHAnsi"/>
                <w:b/>
                <w:sz w:val="18"/>
                <w:szCs w:val="18"/>
              </w:rPr>
            </w:pPr>
            <w:r>
              <w:rPr>
                <w:rFonts w:eastAsia="Times New Roman" w:cstheme="minorHAnsi"/>
                <w:b/>
                <w:sz w:val="18"/>
                <w:szCs w:val="18"/>
              </w:rPr>
              <w:t xml:space="preserve">Lower end </w:t>
            </w:r>
            <w:r w:rsidR="00827B0E">
              <w:rPr>
                <w:rFonts w:eastAsia="Times New Roman" w:cstheme="minorHAnsi"/>
                <w:b/>
                <w:sz w:val="18"/>
                <w:szCs w:val="18"/>
              </w:rPr>
              <w:t>95% CI</w:t>
            </w:r>
          </w:p>
        </w:tc>
        <w:tc>
          <w:tcPr>
            <w:tcW w:w="1148" w:type="dxa"/>
            <w:tcBorders>
              <w:top w:val="single" w:sz="8" w:space="0" w:color="auto"/>
              <w:bottom w:val="single" w:sz="8" w:space="0" w:color="auto"/>
            </w:tcBorders>
          </w:tcPr>
          <w:p w:rsidR="0009124B" w:rsidRDefault="000D0811">
            <w:pPr>
              <w:spacing w:line="240" w:lineRule="auto"/>
              <w:rPr>
                <w:rFonts w:eastAsia="Times New Roman" w:cstheme="minorHAnsi"/>
                <w:b/>
                <w:sz w:val="18"/>
                <w:szCs w:val="18"/>
              </w:rPr>
            </w:pPr>
            <w:r>
              <w:rPr>
                <w:rFonts w:eastAsia="Times New Roman" w:cstheme="minorHAnsi"/>
                <w:b/>
                <w:sz w:val="18"/>
                <w:szCs w:val="18"/>
              </w:rPr>
              <w:t xml:space="preserve">Higher end </w:t>
            </w:r>
            <w:r w:rsidR="00827B0E">
              <w:rPr>
                <w:rFonts w:eastAsia="Times New Roman" w:cstheme="minorHAnsi"/>
                <w:b/>
                <w:sz w:val="18"/>
                <w:szCs w:val="18"/>
              </w:rPr>
              <w:t>95% CI</w:t>
            </w:r>
          </w:p>
        </w:tc>
      </w:tr>
      <w:tr w:rsidR="0009124B">
        <w:trPr>
          <w:trHeight w:hRule="exact" w:val="227"/>
        </w:trPr>
        <w:tc>
          <w:tcPr>
            <w:tcW w:w="4923" w:type="dxa"/>
            <w:tcBorders>
              <w:top w:val="single" w:sz="8" w:space="0" w:color="auto"/>
            </w:tcBorders>
          </w:tcPr>
          <w:p w:rsidR="0009124B" w:rsidRDefault="000D0811">
            <w:pPr>
              <w:spacing w:line="240" w:lineRule="auto"/>
              <w:rPr>
                <w:rFonts w:eastAsia="Times New Roman" w:cstheme="minorHAnsi"/>
                <w:sz w:val="18"/>
                <w:szCs w:val="18"/>
              </w:rPr>
            </w:pPr>
            <w:r>
              <w:rPr>
                <w:rFonts w:cstheme="minorHAnsi"/>
                <w:sz w:val="18"/>
                <w:szCs w:val="18"/>
              </w:rPr>
              <w:t>WOOD FIBRE/PLA/TPS BIOCOMPOSITE</w:t>
            </w:r>
          </w:p>
        </w:tc>
        <w:tc>
          <w:tcPr>
            <w:tcW w:w="569" w:type="dxa"/>
            <w:tcBorders>
              <w:top w:val="single" w:sz="8" w:space="0" w:color="auto"/>
            </w:tcBorders>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tcBorders>
              <w:top w:val="single" w:sz="8" w:space="0" w:color="auto"/>
            </w:tcBorders>
            <w:vAlign w:val="bottom"/>
          </w:tcPr>
          <w:p w:rsidR="0009124B" w:rsidRDefault="000D0811">
            <w:pPr>
              <w:spacing w:line="240" w:lineRule="auto"/>
              <w:jc w:val="center"/>
              <w:rPr>
                <w:rFonts w:eastAsia="Times New Roman" w:cstheme="minorHAnsi"/>
                <w:sz w:val="18"/>
                <w:szCs w:val="18"/>
              </w:rPr>
            </w:pPr>
            <w:r>
              <w:rPr>
                <w:rFonts w:cstheme="minorHAnsi"/>
                <w:sz w:val="18"/>
                <w:szCs w:val="18"/>
              </w:rPr>
              <w:t>-2.75</w:t>
            </w:r>
          </w:p>
        </w:tc>
        <w:tc>
          <w:tcPr>
            <w:tcW w:w="1147" w:type="dxa"/>
            <w:tcBorders>
              <w:top w:val="single" w:sz="8" w:space="0" w:color="auto"/>
            </w:tcBorders>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tcBorders>
              <w:top w:val="single" w:sz="8" w:space="0" w:color="auto"/>
            </w:tcBorders>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WOOD FIBRE/PLA BIOCOMPOSITE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-2.64</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SPIRO-BISPHENOL</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-1.87</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BOPLA*</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3</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-1.87</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-2.24</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-1.50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1,3-PROPANEDIOL*</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4</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-1.68</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-2.34</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-1.02</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3-HYDROXY PROPIONIC ACID</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-1.55</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BIOLUBRICANT</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-1.54</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POLYLIMONENE CARBONATE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-1.52</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CURED WOOD FLOORING COATING</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-1.49</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BIOPOLYETHYLENE/BAGASSE FIBERS BIOCOMPOSITE*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-1.35</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-1.36</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-1.33</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DIOL V</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-1.30</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POLYLACTIDE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-1.28</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BIOPOLYMER</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-1.23</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WAX ESTERS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-1.19</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ADIPIC ACID*</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5</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-1.17</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-1.76</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-0.58</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NANOCELLULOSE (MICROFIBRILLATED CELLULOSE (MFC))*</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6</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-1.13</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-1.93</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-0.32</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POLYOLS*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3</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-1.09</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-1.33</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-0.85</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FLAX MAT/PLA BIOCOMPOSITE LAMINATES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-1.09</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POLYESTER BINDERS*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-1.09</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-1.36</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-0.81</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FORMIC ACID*</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3</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-1.05</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-1.29</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-0.82</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WHEAT-GLUTEN-BASED PACKAGING FILM</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-1.03</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CELLULOSE NANOWHISKERS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-1.01</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-3.15</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1.13</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HEXANOIC ACID*</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7</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-0.97</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-1.47</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-0.47</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LACTIC ACID*</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18</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-0.97</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-1.64</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-0.29</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FLAX MAT/PLLA/BALSA BIO-SANDWICH PANELS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-0.94</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3-PROPANEDIOL</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-0.91</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POLYITACONIC ACID*</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-0.90</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-1.40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-0.41</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SPIROCYCLIC DIOL</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-0.89</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ETHYLENE*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14</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-0.85</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-1.31</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-0.39</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1,3-BUTADIENE*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6</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-0.85</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-1.24</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-0.46</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LEVOGLUCOSAN</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-0.84</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PP</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3</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-0.80</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-2.01</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ISOBUTANOL*</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-0.80</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-1.17</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-0.44</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CURAUÁ/PP COMPOSITE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-0.76</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PROPYLENE GLYCOL</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3</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-0.75</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-1.71</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0.21</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2,3-BUTANEDIOL*</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4</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-0.70</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-0.81</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-0.60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-0.70</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MULCH FILM*</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3</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-0.68</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-0.79</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-0.57</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1,4-BUTANEDIOL*</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-0.66</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-0.82</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ALKYL POLYGLYCOSIDES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-0.64</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STARCH-FILLED POLYPROPYLENE*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-0.64</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-0.65</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-0.63</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LIGNIN POWDER</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-0.64</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PROPIONIC ACID*</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6</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-0.59</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-0.78</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SUCCINIC ACID</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20</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-0.55</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-1.10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LACTIDE*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8</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-0.53</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-0.56</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ACETONITRILE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-0.52</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lastRenderedPageBreak/>
              <w:t>OLEFINS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-0.52</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SODIUM POLYACRYLATE (NA-PA)*</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-0.50</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-0.52</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-0.48</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PSA BIOADHESIVE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-0.47</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ETHYL LACTATE*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-0.46</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-0.83</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-0.09</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POLYETHYLENE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-0.44</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PHB</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7</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-0.40</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-0.97</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0.17</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PU FOAMS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-0.37</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PHA*</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-0.36</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-0.69</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-0.04</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PLA*</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4</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-0.36</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-0.46</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-0.26</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LINSEED OIL/FLAX FIBRE/MMP BIOCOMPOSITE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-0.33</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FDCA</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-0.32</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PHB/KENAF COMPOSITE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-0.30</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PHENOLIC</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-0.27</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P-XYLENE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-0.27</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-1.84</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1.30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HDPE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6</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-0.23</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-0.48</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0.01</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PAG BIOADHESIVE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-0.22</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MODAL ANTI BACTERIAL FABRIC*</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-0.22</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-0.32</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-0.12</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BIOFILM</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-0.19</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BUTYLCATECHOL</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-0.19</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LLDPE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-0.18</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-0.95</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0.58</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EPOXIDIZED SUCROSE SOYATE COMPOSITES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-0.17</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LDPE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-0.17</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-0.90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0.56</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HEMP SHIV/SOL-GEL COATING MATERIAL</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-0.15</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EPOXY RESIN SUPERSAP</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3</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-0.13</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-0.30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0.03</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1,3-DIHYDROXYACETONE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3</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-0.12</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-0.46</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0.22</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SOY BIOADHESIVE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-0.04</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HEXAMETHYLENEDIAMINE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-0.03</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0.05</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METHANOL</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0.01</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-1.77</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1.78</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TANNIN BIOADHESIVE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0.03</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PET</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9</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0.09</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-0.04</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0.21</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ACETONE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0.14</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-0.09</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0.37</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PHLA</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0.16</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PBS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6</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0.19</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-0.14</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0.52</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2-METHYL TETRAHYDROFURAN</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3</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0.22</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-0.19</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0.63</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POLY(LACTIC ACID)/CELLULOSE NANOCRYSTAL/LIMONENE BIOFILM</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0.34</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NANOFIBRILLATED CELLULOSE (NFC)-REINFORCED EPOXY COMPOSITES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0.49</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NANOCELLULOSE YARN</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0.55</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BACTERIAL CELLULOSE (BC)-REINFORCED EPOXY COMPOSITES</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1</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0.81</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0.00</w:t>
            </w:r>
          </w:p>
        </w:tc>
      </w:tr>
      <w:tr w:rsidR="0009124B">
        <w:trPr>
          <w:trHeight w:hRule="exact" w:val="227"/>
        </w:trPr>
        <w:tc>
          <w:tcPr>
            <w:tcW w:w="4923" w:type="dxa"/>
          </w:tcPr>
          <w:p w:rsidR="0009124B" w:rsidRDefault="000D0811">
            <w:pPr>
              <w:spacing w:line="240" w:lineRule="auto"/>
              <w:rPr>
                <w:rFonts w:eastAsia="Times New Roman" w:cstheme="minorHAnsi"/>
                <w:sz w:val="18"/>
                <w:szCs w:val="18"/>
              </w:rPr>
            </w:pPr>
            <w:r>
              <w:rPr>
                <w:rFonts w:cstheme="minorHAnsi"/>
                <w:sz w:val="18"/>
                <w:szCs w:val="18"/>
              </w:rPr>
              <w:t>LIGNIN BIOADHESIVE</w:t>
            </w:r>
          </w:p>
        </w:tc>
        <w:tc>
          <w:tcPr>
            <w:tcW w:w="569" w:type="dxa"/>
          </w:tcPr>
          <w:p w:rsidR="0009124B" w:rsidRDefault="000D0811">
            <w:pPr>
              <w:spacing w:line="240" w:lineRule="auto"/>
              <w:rPr>
                <w:rFonts w:eastAsia="Times New Roman" w:cstheme="minorHAnsi"/>
                <w:sz w:val="18"/>
                <w:szCs w:val="18"/>
              </w:rPr>
            </w:pPr>
            <w:r>
              <w:rPr>
                <w:rFonts w:cstheme="minorHAnsi"/>
                <w:sz w:val="18"/>
                <w:szCs w:val="18"/>
              </w:rPr>
              <w:t>2</w:t>
            </w:r>
          </w:p>
        </w:tc>
        <w:tc>
          <w:tcPr>
            <w:tcW w:w="138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1.37</w:t>
            </w:r>
          </w:p>
        </w:tc>
        <w:tc>
          <w:tcPr>
            <w:tcW w:w="1147"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0.76</w:t>
            </w:r>
          </w:p>
        </w:tc>
        <w:tc>
          <w:tcPr>
            <w:tcW w:w="1148" w:type="dxa"/>
            <w:vAlign w:val="bottom"/>
          </w:tcPr>
          <w:p w:rsidR="0009124B" w:rsidRDefault="000D0811">
            <w:pPr>
              <w:spacing w:line="240" w:lineRule="auto"/>
              <w:jc w:val="center"/>
              <w:rPr>
                <w:rFonts w:eastAsia="Times New Roman" w:cstheme="minorHAnsi"/>
                <w:sz w:val="18"/>
                <w:szCs w:val="18"/>
              </w:rPr>
            </w:pPr>
            <w:r>
              <w:rPr>
                <w:rFonts w:cstheme="minorHAnsi"/>
                <w:sz w:val="18"/>
                <w:szCs w:val="18"/>
              </w:rPr>
              <w:t>1.98</w:t>
            </w:r>
          </w:p>
        </w:tc>
      </w:tr>
      <w:tr w:rsidR="0009124B">
        <w:trPr>
          <w:trHeight w:hRule="exact" w:val="227"/>
        </w:trPr>
        <w:tc>
          <w:tcPr>
            <w:tcW w:w="4923" w:type="dxa"/>
            <w:tcBorders>
              <w:bottom w:val="single" w:sz="8" w:space="0" w:color="auto"/>
            </w:tcBorders>
          </w:tcPr>
          <w:p w:rsidR="0009124B" w:rsidRDefault="000D0811">
            <w:pPr>
              <w:spacing w:line="240" w:lineRule="auto"/>
              <w:rPr>
                <w:rFonts w:eastAsia="Times New Roman" w:cstheme="minorHAnsi"/>
                <w:sz w:val="18"/>
                <w:szCs w:val="18"/>
              </w:rPr>
            </w:pPr>
            <w:r>
              <w:rPr>
                <w:rFonts w:cstheme="minorHAnsi"/>
                <w:sz w:val="18"/>
                <w:szCs w:val="18"/>
              </w:rPr>
              <w:t>CNC FOAM</w:t>
            </w:r>
          </w:p>
        </w:tc>
        <w:tc>
          <w:tcPr>
            <w:tcW w:w="569" w:type="dxa"/>
            <w:tcBorders>
              <w:bottom w:val="single" w:sz="8" w:space="0" w:color="auto"/>
            </w:tcBorders>
          </w:tcPr>
          <w:p w:rsidR="0009124B" w:rsidRDefault="000D0811">
            <w:pPr>
              <w:spacing w:line="240" w:lineRule="auto"/>
              <w:rPr>
                <w:rFonts w:eastAsia="Times New Roman" w:cstheme="minorHAnsi"/>
                <w:sz w:val="18"/>
                <w:szCs w:val="18"/>
              </w:rPr>
            </w:pPr>
            <w:r>
              <w:rPr>
                <w:rFonts w:cstheme="minorHAnsi"/>
                <w:sz w:val="18"/>
                <w:szCs w:val="18"/>
              </w:rPr>
              <w:t>3</w:t>
            </w:r>
          </w:p>
        </w:tc>
        <w:tc>
          <w:tcPr>
            <w:tcW w:w="1387" w:type="dxa"/>
            <w:tcBorders>
              <w:bottom w:val="single" w:sz="8" w:space="0" w:color="auto"/>
            </w:tcBorders>
            <w:vAlign w:val="bottom"/>
          </w:tcPr>
          <w:p w:rsidR="0009124B" w:rsidRDefault="000D0811">
            <w:pPr>
              <w:spacing w:line="240" w:lineRule="auto"/>
              <w:jc w:val="center"/>
              <w:rPr>
                <w:rFonts w:eastAsia="Times New Roman" w:cstheme="minorHAnsi"/>
                <w:sz w:val="18"/>
                <w:szCs w:val="18"/>
              </w:rPr>
            </w:pPr>
            <w:r>
              <w:rPr>
                <w:rFonts w:cstheme="minorHAnsi"/>
                <w:sz w:val="18"/>
                <w:szCs w:val="18"/>
              </w:rPr>
              <w:t>1.44</w:t>
            </w:r>
          </w:p>
        </w:tc>
        <w:tc>
          <w:tcPr>
            <w:tcW w:w="1147" w:type="dxa"/>
            <w:tcBorders>
              <w:bottom w:val="single" w:sz="8" w:space="0" w:color="auto"/>
            </w:tcBorders>
            <w:vAlign w:val="bottom"/>
          </w:tcPr>
          <w:p w:rsidR="0009124B" w:rsidRDefault="000D0811">
            <w:pPr>
              <w:spacing w:line="240" w:lineRule="auto"/>
              <w:jc w:val="center"/>
              <w:rPr>
                <w:rFonts w:eastAsia="Times New Roman" w:cstheme="minorHAnsi"/>
                <w:sz w:val="18"/>
                <w:szCs w:val="18"/>
              </w:rPr>
            </w:pPr>
            <w:r>
              <w:rPr>
                <w:rFonts w:cstheme="minorHAnsi"/>
                <w:sz w:val="18"/>
                <w:szCs w:val="18"/>
              </w:rPr>
              <w:t>1.05</w:t>
            </w:r>
          </w:p>
        </w:tc>
        <w:tc>
          <w:tcPr>
            <w:tcW w:w="1148" w:type="dxa"/>
            <w:tcBorders>
              <w:bottom w:val="single" w:sz="8" w:space="0" w:color="auto"/>
            </w:tcBorders>
            <w:vAlign w:val="bottom"/>
          </w:tcPr>
          <w:p w:rsidR="0009124B" w:rsidRDefault="000D0811">
            <w:pPr>
              <w:spacing w:line="240" w:lineRule="auto"/>
              <w:jc w:val="center"/>
              <w:rPr>
                <w:rFonts w:eastAsia="Times New Roman" w:cstheme="minorHAnsi"/>
                <w:sz w:val="18"/>
                <w:szCs w:val="18"/>
              </w:rPr>
            </w:pPr>
            <w:r>
              <w:rPr>
                <w:rFonts w:cstheme="minorHAnsi"/>
                <w:sz w:val="18"/>
                <w:szCs w:val="18"/>
              </w:rPr>
              <w:t>1.83</w:t>
            </w:r>
          </w:p>
        </w:tc>
      </w:tr>
    </w:tbl>
    <w:p w:rsidR="0009124B" w:rsidRDefault="0009124B">
      <w:pPr>
        <w:rPr>
          <w:rFonts w:eastAsia="Times New Roman" w:cstheme="minorHAnsi"/>
          <w:b/>
          <w:szCs w:val="20"/>
        </w:rPr>
      </w:pPr>
    </w:p>
    <w:p w:rsidR="0009124B" w:rsidRDefault="00EB3E17">
      <w:pPr>
        <w:rPr>
          <w:rFonts w:cstheme="minorHAnsi"/>
          <w:b/>
        </w:rPr>
      </w:pPr>
      <w:r>
        <w:rPr>
          <w:rFonts w:cstheme="minorHAnsi"/>
          <w:b/>
        </w:rPr>
        <w:br w:type="page"/>
      </w:r>
    </w:p>
    <w:p w:rsidR="0009124B" w:rsidRDefault="00EB3E17">
      <w:pPr>
        <w:pStyle w:val="Heading1"/>
        <w:rPr>
          <w:rFonts w:asciiTheme="minorHAnsi" w:eastAsia="Times New Roman" w:hAnsiTheme="minorHAnsi" w:cstheme="minorHAnsi"/>
          <w:b/>
          <w:color w:val="auto"/>
          <w:sz w:val="22"/>
          <w:szCs w:val="22"/>
        </w:rPr>
      </w:pPr>
      <w:bookmarkStart w:id="4" w:name="_Toc96078425"/>
      <w:r>
        <w:rPr>
          <w:rFonts w:asciiTheme="minorHAnsi" w:eastAsia="Times New Roman" w:hAnsiTheme="minorHAnsi" w:cstheme="minorHAnsi"/>
          <w:b/>
          <w:color w:val="auto"/>
          <w:sz w:val="22"/>
          <w:szCs w:val="22"/>
        </w:rPr>
        <w:lastRenderedPageBreak/>
        <w:t>S.2 Additional calculations in ‘Greenhouse gas Footprints’</w:t>
      </w:r>
      <w:bookmarkEnd w:id="4"/>
    </w:p>
    <w:p w:rsidR="0009124B" w:rsidRDefault="0009124B"/>
    <w:p w:rsidR="0009124B" w:rsidRDefault="00EB3E17">
      <w:pPr>
        <w:pStyle w:val="Caption"/>
        <w:keepNext/>
        <w:rPr>
          <w:color w:val="auto"/>
        </w:rPr>
      </w:pPr>
      <w:bookmarkStart w:id="5" w:name="_Toc95306294"/>
      <w:bookmarkStart w:id="6" w:name="_Toc95306685"/>
      <w:bookmarkStart w:id="7" w:name="_Toc96078426"/>
      <w:r>
        <w:rPr>
          <w:rStyle w:val="Heading2Char"/>
          <w:rFonts w:asciiTheme="minorHAnsi" w:hAnsiTheme="minorHAnsi" w:cstheme="minorHAnsi"/>
          <w:b/>
          <w:color w:val="auto"/>
          <w:sz w:val="18"/>
          <w:szCs w:val="18"/>
        </w:rPr>
        <w:t>Table S.</w:t>
      </w:r>
      <w:r>
        <w:rPr>
          <w:rStyle w:val="Heading2Char"/>
          <w:rFonts w:asciiTheme="minorHAnsi" w:hAnsiTheme="minorHAnsi" w:cstheme="minorHAnsi"/>
          <w:b/>
          <w:color w:val="auto"/>
          <w:sz w:val="18"/>
          <w:szCs w:val="18"/>
        </w:rPr>
        <w:fldChar w:fldCharType="begin"/>
      </w:r>
      <w:r>
        <w:rPr>
          <w:rStyle w:val="Heading2Char"/>
          <w:rFonts w:asciiTheme="minorHAnsi" w:hAnsiTheme="minorHAnsi" w:cstheme="minorHAnsi"/>
          <w:b/>
          <w:color w:val="auto"/>
          <w:sz w:val="18"/>
          <w:szCs w:val="18"/>
        </w:rPr>
        <w:instrText xml:space="preserve"> SEQ Table \* ARABIC </w:instrText>
      </w:r>
      <w:r>
        <w:rPr>
          <w:rStyle w:val="Heading2Char"/>
          <w:rFonts w:asciiTheme="minorHAnsi" w:hAnsiTheme="minorHAnsi" w:cstheme="minorHAnsi"/>
          <w:b/>
          <w:color w:val="auto"/>
          <w:sz w:val="18"/>
          <w:szCs w:val="18"/>
        </w:rPr>
        <w:fldChar w:fldCharType="separate"/>
      </w:r>
      <w:r w:rsidR="008D7E13">
        <w:rPr>
          <w:rStyle w:val="Heading2Char"/>
          <w:rFonts w:asciiTheme="minorHAnsi" w:hAnsiTheme="minorHAnsi" w:cstheme="minorHAnsi"/>
          <w:b/>
          <w:noProof/>
          <w:color w:val="auto"/>
          <w:sz w:val="18"/>
          <w:szCs w:val="18"/>
        </w:rPr>
        <w:t>2</w:t>
      </w:r>
      <w:bookmarkEnd w:id="5"/>
      <w:bookmarkEnd w:id="6"/>
      <w:bookmarkEnd w:id="7"/>
      <w:r>
        <w:rPr>
          <w:rStyle w:val="Heading2Char"/>
          <w:rFonts w:asciiTheme="minorHAnsi" w:hAnsiTheme="minorHAnsi" w:cstheme="minorHAnsi"/>
          <w:b/>
          <w:color w:val="auto"/>
          <w:sz w:val="18"/>
          <w:szCs w:val="18"/>
        </w:rPr>
        <w:fldChar w:fldCharType="end"/>
      </w:r>
      <w:r>
        <w:rPr>
          <w:color w:val="auto"/>
        </w:rPr>
        <w:t xml:space="preserve">: additional GHG emission calculations in the section ‘Greenhouse gas Footprints’. </w:t>
      </w:r>
    </w:p>
    <w:tbl>
      <w:tblPr>
        <w:tblStyle w:val="PlainTable21"/>
        <w:tblW w:w="0" w:type="auto"/>
        <w:tblLook w:val="04A0" w:firstRow="1" w:lastRow="0" w:firstColumn="1" w:lastColumn="0" w:noHBand="0" w:noVBand="1"/>
      </w:tblPr>
      <w:tblGrid>
        <w:gridCol w:w="1804"/>
        <w:gridCol w:w="2603"/>
        <w:gridCol w:w="1722"/>
        <w:gridCol w:w="3231"/>
      </w:tblGrid>
      <w:tr w:rsidR="0009124B" w:rsidTr="000912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4" w:type="dxa"/>
            <w:shd w:val="clear" w:color="auto" w:fill="E7E6E6" w:themeFill="background2"/>
          </w:tcPr>
          <w:p w:rsidR="0009124B" w:rsidRDefault="0009124B">
            <w:pPr>
              <w:rPr>
                <w:rFonts w:eastAsia="Times New Roman" w:cstheme="minorHAnsi"/>
                <w:bCs w:val="0"/>
                <w:sz w:val="16"/>
                <w:szCs w:val="16"/>
              </w:rPr>
            </w:pPr>
          </w:p>
        </w:tc>
        <w:tc>
          <w:tcPr>
            <w:tcW w:w="2603" w:type="dxa"/>
            <w:shd w:val="clear" w:color="auto" w:fill="E7E6E6" w:themeFill="background2"/>
          </w:tcPr>
          <w:p w:rsidR="0009124B" w:rsidRDefault="00EB3E17">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rPr>
            </w:pPr>
            <w:r>
              <w:rPr>
                <w:rFonts w:eastAsia="Times New Roman" w:cstheme="minorHAnsi"/>
                <w:sz w:val="16"/>
                <w:szCs w:val="16"/>
              </w:rPr>
              <w:t>GHG emissions (Gt CO2 eq./yearly)</w:t>
            </w:r>
          </w:p>
        </w:tc>
        <w:tc>
          <w:tcPr>
            <w:tcW w:w="1722" w:type="dxa"/>
            <w:shd w:val="clear" w:color="auto" w:fill="E7E6E6" w:themeFill="background2"/>
          </w:tcPr>
          <w:p w:rsidR="0009124B" w:rsidRDefault="00EB3E17">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rPr>
            </w:pPr>
            <w:r>
              <w:rPr>
                <w:rFonts w:eastAsia="Times New Roman" w:cstheme="minorHAnsi"/>
                <w:sz w:val="16"/>
                <w:szCs w:val="16"/>
              </w:rPr>
              <w:t>Percentage of global emissions yearly</w:t>
            </w:r>
          </w:p>
        </w:tc>
        <w:tc>
          <w:tcPr>
            <w:tcW w:w="3231" w:type="dxa"/>
            <w:shd w:val="clear" w:color="auto" w:fill="E7E6E6" w:themeFill="background2"/>
          </w:tcPr>
          <w:p w:rsidR="0009124B" w:rsidRDefault="00EB3E17">
            <w:pPr>
              <w:cnfStyle w:val="100000000000" w:firstRow="1" w:lastRow="0" w:firstColumn="0" w:lastColumn="0" w:oddVBand="0" w:evenVBand="0" w:oddHBand="0" w:evenHBand="0" w:firstRowFirstColumn="0" w:firstRowLastColumn="0" w:lastRowFirstColumn="0" w:lastRowLastColumn="0"/>
              <w:rPr>
                <w:rFonts w:eastAsia="Times New Roman" w:cstheme="minorHAnsi"/>
                <w:bCs w:val="0"/>
                <w:i/>
                <w:sz w:val="16"/>
                <w:szCs w:val="16"/>
              </w:rPr>
            </w:pPr>
            <w:r>
              <w:rPr>
                <w:rFonts w:eastAsia="Times New Roman" w:cstheme="minorHAnsi"/>
                <w:b w:val="0"/>
                <w:i/>
                <w:sz w:val="16"/>
                <w:szCs w:val="16"/>
              </w:rPr>
              <w:t>Source</w:t>
            </w:r>
          </w:p>
        </w:tc>
      </w:tr>
      <w:tr w:rsidR="0009124B" w:rsidTr="0009124B">
        <w:tc>
          <w:tcPr>
            <w:cnfStyle w:val="001000000000" w:firstRow="0" w:lastRow="0" w:firstColumn="1" w:lastColumn="0" w:oddVBand="0" w:evenVBand="0" w:oddHBand="0" w:evenHBand="0" w:firstRowFirstColumn="0" w:firstRowLastColumn="0" w:lastRowFirstColumn="0" w:lastRowLastColumn="0"/>
            <w:tcW w:w="1804" w:type="dxa"/>
            <w:tcBorders>
              <w:top w:val="single" w:sz="4" w:space="0" w:color="7F7F7F" w:themeColor="text1" w:themeTint="80"/>
              <w:bottom w:val="single" w:sz="4" w:space="0" w:color="7F7F7F" w:themeColor="text1" w:themeTint="80"/>
            </w:tcBorders>
          </w:tcPr>
          <w:p w:rsidR="0009124B" w:rsidRDefault="00EB3E17">
            <w:pPr>
              <w:rPr>
                <w:rFonts w:eastAsia="Times New Roman" w:cstheme="minorHAnsi"/>
                <w:b w:val="0"/>
                <w:bCs w:val="0"/>
                <w:sz w:val="16"/>
                <w:szCs w:val="16"/>
              </w:rPr>
            </w:pPr>
            <w:r>
              <w:rPr>
                <w:rFonts w:eastAsia="Times New Roman" w:cstheme="minorHAnsi"/>
                <w:sz w:val="16"/>
                <w:szCs w:val="16"/>
              </w:rPr>
              <w:t>Total GHG emissions globally</w:t>
            </w:r>
          </w:p>
        </w:tc>
        <w:tc>
          <w:tcPr>
            <w:tcW w:w="2603" w:type="dxa"/>
            <w:tcBorders>
              <w:top w:val="single" w:sz="4" w:space="0" w:color="7F7F7F" w:themeColor="text1" w:themeTint="80"/>
              <w:bottom w:val="single" w:sz="4" w:space="0" w:color="7F7F7F" w:themeColor="text1" w:themeTint="80"/>
            </w:tcBorders>
          </w:tcPr>
          <w:p w:rsidR="0009124B" w:rsidRDefault="00EB3E1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52</w:t>
            </w:r>
          </w:p>
          <w:p w:rsidR="0009124B" w:rsidRDefault="0009124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p>
        </w:tc>
        <w:tc>
          <w:tcPr>
            <w:tcW w:w="1722" w:type="dxa"/>
            <w:tcBorders>
              <w:top w:val="single" w:sz="4" w:space="0" w:color="7F7F7F" w:themeColor="text1" w:themeTint="80"/>
              <w:bottom w:val="single" w:sz="4" w:space="0" w:color="7F7F7F" w:themeColor="text1" w:themeTint="80"/>
            </w:tcBorders>
          </w:tcPr>
          <w:p w:rsidR="0009124B" w:rsidRDefault="00EB3E1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100%</w:t>
            </w:r>
          </w:p>
        </w:tc>
        <w:tc>
          <w:tcPr>
            <w:tcW w:w="3231" w:type="dxa"/>
            <w:tcBorders>
              <w:top w:val="single" w:sz="4" w:space="0" w:color="7F7F7F" w:themeColor="text1" w:themeTint="80"/>
              <w:bottom w:val="single" w:sz="4" w:space="0" w:color="7F7F7F" w:themeColor="text1" w:themeTint="80"/>
            </w:tcBorders>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sz w:val="14"/>
                <w:szCs w:val="16"/>
              </w:rPr>
            </w:pPr>
            <w:r>
              <w:rPr>
                <w:rFonts w:eastAsia="Times New Roman" w:cstheme="minorHAnsi"/>
                <w:sz w:val="14"/>
                <w:szCs w:val="16"/>
              </w:rPr>
              <w:t xml:space="preserve">Ritchie, H. and M. </w:t>
            </w:r>
            <w:proofErr w:type="spellStart"/>
            <w:r>
              <w:rPr>
                <w:rFonts w:eastAsia="Times New Roman" w:cstheme="minorHAnsi"/>
                <w:sz w:val="14"/>
                <w:szCs w:val="16"/>
              </w:rPr>
              <w:t>Roser</w:t>
            </w:r>
            <w:proofErr w:type="spellEnd"/>
            <w:r>
              <w:rPr>
                <w:rFonts w:eastAsia="Times New Roman" w:cstheme="minorHAnsi"/>
                <w:sz w:val="14"/>
                <w:szCs w:val="16"/>
              </w:rPr>
              <w:t xml:space="preserve">. 2020. CO₂ and Greenhouse Gas Emissions. </w:t>
            </w:r>
            <w:r>
              <w:rPr>
                <w:rFonts w:eastAsia="Times New Roman" w:cstheme="minorHAnsi"/>
                <w:i/>
                <w:sz w:val="14"/>
                <w:szCs w:val="16"/>
              </w:rPr>
              <w:t>Our World in Data.</w:t>
            </w:r>
            <w:r>
              <w:rPr>
                <w:rFonts w:eastAsia="Times New Roman" w:cstheme="minorHAnsi"/>
                <w:sz w:val="14"/>
                <w:szCs w:val="16"/>
              </w:rPr>
              <w:t xml:space="preserve"> https://ourworldindata.org/co2-and-other-greenhouse-gas-emissions. Accessed January 20, 2022.</w:t>
            </w:r>
          </w:p>
        </w:tc>
      </w:tr>
      <w:tr w:rsidR="0009124B" w:rsidTr="0009124B">
        <w:tc>
          <w:tcPr>
            <w:cnfStyle w:val="001000000000" w:firstRow="0" w:lastRow="0" w:firstColumn="1" w:lastColumn="0" w:oddVBand="0" w:evenVBand="0" w:oddHBand="0" w:evenHBand="0" w:firstRowFirstColumn="0" w:firstRowLastColumn="0" w:lastRowFirstColumn="0" w:lastRowLastColumn="0"/>
            <w:tcW w:w="1804" w:type="dxa"/>
          </w:tcPr>
          <w:p w:rsidR="0009124B" w:rsidRDefault="00EB3E17">
            <w:pPr>
              <w:rPr>
                <w:rFonts w:eastAsia="Times New Roman" w:cstheme="minorHAnsi"/>
                <w:b w:val="0"/>
                <w:bCs w:val="0"/>
                <w:sz w:val="16"/>
                <w:szCs w:val="16"/>
              </w:rPr>
            </w:pPr>
            <w:r>
              <w:rPr>
                <w:rFonts w:eastAsia="Times New Roman" w:cstheme="minorHAnsi"/>
                <w:sz w:val="16"/>
                <w:szCs w:val="16"/>
              </w:rPr>
              <w:t>Total GHG emissions Plastics (fossil-based)</w:t>
            </w:r>
          </w:p>
        </w:tc>
        <w:tc>
          <w:tcPr>
            <w:tcW w:w="2603" w:type="dxa"/>
          </w:tcPr>
          <w:p w:rsidR="0009124B" w:rsidRDefault="00EB3E1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1.8</w:t>
            </w:r>
          </w:p>
          <w:p w:rsidR="0009124B" w:rsidRDefault="0009124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p>
        </w:tc>
        <w:tc>
          <w:tcPr>
            <w:tcW w:w="1722" w:type="dxa"/>
          </w:tcPr>
          <w:p w:rsidR="0009124B" w:rsidRDefault="00EB3E1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w:t>
            </w:r>
          </w:p>
        </w:tc>
        <w:tc>
          <w:tcPr>
            <w:tcW w:w="3231" w:type="dxa"/>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4"/>
                <w:szCs w:val="16"/>
              </w:rPr>
            </w:pPr>
            <w:r>
              <w:rPr>
                <w:rFonts w:cstheme="minorHAnsi"/>
                <w:sz w:val="14"/>
                <w:szCs w:val="16"/>
              </w:rPr>
              <w:t xml:space="preserve">Zheng, J. &amp; Suh, S. Strategies to reduce the global carbon footprint of plastics. </w:t>
            </w:r>
            <w:r>
              <w:rPr>
                <w:rFonts w:cstheme="minorHAnsi"/>
                <w:i/>
                <w:iCs/>
                <w:sz w:val="14"/>
                <w:szCs w:val="16"/>
              </w:rPr>
              <w:t>Nature Climate Change</w:t>
            </w:r>
            <w:r>
              <w:rPr>
                <w:rFonts w:cstheme="minorHAnsi"/>
                <w:sz w:val="14"/>
                <w:szCs w:val="16"/>
              </w:rPr>
              <w:t xml:space="preserve"> vol. 9 374–378 (2019)</w:t>
            </w:r>
          </w:p>
        </w:tc>
      </w:tr>
      <w:tr w:rsidR="0009124B" w:rsidTr="0009124B">
        <w:tc>
          <w:tcPr>
            <w:cnfStyle w:val="001000000000" w:firstRow="0" w:lastRow="0" w:firstColumn="1" w:lastColumn="0" w:oddVBand="0" w:evenVBand="0" w:oddHBand="0" w:evenHBand="0" w:firstRowFirstColumn="0" w:firstRowLastColumn="0" w:lastRowFirstColumn="0" w:lastRowLastColumn="0"/>
            <w:tcW w:w="1804" w:type="dxa"/>
            <w:tcBorders>
              <w:top w:val="single" w:sz="4" w:space="0" w:color="7F7F7F" w:themeColor="text1" w:themeTint="80"/>
              <w:bottom w:val="single" w:sz="4" w:space="0" w:color="7F7F7F" w:themeColor="text1" w:themeTint="80"/>
            </w:tcBorders>
          </w:tcPr>
          <w:p w:rsidR="0009124B" w:rsidRDefault="00EB3E17">
            <w:pPr>
              <w:rPr>
                <w:rFonts w:eastAsia="Times New Roman" w:cstheme="minorHAnsi"/>
                <w:b w:val="0"/>
                <w:bCs w:val="0"/>
                <w:sz w:val="16"/>
                <w:szCs w:val="16"/>
              </w:rPr>
            </w:pPr>
            <w:r>
              <w:rPr>
                <w:rFonts w:eastAsia="Times New Roman" w:cstheme="minorHAnsi"/>
                <w:sz w:val="16"/>
                <w:szCs w:val="16"/>
              </w:rPr>
              <w:t>Total GHG emissions Primary Industry (based on the six main platform chemicals)</w:t>
            </w:r>
          </w:p>
        </w:tc>
        <w:tc>
          <w:tcPr>
            <w:tcW w:w="2603" w:type="dxa"/>
            <w:tcBorders>
              <w:top w:val="single" w:sz="4" w:space="0" w:color="7F7F7F" w:themeColor="text1" w:themeTint="80"/>
              <w:bottom w:val="single" w:sz="4" w:space="0" w:color="7F7F7F" w:themeColor="text1" w:themeTint="80"/>
            </w:tcBorders>
          </w:tcPr>
          <w:p w:rsidR="0009124B" w:rsidRDefault="00EB3E17">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0.91</w:t>
            </w:r>
          </w:p>
          <w:p w:rsidR="0009124B" w:rsidRDefault="0009124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p>
        </w:tc>
        <w:tc>
          <w:tcPr>
            <w:tcW w:w="1722" w:type="dxa"/>
            <w:tcBorders>
              <w:top w:val="single" w:sz="4" w:space="0" w:color="7F7F7F" w:themeColor="text1" w:themeTint="80"/>
              <w:bottom w:val="single" w:sz="4" w:space="0" w:color="7F7F7F" w:themeColor="text1" w:themeTint="80"/>
            </w:tcBorders>
          </w:tcPr>
          <w:p w:rsidR="0009124B" w:rsidRDefault="00EB3E1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w:t>
            </w:r>
          </w:p>
        </w:tc>
        <w:tc>
          <w:tcPr>
            <w:tcW w:w="3231" w:type="dxa"/>
            <w:tcBorders>
              <w:top w:val="single" w:sz="4" w:space="0" w:color="7F7F7F" w:themeColor="text1" w:themeTint="80"/>
              <w:bottom w:val="single" w:sz="4" w:space="0" w:color="7F7F7F" w:themeColor="text1" w:themeTint="80"/>
            </w:tcBorders>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4"/>
                <w:szCs w:val="16"/>
              </w:rPr>
            </w:pPr>
            <w:proofErr w:type="spellStart"/>
            <w:r>
              <w:rPr>
                <w:rFonts w:cstheme="minorHAnsi"/>
                <w:sz w:val="14"/>
                <w:szCs w:val="16"/>
              </w:rPr>
              <w:t>Galán</w:t>
            </w:r>
            <w:proofErr w:type="spellEnd"/>
            <w:r>
              <w:rPr>
                <w:rFonts w:cstheme="minorHAnsi"/>
                <w:sz w:val="14"/>
                <w:szCs w:val="16"/>
              </w:rPr>
              <w:t xml:space="preserve">-Martín, Á. </w:t>
            </w:r>
            <w:r>
              <w:rPr>
                <w:rFonts w:cstheme="minorHAnsi"/>
                <w:i/>
                <w:iCs/>
                <w:sz w:val="14"/>
                <w:szCs w:val="16"/>
              </w:rPr>
              <w:t>et al.</w:t>
            </w:r>
            <w:r>
              <w:rPr>
                <w:rFonts w:cstheme="minorHAnsi"/>
                <w:sz w:val="14"/>
                <w:szCs w:val="16"/>
              </w:rPr>
              <w:t xml:space="preserve"> Sustainability footprints of a renewable carbon transition for the petrochemical sector within planetary boundaries. </w:t>
            </w:r>
            <w:r>
              <w:rPr>
                <w:rFonts w:cstheme="minorHAnsi"/>
                <w:i/>
                <w:iCs/>
                <w:sz w:val="14"/>
                <w:szCs w:val="16"/>
              </w:rPr>
              <w:t>One Earth</w:t>
            </w:r>
            <w:r>
              <w:rPr>
                <w:rFonts w:cstheme="minorHAnsi"/>
                <w:sz w:val="14"/>
                <w:szCs w:val="16"/>
              </w:rPr>
              <w:t xml:space="preserve"> </w:t>
            </w:r>
            <w:r>
              <w:rPr>
                <w:rFonts w:cstheme="minorHAnsi"/>
                <w:b/>
                <w:bCs/>
                <w:sz w:val="14"/>
                <w:szCs w:val="16"/>
              </w:rPr>
              <w:t>4</w:t>
            </w:r>
            <w:r>
              <w:rPr>
                <w:rFonts w:cstheme="minorHAnsi"/>
                <w:sz w:val="14"/>
                <w:szCs w:val="16"/>
              </w:rPr>
              <w:t>, 565–583 (2021)</w:t>
            </w:r>
          </w:p>
        </w:tc>
      </w:tr>
      <w:tr w:rsidR="0009124B" w:rsidTr="0009124B">
        <w:tc>
          <w:tcPr>
            <w:cnfStyle w:val="001000000000" w:firstRow="0" w:lastRow="0" w:firstColumn="1" w:lastColumn="0" w:oddVBand="0" w:evenVBand="0" w:oddHBand="0" w:evenHBand="0" w:firstRowFirstColumn="0" w:firstRowLastColumn="0" w:lastRowFirstColumn="0" w:lastRowLastColumn="0"/>
            <w:tcW w:w="1804" w:type="dxa"/>
            <w:shd w:val="clear" w:color="auto" w:fill="E7E6E6" w:themeFill="background2"/>
          </w:tcPr>
          <w:p w:rsidR="0009124B" w:rsidRDefault="0009124B">
            <w:pPr>
              <w:rPr>
                <w:rFonts w:eastAsia="Times New Roman" w:cstheme="minorHAnsi"/>
                <w:b w:val="0"/>
                <w:bCs w:val="0"/>
                <w:sz w:val="16"/>
                <w:szCs w:val="16"/>
              </w:rPr>
            </w:pPr>
          </w:p>
        </w:tc>
        <w:tc>
          <w:tcPr>
            <w:tcW w:w="2603" w:type="dxa"/>
            <w:shd w:val="clear" w:color="auto" w:fill="E7E6E6" w:themeFill="background2"/>
          </w:tcPr>
          <w:p w:rsidR="0009124B" w:rsidRDefault="00EB3E17">
            <w:pPr>
              <w:cnfStyle w:val="000000000000" w:firstRow="0" w:lastRow="0" w:firstColumn="0" w:lastColumn="0" w:oddVBand="0" w:evenVBand="0" w:oddHBand="0" w:evenHBand="0" w:firstRowFirstColumn="0" w:firstRowLastColumn="0" w:lastRowFirstColumn="0" w:lastRowLastColumn="0"/>
              <w:rPr>
                <w:rFonts w:cstheme="minorHAnsi"/>
                <w:b/>
                <w:sz w:val="16"/>
                <w:szCs w:val="16"/>
              </w:rPr>
            </w:pPr>
            <w:r>
              <w:rPr>
                <w:rFonts w:eastAsia="Times New Roman" w:cstheme="minorHAnsi"/>
                <w:b/>
                <w:sz w:val="16"/>
                <w:szCs w:val="16"/>
              </w:rPr>
              <w:t>Ethylene</w:t>
            </w:r>
          </w:p>
        </w:tc>
        <w:tc>
          <w:tcPr>
            <w:tcW w:w="1722" w:type="dxa"/>
            <w:shd w:val="clear" w:color="auto" w:fill="E7E6E6" w:themeFill="background2"/>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r>
              <w:rPr>
                <w:rFonts w:eastAsia="Times New Roman" w:cstheme="minorHAnsi"/>
                <w:b/>
                <w:sz w:val="16"/>
                <w:szCs w:val="16"/>
              </w:rPr>
              <w:t>Butadiene</w:t>
            </w:r>
          </w:p>
        </w:tc>
        <w:tc>
          <w:tcPr>
            <w:tcW w:w="3231" w:type="dxa"/>
            <w:shd w:val="clear" w:color="auto" w:fill="E7E6E6" w:themeFill="background2"/>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r>
              <w:rPr>
                <w:rFonts w:eastAsia="Times New Roman" w:cstheme="minorHAnsi"/>
                <w:b/>
                <w:sz w:val="16"/>
                <w:szCs w:val="16"/>
              </w:rPr>
              <w:t xml:space="preserve">Plastics </w:t>
            </w:r>
          </w:p>
        </w:tc>
      </w:tr>
      <w:tr w:rsidR="0009124B" w:rsidTr="0009124B">
        <w:tc>
          <w:tcPr>
            <w:cnfStyle w:val="001000000000" w:firstRow="0" w:lastRow="0" w:firstColumn="1" w:lastColumn="0" w:oddVBand="0" w:evenVBand="0" w:oddHBand="0" w:evenHBand="0" w:firstRowFirstColumn="0" w:firstRowLastColumn="0" w:lastRowFirstColumn="0" w:lastRowLastColumn="0"/>
            <w:tcW w:w="1804" w:type="dxa"/>
            <w:tcBorders>
              <w:top w:val="single" w:sz="4" w:space="0" w:color="7F7F7F" w:themeColor="text1" w:themeTint="80"/>
              <w:bottom w:val="single" w:sz="4" w:space="0" w:color="7F7F7F" w:themeColor="text1" w:themeTint="80"/>
            </w:tcBorders>
          </w:tcPr>
          <w:p w:rsidR="0009124B" w:rsidRDefault="00EB3E17">
            <w:pPr>
              <w:rPr>
                <w:rFonts w:eastAsia="Times New Roman" w:cstheme="minorHAnsi"/>
                <w:b w:val="0"/>
                <w:bCs w:val="0"/>
                <w:sz w:val="16"/>
                <w:szCs w:val="16"/>
              </w:rPr>
            </w:pPr>
            <w:r>
              <w:rPr>
                <w:rFonts w:eastAsia="Times New Roman" w:cstheme="minorHAnsi"/>
                <w:sz w:val="16"/>
                <w:szCs w:val="16"/>
              </w:rPr>
              <w:t>Total amount produced yearly (kg)</w:t>
            </w:r>
          </w:p>
        </w:tc>
        <w:tc>
          <w:tcPr>
            <w:tcW w:w="2603" w:type="dxa"/>
            <w:tcBorders>
              <w:top w:val="single" w:sz="4" w:space="0" w:color="7F7F7F" w:themeColor="text1" w:themeTint="80"/>
              <w:bottom w:val="single" w:sz="4" w:space="0" w:color="7F7F7F" w:themeColor="text1" w:themeTint="80"/>
            </w:tcBorders>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r>
              <w:rPr>
                <w:rFonts w:cstheme="minorHAnsi"/>
                <w:sz w:val="16"/>
                <w:szCs w:val="16"/>
              </w:rPr>
              <w:t>2.01E11</w:t>
            </w:r>
          </w:p>
        </w:tc>
        <w:tc>
          <w:tcPr>
            <w:tcW w:w="1722" w:type="dxa"/>
            <w:tcBorders>
              <w:top w:val="single" w:sz="4" w:space="0" w:color="7F7F7F" w:themeColor="text1" w:themeTint="80"/>
              <w:bottom w:val="single" w:sz="4" w:space="0" w:color="7F7F7F" w:themeColor="text1" w:themeTint="80"/>
            </w:tcBorders>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r>
              <w:rPr>
                <w:rFonts w:cstheme="minorHAnsi"/>
                <w:sz w:val="16"/>
                <w:szCs w:val="16"/>
              </w:rPr>
              <w:t>1.2E10</w:t>
            </w:r>
          </w:p>
        </w:tc>
        <w:tc>
          <w:tcPr>
            <w:tcW w:w="3231" w:type="dxa"/>
            <w:tcBorders>
              <w:top w:val="single" w:sz="4" w:space="0" w:color="7F7F7F" w:themeColor="text1" w:themeTint="80"/>
              <w:bottom w:val="single" w:sz="4" w:space="0" w:color="7F7F7F" w:themeColor="text1" w:themeTint="80"/>
            </w:tcBorders>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w:t>
            </w:r>
          </w:p>
        </w:tc>
      </w:tr>
      <w:tr w:rsidR="0009124B" w:rsidTr="0009124B">
        <w:tc>
          <w:tcPr>
            <w:cnfStyle w:val="001000000000" w:firstRow="0" w:lastRow="0" w:firstColumn="1" w:lastColumn="0" w:oddVBand="0" w:evenVBand="0" w:oddHBand="0" w:evenHBand="0" w:firstRowFirstColumn="0" w:firstRowLastColumn="0" w:lastRowFirstColumn="0" w:lastRowLastColumn="0"/>
            <w:tcW w:w="1804" w:type="dxa"/>
          </w:tcPr>
          <w:p w:rsidR="0009124B" w:rsidRDefault="00EB3E17">
            <w:pPr>
              <w:rPr>
                <w:rFonts w:eastAsia="Times New Roman" w:cstheme="minorHAnsi"/>
                <w:b w:val="0"/>
                <w:bCs w:val="0"/>
                <w:sz w:val="16"/>
                <w:szCs w:val="16"/>
              </w:rPr>
            </w:pPr>
            <w:r>
              <w:rPr>
                <w:rFonts w:eastAsia="Times New Roman" w:cstheme="minorHAnsi"/>
                <w:sz w:val="16"/>
                <w:szCs w:val="16"/>
              </w:rPr>
              <w:t>GHG emissions fossil-based (kg CO2 eq. /kg chemical)</w:t>
            </w:r>
          </w:p>
        </w:tc>
        <w:tc>
          <w:tcPr>
            <w:tcW w:w="2603" w:type="dxa"/>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r>
              <w:rPr>
                <w:rFonts w:cstheme="minorHAnsi"/>
                <w:sz w:val="16"/>
                <w:szCs w:val="16"/>
              </w:rPr>
              <w:t>1.45</w:t>
            </w:r>
          </w:p>
        </w:tc>
        <w:tc>
          <w:tcPr>
            <w:tcW w:w="1722" w:type="dxa"/>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r>
              <w:rPr>
                <w:rFonts w:cstheme="minorHAnsi"/>
                <w:sz w:val="16"/>
                <w:szCs w:val="16"/>
              </w:rPr>
              <w:t>1.2</w:t>
            </w:r>
          </w:p>
        </w:tc>
        <w:tc>
          <w:tcPr>
            <w:tcW w:w="3231" w:type="dxa"/>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w:t>
            </w:r>
          </w:p>
        </w:tc>
      </w:tr>
      <w:tr w:rsidR="0009124B" w:rsidTr="0009124B">
        <w:tc>
          <w:tcPr>
            <w:cnfStyle w:val="001000000000" w:firstRow="0" w:lastRow="0" w:firstColumn="1" w:lastColumn="0" w:oddVBand="0" w:evenVBand="0" w:oddHBand="0" w:evenHBand="0" w:firstRowFirstColumn="0" w:firstRowLastColumn="0" w:lastRowFirstColumn="0" w:lastRowLastColumn="0"/>
            <w:tcW w:w="1804" w:type="dxa"/>
            <w:tcBorders>
              <w:top w:val="single" w:sz="4" w:space="0" w:color="7F7F7F" w:themeColor="text1" w:themeTint="80"/>
              <w:bottom w:val="single" w:sz="4" w:space="0" w:color="7F7F7F" w:themeColor="text1" w:themeTint="80"/>
            </w:tcBorders>
          </w:tcPr>
          <w:p w:rsidR="0009124B" w:rsidRDefault="00EB3E17">
            <w:pPr>
              <w:rPr>
                <w:rFonts w:eastAsia="Times New Roman" w:cstheme="minorHAnsi"/>
                <w:b w:val="0"/>
                <w:bCs w:val="0"/>
                <w:sz w:val="16"/>
                <w:szCs w:val="16"/>
              </w:rPr>
            </w:pPr>
            <w:r>
              <w:rPr>
                <w:rFonts w:eastAsia="Times New Roman" w:cstheme="minorHAnsi"/>
                <w:sz w:val="16"/>
                <w:szCs w:val="16"/>
              </w:rPr>
              <w:t>Bio-based potential reduction</w:t>
            </w:r>
          </w:p>
        </w:tc>
        <w:tc>
          <w:tcPr>
            <w:tcW w:w="2603" w:type="dxa"/>
            <w:tcBorders>
              <w:top w:val="single" w:sz="4" w:space="0" w:color="7F7F7F" w:themeColor="text1" w:themeTint="80"/>
              <w:bottom w:val="single" w:sz="4" w:space="0" w:color="7F7F7F" w:themeColor="text1" w:themeTint="80"/>
            </w:tcBorders>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r>
              <w:rPr>
                <w:rFonts w:cstheme="minorHAnsi"/>
                <w:sz w:val="16"/>
                <w:szCs w:val="16"/>
              </w:rPr>
              <w:t xml:space="preserve">57% </w:t>
            </w:r>
            <w:r>
              <w:rPr>
                <w:rFonts w:cstheme="minorHAnsi"/>
                <w:sz w:val="16"/>
                <w:szCs w:val="16"/>
              </w:rPr>
              <w:br/>
              <w:t>(</w:t>
            </w:r>
            <w:r w:rsidR="00827B0E">
              <w:rPr>
                <w:rFonts w:cstheme="minorHAnsi"/>
                <w:sz w:val="16"/>
                <w:szCs w:val="16"/>
              </w:rPr>
              <w:t>95% CI</w:t>
            </w:r>
            <w:r>
              <w:rPr>
                <w:rFonts w:cstheme="minorHAnsi"/>
                <w:sz w:val="16"/>
                <w:szCs w:val="16"/>
              </w:rPr>
              <w:t>: 32, 73%)</w:t>
            </w:r>
          </w:p>
        </w:tc>
        <w:tc>
          <w:tcPr>
            <w:tcW w:w="1722" w:type="dxa"/>
            <w:tcBorders>
              <w:top w:val="single" w:sz="4" w:space="0" w:color="7F7F7F" w:themeColor="text1" w:themeTint="80"/>
              <w:bottom w:val="single" w:sz="4" w:space="0" w:color="7F7F7F" w:themeColor="text1" w:themeTint="80"/>
            </w:tcBorders>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r>
              <w:rPr>
                <w:rFonts w:cstheme="minorHAnsi"/>
                <w:sz w:val="16"/>
                <w:szCs w:val="16"/>
              </w:rPr>
              <w:t xml:space="preserve">57% </w:t>
            </w:r>
            <w:r>
              <w:rPr>
                <w:rFonts w:cstheme="minorHAnsi"/>
                <w:sz w:val="16"/>
                <w:szCs w:val="16"/>
              </w:rPr>
              <w:br/>
              <w:t>(</w:t>
            </w:r>
            <w:r w:rsidR="00827B0E">
              <w:rPr>
                <w:rFonts w:cstheme="minorHAnsi"/>
                <w:sz w:val="16"/>
                <w:szCs w:val="16"/>
              </w:rPr>
              <w:t>95% CI</w:t>
            </w:r>
            <w:r>
              <w:rPr>
                <w:rFonts w:cstheme="minorHAnsi"/>
                <w:sz w:val="16"/>
                <w:szCs w:val="16"/>
              </w:rPr>
              <w:t>: 37, 71%)</w:t>
            </w:r>
          </w:p>
        </w:tc>
        <w:tc>
          <w:tcPr>
            <w:tcW w:w="3231" w:type="dxa"/>
            <w:tcBorders>
              <w:top w:val="single" w:sz="4" w:space="0" w:color="7F7F7F" w:themeColor="text1" w:themeTint="80"/>
              <w:bottom w:val="single" w:sz="4" w:space="0" w:color="7F7F7F" w:themeColor="text1" w:themeTint="80"/>
            </w:tcBorders>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r>
              <w:rPr>
                <w:rFonts w:cstheme="minorHAnsi"/>
                <w:sz w:val="16"/>
                <w:szCs w:val="16"/>
              </w:rPr>
              <w:t xml:space="preserve">44% </w:t>
            </w:r>
            <w:r>
              <w:rPr>
                <w:rFonts w:cstheme="minorHAnsi"/>
                <w:sz w:val="16"/>
                <w:szCs w:val="16"/>
              </w:rPr>
              <w:br/>
              <w:t>(</w:t>
            </w:r>
            <w:r w:rsidR="00827B0E">
              <w:rPr>
                <w:rFonts w:cstheme="minorHAnsi"/>
                <w:sz w:val="16"/>
                <w:szCs w:val="16"/>
              </w:rPr>
              <w:t>95% CI</w:t>
            </w:r>
            <w:r>
              <w:rPr>
                <w:rFonts w:cstheme="minorHAnsi"/>
                <w:sz w:val="16"/>
                <w:szCs w:val="16"/>
              </w:rPr>
              <w:t>: -28, 55%)</w:t>
            </w:r>
          </w:p>
        </w:tc>
      </w:tr>
      <w:tr w:rsidR="0009124B" w:rsidTr="0009124B">
        <w:tc>
          <w:tcPr>
            <w:cnfStyle w:val="001000000000" w:firstRow="0" w:lastRow="0" w:firstColumn="1" w:lastColumn="0" w:oddVBand="0" w:evenVBand="0" w:oddHBand="0" w:evenHBand="0" w:firstRowFirstColumn="0" w:firstRowLastColumn="0" w:lastRowFirstColumn="0" w:lastRowLastColumn="0"/>
            <w:tcW w:w="1804" w:type="dxa"/>
          </w:tcPr>
          <w:p w:rsidR="0009124B" w:rsidRDefault="00EB3E17">
            <w:pPr>
              <w:rPr>
                <w:rFonts w:eastAsia="Times New Roman" w:cstheme="minorHAnsi"/>
                <w:b w:val="0"/>
                <w:bCs w:val="0"/>
                <w:sz w:val="16"/>
                <w:szCs w:val="16"/>
              </w:rPr>
            </w:pPr>
            <w:r>
              <w:rPr>
                <w:rFonts w:eastAsia="Times New Roman" w:cstheme="minorHAnsi"/>
                <w:sz w:val="16"/>
                <w:szCs w:val="16"/>
              </w:rPr>
              <w:t xml:space="preserve">% of GHG emissions primary industry  / global </w:t>
            </w:r>
          </w:p>
        </w:tc>
        <w:tc>
          <w:tcPr>
            <w:tcW w:w="2603" w:type="dxa"/>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r>
              <w:rPr>
                <w:rFonts w:eastAsia="Times New Roman" w:cstheme="minorHAnsi"/>
                <w:b/>
                <w:sz w:val="16"/>
                <w:szCs w:val="16"/>
              </w:rPr>
              <w:t>18.3% / 0.3%</w:t>
            </w:r>
          </w:p>
        </w:tc>
        <w:tc>
          <w:tcPr>
            <w:tcW w:w="1722" w:type="dxa"/>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r>
              <w:rPr>
                <w:rFonts w:eastAsia="Times New Roman" w:cstheme="minorHAnsi"/>
                <w:b/>
                <w:sz w:val="16"/>
                <w:szCs w:val="16"/>
              </w:rPr>
              <w:t>0.9% / 0.02%</w:t>
            </w:r>
          </w:p>
        </w:tc>
        <w:tc>
          <w:tcPr>
            <w:tcW w:w="3231" w:type="dxa"/>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sz w:val="16"/>
                <w:szCs w:val="16"/>
              </w:rPr>
            </w:pPr>
            <w:r>
              <w:rPr>
                <w:rFonts w:eastAsia="Times New Roman" w:cstheme="minorHAnsi"/>
                <w:b/>
                <w:sz w:val="16"/>
                <w:szCs w:val="16"/>
              </w:rPr>
              <w:t>- / 1.52%</w:t>
            </w:r>
          </w:p>
        </w:tc>
      </w:tr>
      <w:tr w:rsidR="0009124B" w:rsidTr="0009124B">
        <w:tc>
          <w:tcPr>
            <w:cnfStyle w:val="001000000000" w:firstRow="0" w:lastRow="0" w:firstColumn="1" w:lastColumn="0" w:oddVBand="0" w:evenVBand="0" w:oddHBand="0" w:evenHBand="0" w:firstRowFirstColumn="0" w:firstRowLastColumn="0" w:lastRowFirstColumn="0" w:lastRowLastColumn="0"/>
            <w:tcW w:w="1804" w:type="dxa"/>
            <w:tcBorders>
              <w:top w:val="single" w:sz="4" w:space="0" w:color="7F7F7F" w:themeColor="text1" w:themeTint="80"/>
              <w:bottom w:val="single" w:sz="4" w:space="0" w:color="7F7F7F" w:themeColor="text1" w:themeTint="80"/>
            </w:tcBorders>
          </w:tcPr>
          <w:p w:rsidR="0009124B" w:rsidRDefault="00EB3E17">
            <w:pPr>
              <w:rPr>
                <w:rFonts w:eastAsia="Times New Roman" w:cstheme="minorHAnsi"/>
                <w:bCs w:val="0"/>
                <w:i/>
                <w:sz w:val="16"/>
                <w:szCs w:val="16"/>
              </w:rPr>
            </w:pPr>
            <w:r>
              <w:rPr>
                <w:rFonts w:eastAsia="Times New Roman" w:cstheme="minorHAnsi"/>
                <w:b w:val="0"/>
                <w:i/>
                <w:sz w:val="16"/>
                <w:szCs w:val="16"/>
              </w:rPr>
              <w:t>Calculation</w:t>
            </w:r>
          </w:p>
        </w:tc>
        <w:tc>
          <w:tcPr>
            <w:tcW w:w="7556" w:type="dxa"/>
            <w:gridSpan w:val="3"/>
            <w:tcBorders>
              <w:top w:val="single" w:sz="4" w:space="0" w:color="7F7F7F" w:themeColor="text1" w:themeTint="80"/>
              <w:bottom w:val="single" w:sz="4" w:space="0" w:color="7F7F7F" w:themeColor="text1" w:themeTint="80"/>
            </w:tcBorders>
          </w:tcPr>
          <w:p w:rsidR="0009124B" w:rsidRDefault="004F5BDD">
            <w:pPr>
              <w:cnfStyle w:val="000000000000" w:firstRow="0" w:lastRow="0" w:firstColumn="0" w:lastColumn="0" w:oddVBand="0" w:evenVBand="0" w:oddHBand="0" w:evenHBand="0" w:firstRowFirstColumn="0" w:firstRowLastColumn="0" w:lastRowFirstColumn="0" w:lastRowLastColumn="0"/>
              <w:rPr>
                <w:rFonts w:eastAsia="Times New Roman" w:cstheme="minorHAnsi"/>
                <w:i/>
                <w:sz w:val="16"/>
                <w:szCs w:val="16"/>
              </w:rPr>
            </w:pPr>
            <m:oMathPara>
              <m:oMathParaPr>
                <m:jc m:val="left"/>
              </m:oMathParaPr>
              <m:oMath>
                <m:f>
                  <m:fPr>
                    <m:ctrlPr>
                      <w:rPr>
                        <w:rFonts w:ascii="Cambria Math" w:eastAsia="Times New Roman" w:hAnsi="Cambria Math" w:cstheme="minorHAnsi"/>
                        <w:i/>
                        <w:sz w:val="16"/>
                        <w:szCs w:val="16"/>
                      </w:rPr>
                    </m:ctrlPr>
                  </m:fPr>
                  <m:num>
                    <m:sSub>
                      <m:sSubPr>
                        <m:ctrlPr>
                          <w:rPr>
                            <w:rFonts w:ascii="Cambria Math" w:eastAsia="Times New Roman" w:hAnsi="Cambria Math" w:cstheme="minorHAnsi"/>
                            <w:i/>
                            <w:sz w:val="16"/>
                            <w:szCs w:val="16"/>
                          </w:rPr>
                        </m:ctrlPr>
                      </m:sSubPr>
                      <m:e>
                        <m:r>
                          <w:rPr>
                            <w:rFonts w:ascii="Cambria Math" w:eastAsia="Times New Roman" w:hAnsi="Cambria Math" w:cstheme="minorHAnsi"/>
                            <w:sz w:val="16"/>
                            <w:szCs w:val="16"/>
                          </w:rPr>
                          <m:t>(RP</m:t>
                        </m:r>
                      </m:e>
                      <m:sub>
                        <m:r>
                          <w:rPr>
                            <w:rFonts w:ascii="Cambria Math" w:eastAsia="Times New Roman" w:hAnsi="Cambria Math" w:cstheme="minorHAnsi"/>
                            <w:sz w:val="16"/>
                            <w:szCs w:val="16"/>
                          </w:rPr>
                          <m:t>BBP</m:t>
                        </m:r>
                      </m:sub>
                    </m:sSub>
                    <m:r>
                      <w:rPr>
                        <w:rFonts w:ascii="Cambria Math" w:eastAsia="Times New Roman" w:hAnsi="Cambria Math" w:cstheme="minorHAnsi"/>
                        <w:sz w:val="16"/>
                        <w:szCs w:val="16"/>
                      </w:rPr>
                      <m:t>∙</m:t>
                    </m:r>
                    <m:sSub>
                      <m:sSubPr>
                        <m:ctrlPr>
                          <w:rPr>
                            <w:rFonts w:ascii="Cambria Math" w:eastAsia="Times New Roman" w:hAnsi="Cambria Math" w:cstheme="minorHAnsi"/>
                            <w:i/>
                            <w:sz w:val="16"/>
                            <w:szCs w:val="16"/>
                          </w:rPr>
                        </m:ctrlPr>
                      </m:sSubPr>
                      <m:e>
                        <m:r>
                          <w:rPr>
                            <w:rFonts w:ascii="Cambria Math" w:eastAsia="Times New Roman" w:hAnsi="Cambria Math" w:cstheme="minorHAnsi"/>
                            <w:sz w:val="16"/>
                            <w:szCs w:val="16"/>
                          </w:rPr>
                          <m:t>GHG</m:t>
                        </m:r>
                      </m:e>
                      <m:sub>
                        <m:r>
                          <w:rPr>
                            <w:rFonts w:ascii="Cambria Math" w:eastAsia="Times New Roman" w:hAnsi="Cambria Math" w:cstheme="minorHAnsi"/>
                            <w:sz w:val="16"/>
                            <w:szCs w:val="16"/>
                          </w:rPr>
                          <m:t>fossil</m:t>
                        </m:r>
                      </m:sub>
                    </m:sSub>
                    <m:r>
                      <w:rPr>
                        <w:rFonts w:ascii="Cambria Math" w:eastAsia="Times New Roman" w:hAnsi="Cambria Math" w:cstheme="minorHAnsi"/>
                        <w:sz w:val="16"/>
                        <w:szCs w:val="16"/>
                      </w:rPr>
                      <m:t xml:space="preserve">)∙ </m:t>
                    </m:r>
                    <m:sSub>
                      <m:sSubPr>
                        <m:ctrlPr>
                          <w:rPr>
                            <w:rFonts w:ascii="Cambria Math" w:eastAsia="Times New Roman" w:hAnsi="Cambria Math" w:cstheme="minorHAnsi"/>
                            <w:i/>
                            <w:sz w:val="16"/>
                            <w:szCs w:val="16"/>
                          </w:rPr>
                        </m:ctrlPr>
                      </m:sSubPr>
                      <m:e>
                        <m:r>
                          <w:rPr>
                            <w:rFonts w:ascii="Cambria Math" w:eastAsia="Times New Roman" w:hAnsi="Cambria Math" w:cstheme="minorHAnsi"/>
                            <w:sz w:val="16"/>
                            <w:szCs w:val="16"/>
                          </w:rPr>
                          <m:t>T</m:t>
                        </m:r>
                      </m:e>
                      <m:sub>
                        <m:r>
                          <w:rPr>
                            <w:rFonts w:ascii="Cambria Math" w:eastAsia="Times New Roman" w:hAnsi="Cambria Math" w:cstheme="minorHAnsi"/>
                            <w:sz w:val="16"/>
                            <w:szCs w:val="16"/>
                          </w:rPr>
                          <m:t>product</m:t>
                        </m:r>
                      </m:sub>
                    </m:sSub>
                  </m:num>
                  <m:den>
                    <m:sSub>
                      <m:sSubPr>
                        <m:ctrlPr>
                          <w:rPr>
                            <w:rFonts w:ascii="Cambria Math" w:eastAsia="Times New Roman" w:hAnsi="Cambria Math" w:cstheme="minorHAnsi"/>
                            <w:i/>
                            <w:sz w:val="16"/>
                            <w:szCs w:val="16"/>
                          </w:rPr>
                        </m:ctrlPr>
                      </m:sSubPr>
                      <m:e>
                        <m:r>
                          <w:rPr>
                            <w:rFonts w:ascii="Cambria Math" w:eastAsia="Times New Roman" w:hAnsi="Cambria Math" w:cstheme="minorHAnsi"/>
                            <w:sz w:val="16"/>
                            <w:szCs w:val="16"/>
                          </w:rPr>
                          <m:t>GHG</m:t>
                        </m:r>
                      </m:e>
                      <m:sub>
                        <m:r>
                          <w:rPr>
                            <w:rFonts w:ascii="Cambria Math" w:eastAsia="Times New Roman" w:hAnsi="Cambria Math" w:cstheme="minorHAnsi"/>
                            <w:sz w:val="16"/>
                            <w:szCs w:val="16"/>
                          </w:rPr>
                          <m:t>total</m:t>
                        </m:r>
                      </m:sub>
                    </m:sSub>
                  </m:den>
                </m:f>
                <m:r>
                  <w:rPr>
                    <w:rFonts w:ascii="Cambria Math" w:eastAsia="Times New Roman" w:hAnsi="Cambria Math" w:cstheme="minorHAnsi"/>
                    <w:sz w:val="16"/>
                    <w:szCs w:val="16"/>
                  </w:rPr>
                  <m:t xml:space="preserve"> ∙100 </m:t>
                </m:r>
              </m:oMath>
            </m:oMathPara>
          </w:p>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i/>
                <w:sz w:val="16"/>
                <w:szCs w:val="16"/>
              </w:rPr>
            </w:pPr>
            <m:oMathPara>
              <m:oMathParaPr>
                <m:jc m:val="left"/>
              </m:oMathParaPr>
              <m:oMath>
                <m:r>
                  <w:rPr>
                    <w:rFonts w:ascii="Cambria Math" w:eastAsia="Times New Roman" w:hAnsi="Cambria Math" w:cstheme="minorHAnsi"/>
                    <w:sz w:val="14"/>
                    <w:szCs w:val="16"/>
                  </w:rPr>
                  <m:t xml:space="preserve"> with </m:t>
                </m:r>
                <m:sSub>
                  <m:sSubPr>
                    <m:ctrlPr>
                      <w:rPr>
                        <w:rFonts w:ascii="Cambria Math" w:eastAsia="Times New Roman" w:hAnsi="Cambria Math" w:cstheme="minorHAnsi"/>
                        <w:i/>
                        <w:sz w:val="14"/>
                        <w:szCs w:val="16"/>
                      </w:rPr>
                    </m:ctrlPr>
                  </m:sSubPr>
                  <m:e>
                    <m:r>
                      <w:rPr>
                        <w:rFonts w:ascii="Cambria Math" w:eastAsia="Times New Roman" w:hAnsi="Cambria Math" w:cstheme="minorHAnsi"/>
                        <w:sz w:val="14"/>
                        <w:szCs w:val="16"/>
                      </w:rPr>
                      <m:t>RP</m:t>
                    </m:r>
                  </m:e>
                  <m:sub>
                    <m:r>
                      <w:rPr>
                        <w:rFonts w:ascii="Cambria Math" w:eastAsia="Times New Roman" w:hAnsi="Cambria Math" w:cstheme="minorHAnsi"/>
                        <w:sz w:val="14"/>
                        <w:szCs w:val="16"/>
                      </w:rPr>
                      <m:t>BBP</m:t>
                    </m:r>
                  </m:sub>
                </m:sSub>
                <m:r>
                  <w:rPr>
                    <w:rFonts w:ascii="Cambria Math" w:eastAsia="Times New Roman" w:hAnsi="Cambria Math" w:cstheme="minorHAnsi"/>
                    <w:sz w:val="14"/>
                    <w:szCs w:val="16"/>
                  </w:rPr>
                  <m:t xml:space="preserve"> as biobased product reduction potential; </m:t>
                </m:r>
                <m:sSub>
                  <m:sSubPr>
                    <m:ctrlPr>
                      <w:rPr>
                        <w:rFonts w:ascii="Cambria Math" w:eastAsia="Times New Roman" w:hAnsi="Cambria Math" w:cstheme="minorHAnsi"/>
                        <w:i/>
                        <w:sz w:val="14"/>
                        <w:szCs w:val="16"/>
                      </w:rPr>
                    </m:ctrlPr>
                  </m:sSubPr>
                  <m:e>
                    <m:r>
                      <w:rPr>
                        <w:rFonts w:ascii="Cambria Math" w:eastAsia="Times New Roman" w:hAnsi="Cambria Math" w:cstheme="minorHAnsi"/>
                        <w:sz w:val="14"/>
                        <w:szCs w:val="16"/>
                      </w:rPr>
                      <m:t>GHG</m:t>
                    </m:r>
                  </m:e>
                  <m:sub>
                    <m:r>
                      <w:rPr>
                        <w:rFonts w:ascii="Cambria Math" w:eastAsia="Times New Roman" w:hAnsi="Cambria Math" w:cstheme="minorHAnsi"/>
                        <w:sz w:val="14"/>
                        <w:szCs w:val="16"/>
                      </w:rPr>
                      <m:t>fossil</m:t>
                    </m:r>
                  </m:sub>
                </m:sSub>
                <m:r>
                  <w:rPr>
                    <w:rFonts w:ascii="Cambria Math" w:eastAsia="Times New Roman" w:hAnsi="Cambria Math" w:cstheme="minorHAnsi"/>
                    <w:sz w:val="14"/>
                    <w:szCs w:val="16"/>
                  </w:rPr>
                  <m:t xml:space="preserve"> as GHG emissions fossilbased product;   </m:t>
                </m:r>
              </m:oMath>
            </m:oMathPara>
          </w:p>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b/>
                <w:i/>
                <w:sz w:val="16"/>
                <w:szCs w:val="16"/>
              </w:rPr>
            </w:pPr>
            <m:oMathPara>
              <m:oMathParaPr>
                <m:jc m:val="left"/>
              </m:oMathParaPr>
              <m:oMath>
                <m:r>
                  <w:rPr>
                    <w:rFonts w:ascii="Cambria Math" w:eastAsia="Times New Roman" w:hAnsi="Cambria Math" w:cstheme="minorHAnsi"/>
                    <w:sz w:val="14"/>
                    <w:szCs w:val="16"/>
                  </w:rPr>
                  <m:t xml:space="preserve"> </m:t>
                </m:r>
                <m:sSub>
                  <m:sSubPr>
                    <m:ctrlPr>
                      <w:rPr>
                        <w:rFonts w:ascii="Cambria Math" w:eastAsia="Times New Roman" w:hAnsi="Cambria Math" w:cstheme="minorHAnsi"/>
                        <w:i/>
                        <w:sz w:val="14"/>
                        <w:szCs w:val="16"/>
                      </w:rPr>
                    </m:ctrlPr>
                  </m:sSubPr>
                  <m:e>
                    <m:sSub>
                      <m:sSubPr>
                        <m:ctrlPr>
                          <w:rPr>
                            <w:rFonts w:ascii="Cambria Math" w:eastAsia="Times New Roman" w:hAnsi="Cambria Math" w:cstheme="minorHAnsi"/>
                            <w:i/>
                            <w:sz w:val="14"/>
                            <w:szCs w:val="16"/>
                          </w:rPr>
                        </m:ctrlPr>
                      </m:sSubPr>
                      <m:e>
                        <m:r>
                          <w:rPr>
                            <w:rFonts w:ascii="Cambria Math" w:eastAsia="Times New Roman" w:hAnsi="Cambria Math" w:cstheme="minorHAnsi"/>
                            <w:sz w:val="14"/>
                            <w:szCs w:val="16"/>
                          </w:rPr>
                          <m:t>T</m:t>
                        </m:r>
                      </m:e>
                      <m:sub>
                        <m:r>
                          <w:rPr>
                            <w:rFonts w:ascii="Cambria Math" w:eastAsia="Times New Roman" w:hAnsi="Cambria Math" w:cstheme="minorHAnsi"/>
                            <w:sz w:val="14"/>
                            <w:szCs w:val="16"/>
                          </w:rPr>
                          <m:t>product</m:t>
                        </m:r>
                      </m:sub>
                    </m:sSub>
                    <m:r>
                      <w:rPr>
                        <w:rFonts w:ascii="Cambria Math" w:eastAsia="Times New Roman" w:hAnsi="Cambria Math" w:cstheme="minorHAnsi"/>
                        <w:sz w:val="14"/>
                        <w:szCs w:val="16"/>
                      </w:rPr>
                      <m:t xml:space="preserve"> as total amount produced (kg/year); GHG</m:t>
                    </m:r>
                  </m:e>
                  <m:sub>
                    <m:r>
                      <w:rPr>
                        <w:rFonts w:ascii="Cambria Math" w:eastAsia="Times New Roman" w:hAnsi="Cambria Math" w:cstheme="minorHAnsi"/>
                        <w:sz w:val="14"/>
                        <w:szCs w:val="16"/>
                      </w:rPr>
                      <m:t>total</m:t>
                    </m:r>
                  </m:sub>
                </m:sSub>
                <m:r>
                  <w:rPr>
                    <w:rFonts w:ascii="Cambria Math" w:eastAsia="Times New Roman" w:hAnsi="Cambria Math" w:cstheme="minorHAnsi"/>
                    <w:sz w:val="14"/>
                    <w:szCs w:val="16"/>
                  </w:rPr>
                  <m:t xml:space="preserve"> as total GHG emissions (Primary Industry/Global) </m:t>
                </m:r>
              </m:oMath>
            </m:oMathPara>
          </w:p>
        </w:tc>
      </w:tr>
      <w:tr w:rsidR="0009124B" w:rsidTr="0009124B">
        <w:tc>
          <w:tcPr>
            <w:cnfStyle w:val="001000000000" w:firstRow="0" w:lastRow="0" w:firstColumn="1" w:lastColumn="0" w:oddVBand="0" w:evenVBand="0" w:oddHBand="0" w:evenHBand="0" w:firstRowFirstColumn="0" w:firstRowLastColumn="0" w:lastRowFirstColumn="0" w:lastRowLastColumn="0"/>
            <w:tcW w:w="1804" w:type="dxa"/>
          </w:tcPr>
          <w:p w:rsidR="0009124B" w:rsidRDefault="00EB3E17">
            <w:pPr>
              <w:rPr>
                <w:rFonts w:eastAsia="Times New Roman" w:cstheme="minorHAnsi"/>
                <w:b w:val="0"/>
                <w:bCs w:val="0"/>
                <w:i/>
                <w:sz w:val="16"/>
                <w:szCs w:val="16"/>
              </w:rPr>
            </w:pPr>
            <w:r>
              <w:rPr>
                <w:rFonts w:eastAsia="Times New Roman" w:cstheme="minorHAnsi"/>
                <w:b w:val="0"/>
                <w:i/>
                <w:sz w:val="16"/>
                <w:szCs w:val="16"/>
              </w:rPr>
              <w:t>Sources</w:t>
            </w:r>
          </w:p>
        </w:tc>
        <w:tc>
          <w:tcPr>
            <w:tcW w:w="7556" w:type="dxa"/>
            <w:gridSpan w:val="3"/>
          </w:tcPr>
          <w:p w:rsidR="0009124B" w:rsidRDefault="00EB3E17">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 xml:space="preserve">Reduction potentials taken from S.1 and Figure 2a; Levi, P.G. and J.M. Cullen. 2018. Mapping Global Flows of Chemicals: From Fossil Fuel </w:t>
            </w:r>
            <w:proofErr w:type="spellStart"/>
            <w:r>
              <w:rPr>
                <w:rFonts w:eastAsia="Times New Roman" w:cstheme="minorHAnsi"/>
                <w:sz w:val="16"/>
                <w:szCs w:val="16"/>
              </w:rPr>
              <w:t>Feedstocks</w:t>
            </w:r>
            <w:proofErr w:type="spellEnd"/>
            <w:r>
              <w:rPr>
                <w:rFonts w:eastAsia="Times New Roman" w:cstheme="minorHAnsi"/>
                <w:sz w:val="16"/>
                <w:szCs w:val="16"/>
              </w:rPr>
              <w:t xml:space="preserve"> to Chemical Products. Environmental Science and Technology 52(4); </w:t>
            </w:r>
            <w:proofErr w:type="spellStart"/>
            <w:r>
              <w:rPr>
                <w:rFonts w:eastAsia="Times New Roman" w:cstheme="minorHAnsi"/>
                <w:sz w:val="16"/>
                <w:szCs w:val="16"/>
              </w:rPr>
              <w:t>Ecoinvent</w:t>
            </w:r>
            <w:proofErr w:type="spellEnd"/>
            <w:r>
              <w:rPr>
                <w:rFonts w:eastAsia="Times New Roman" w:cstheme="minorHAnsi"/>
                <w:sz w:val="16"/>
                <w:szCs w:val="16"/>
              </w:rPr>
              <w:t xml:space="preserve"> Centre. </w:t>
            </w:r>
            <w:proofErr w:type="spellStart"/>
            <w:r>
              <w:rPr>
                <w:rFonts w:eastAsia="Times New Roman" w:cstheme="minorHAnsi"/>
                <w:sz w:val="16"/>
                <w:szCs w:val="16"/>
              </w:rPr>
              <w:t>Ecoinvent</w:t>
            </w:r>
            <w:proofErr w:type="spellEnd"/>
            <w:r>
              <w:rPr>
                <w:rFonts w:eastAsia="Times New Roman" w:cstheme="minorHAnsi"/>
                <w:sz w:val="16"/>
                <w:szCs w:val="16"/>
              </w:rPr>
              <w:t xml:space="preserve"> database (Version 3.7). https://v34.ecoquery.ecoinvent.org/ (2020)</w:t>
            </w:r>
          </w:p>
        </w:tc>
      </w:tr>
    </w:tbl>
    <w:p w:rsidR="0009124B" w:rsidRDefault="0009124B">
      <w:pPr>
        <w:rPr>
          <w:rFonts w:eastAsia="Times New Roman" w:cstheme="minorHAnsi"/>
          <w:b/>
          <w:szCs w:val="20"/>
        </w:rPr>
      </w:pPr>
    </w:p>
    <w:p w:rsidR="0009124B" w:rsidRDefault="00EB3E17">
      <w:pPr>
        <w:pStyle w:val="Heading1"/>
        <w:rPr>
          <w:rFonts w:asciiTheme="minorHAnsi" w:eastAsia="Times New Roman" w:hAnsiTheme="minorHAnsi" w:cstheme="minorHAnsi"/>
          <w:b/>
          <w:color w:val="auto"/>
          <w:sz w:val="22"/>
          <w:szCs w:val="22"/>
        </w:rPr>
      </w:pPr>
      <w:bookmarkStart w:id="8" w:name="_Toc96078427"/>
      <w:r>
        <w:rPr>
          <w:rFonts w:asciiTheme="minorHAnsi" w:eastAsia="Times New Roman" w:hAnsiTheme="minorHAnsi" w:cstheme="minorHAnsi"/>
          <w:b/>
          <w:color w:val="auto"/>
          <w:sz w:val="22"/>
          <w:szCs w:val="22"/>
        </w:rPr>
        <w:t xml:space="preserve">S.3 </w:t>
      </w:r>
      <w:r w:rsidR="00FE4944">
        <w:rPr>
          <w:rFonts w:asciiTheme="minorHAnsi" w:eastAsia="Times New Roman" w:hAnsiTheme="minorHAnsi" w:cstheme="minorHAnsi"/>
          <w:b/>
          <w:color w:val="auto"/>
          <w:sz w:val="22"/>
          <w:szCs w:val="22"/>
        </w:rPr>
        <w:t>Predicted mean RR and 95% CI</w:t>
      </w:r>
      <w:r>
        <w:rPr>
          <w:rFonts w:asciiTheme="minorHAnsi" w:eastAsia="Times New Roman" w:hAnsiTheme="minorHAnsi" w:cstheme="minorHAnsi"/>
          <w:b/>
          <w:color w:val="auto"/>
          <w:sz w:val="22"/>
          <w:szCs w:val="22"/>
        </w:rPr>
        <w:t xml:space="preserve"> </w:t>
      </w:r>
      <w:r w:rsidR="00FE4944">
        <w:rPr>
          <w:rFonts w:asciiTheme="minorHAnsi" w:eastAsia="Times New Roman" w:hAnsiTheme="minorHAnsi" w:cstheme="minorHAnsi"/>
          <w:b/>
          <w:color w:val="auto"/>
          <w:sz w:val="22"/>
          <w:szCs w:val="22"/>
        </w:rPr>
        <w:t>for the</w:t>
      </w:r>
      <w:r>
        <w:rPr>
          <w:rFonts w:asciiTheme="minorHAnsi" w:eastAsia="Times New Roman" w:hAnsiTheme="minorHAnsi" w:cstheme="minorHAnsi"/>
          <w:b/>
          <w:color w:val="auto"/>
          <w:sz w:val="22"/>
          <w:szCs w:val="22"/>
        </w:rPr>
        <w:t xml:space="preserve"> GHG emissions</w:t>
      </w:r>
      <w:r w:rsidR="00FE4944">
        <w:rPr>
          <w:rFonts w:asciiTheme="minorHAnsi" w:eastAsia="Times New Roman" w:hAnsiTheme="minorHAnsi" w:cstheme="minorHAnsi"/>
          <w:b/>
          <w:color w:val="auto"/>
          <w:sz w:val="22"/>
          <w:szCs w:val="22"/>
        </w:rPr>
        <w:t xml:space="preserve"> and if it</w:t>
      </w:r>
      <w:r>
        <w:rPr>
          <w:rFonts w:asciiTheme="minorHAnsi" w:eastAsia="Times New Roman" w:hAnsiTheme="minorHAnsi" w:cstheme="minorHAnsi"/>
          <w:b/>
          <w:color w:val="auto"/>
          <w:sz w:val="22"/>
          <w:szCs w:val="22"/>
        </w:rPr>
        <w:t xml:space="preserve"> in- or excluded Land Use Changes (LUC) related GHG emissions</w:t>
      </w:r>
      <w:r w:rsidR="00FE4944">
        <w:rPr>
          <w:rFonts w:asciiTheme="minorHAnsi" w:eastAsia="Times New Roman" w:hAnsiTheme="minorHAnsi" w:cstheme="minorHAnsi"/>
          <w:b/>
          <w:color w:val="auto"/>
          <w:sz w:val="22"/>
          <w:szCs w:val="22"/>
        </w:rPr>
        <w:t xml:space="preserve"> based on single linear mixed-effect models</w:t>
      </w:r>
      <w:r>
        <w:rPr>
          <w:rFonts w:asciiTheme="minorHAnsi" w:eastAsia="Times New Roman" w:hAnsiTheme="minorHAnsi" w:cstheme="minorHAnsi"/>
          <w:b/>
          <w:color w:val="auto"/>
          <w:sz w:val="22"/>
          <w:szCs w:val="22"/>
        </w:rPr>
        <w:t>.</w:t>
      </w:r>
      <w:bookmarkEnd w:id="8"/>
    </w:p>
    <w:p w:rsidR="0009124B" w:rsidRDefault="00EB3E17">
      <w:pPr>
        <w:keepNext/>
        <w:rPr>
          <w:rFonts w:cstheme="minorHAnsi"/>
        </w:rPr>
      </w:pPr>
      <w:r>
        <w:rPr>
          <w:rFonts w:cstheme="minorHAnsi"/>
          <w:b/>
          <w:noProof/>
        </w:rPr>
        <w:drawing>
          <wp:inline distT="0" distB="0" distL="0" distR="0">
            <wp:extent cx="3743960" cy="2307590"/>
            <wp:effectExtent l="0" t="0" r="8890" b="0"/>
            <wp:docPr id="1" name="Picture 1" descr="C:\Users\Emma\Documents\Documents PhD environmental footprinting bio-based materials\Paper two, review p-LCA BbP\Plots\Plots Jan 22\LUC GHG plo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Emma\Documents\Documents PhD environmental footprinting bio-based materials\Paper two, review p-LCA BbP\Plots\Plots Jan 22\LUC GHG plot.jpeg"/>
                    <pic:cNvPicPr>
                      <a:picLocks noChangeAspect="1" noChangeArrowheads="1"/>
                    </pic:cNvPicPr>
                  </pic:nvPicPr>
                  <pic:blipFill>
                    <a:blip r:embed="rId7">
                      <a:extLst>
                        <a:ext uri="{28A0092B-C50C-407E-A947-70E740481C1C}">
                          <a14:useLocalDpi xmlns:a14="http://schemas.microsoft.com/office/drawing/2010/main" val="0"/>
                        </a:ext>
                      </a:extLst>
                    </a:blip>
                    <a:srcRect t="26282" b="34011"/>
                    <a:stretch>
                      <a:fillRect/>
                    </a:stretch>
                  </pic:blipFill>
                  <pic:spPr>
                    <a:xfrm>
                      <a:off x="0" y="0"/>
                      <a:ext cx="3759231" cy="2317280"/>
                    </a:xfrm>
                    <a:prstGeom prst="rect">
                      <a:avLst/>
                    </a:prstGeom>
                    <a:noFill/>
                    <a:ln>
                      <a:noFill/>
                    </a:ln>
                  </pic:spPr>
                </pic:pic>
              </a:graphicData>
            </a:graphic>
          </wp:inline>
        </w:drawing>
      </w:r>
    </w:p>
    <w:p w:rsidR="0009124B" w:rsidRDefault="00EB3E17">
      <w:pPr>
        <w:pStyle w:val="Caption"/>
        <w:rPr>
          <w:rFonts w:cstheme="minorHAnsi"/>
          <w:b/>
          <w:color w:val="auto"/>
        </w:rPr>
      </w:pPr>
      <w:bookmarkStart w:id="9" w:name="_Toc95306296"/>
      <w:bookmarkStart w:id="10" w:name="_Toc95306687"/>
      <w:bookmarkStart w:id="11" w:name="_Toc96078428"/>
      <w:r>
        <w:rPr>
          <w:rStyle w:val="Heading2Char"/>
          <w:rFonts w:asciiTheme="minorHAnsi" w:hAnsiTheme="minorHAnsi" w:cstheme="minorHAnsi"/>
          <w:b/>
          <w:color w:val="auto"/>
          <w:sz w:val="18"/>
          <w:szCs w:val="18"/>
        </w:rPr>
        <w:t>Figure S.3</w:t>
      </w:r>
      <w:bookmarkEnd w:id="9"/>
      <w:bookmarkEnd w:id="10"/>
      <w:bookmarkEnd w:id="11"/>
      <w:r>
        <w:rPr>
          <w:rFonts w:cstheme="minorHAnsi"/>
          <w:color w:val="auto"/>
        </w:rPr>
        <w:t>: LMM on relationship RR GHG emissions and studies either in- or excluding LUC. Average estimate including LUC is -43% (</w:t>
      </w:r>
      <w:r w:rsidR="00827B0E">
        <w:rPr>
          <w:rFonts w:cstheme="minorHAnsi"/>
          <w:color w:val="auto"/>
        </w:rPr>
        <w:t>95% CI</w:t>
      </w:r>
      <w:r>
        <w:rPr>
          <w:rFonts w:cstheme="minorHAnsi"/>
          <w:color w:val="auto"/>
        </w:rPr>
        <w:t>: 6, 66%) and excluding LUC is -47% (</w:t>
      </w:r>
      <w:r w:rsidR="00827B0E">
        <w:rPr>
          <w:rFonts w:cstheme="minorHAnsi"/>
          <w:color w:val="auto"/>
        </w:rPr>
        <w:t>95% CI</w:t>
      </w:r>
      <w:r>
        <w:rPr>
          <w:rFonts w:cstheme="minorHAnsi"/>
          <w:color w:val="auto"/>
        </w:rPr>
        <w:t xml:space="preserve">: 38, 55%). Omnibus F:0.06, p-value: 0.79. </w:t>
      </w:r>
    </w:p>
    <w:p w:rsidR="0009124B" w:rsidRPr="00CE6D1D" w:rsidRDefault="00EB3E17">
      <w:pPr>
        <w:pStyle w:val="Heading1"/>
        <w:rPr>
          <w:rFonts w:asciiTheme="minorHAnsi" w:hAnsiTheme="minorHAnsi" w:cstheme="minorHAnsi"/>
          <w:b/>
        </w:rPr>
      </w:pPr>
      <w:r>
        <w:rPr>
          <w:color w:val="auto"/>
        </w:rPr>
        <w:br w:type="page"/>
      </w:r>
      <w:bookmarkStart w:id="12" w:name="_Toc96078429"/>
      <w:r>
        <w:rPr>
          <w:rFonts w:asciiTheme="minorHAnsi" w:hAnsiTheme="minorHAnsi" w:cstheme="minorHAnsi"/>
          <w:b/>
          <w:color w:val="auto"/>
          <w:sz w:val="22"/>
          <w:szCs w:val="22"/>
        </w:rPr>
        <w:lastRenderedPageBreak/>
        <w:t xml:space="preserve">S.4 </w:t>
      </w:r>
      <w:r w:rsidR="00CE6D1D">
        <w:rPr>
          <w:rFonts w:asciiTheme="minorHAnsi" w:hAnsiTheme="minorHAnsi" w:cstheme="minorHAnsi"/>
          <w:b/>
          <w:color w:val="auto"/>
          <w:sz w:val="22"/>
          <w:lang w:val="en"/>
        </w:rPr>
        <w:t xml:space="preserve">Predicted mean RR and </w:t>
      </w:r>
      <w:r w:rsidR="00827B0E">
        <w:rPr>
          <w:rFonts w:asciiTheme="minorHAnsi" w:hAnsiTheme="minorHAnsi" w:cstheme="minorHAnsi"/>
          <w:b/>
          <w:color w:val="auto"/>
          <w:sz w:val="22"/>
          <w:lang w:val="en"/>
        </w:rPr>
        <w:t>95% CI</w:t>
      </w:r>
      <w:r w:rsidR="00CE6D1D">
        <w:rPr>
          <w:rFonts w:asciiTheme="minorHAnsi" w:hAnsiTheme="minorHAnsi" w:cstheme="minorHAnsi"/>
          <w:b/>
          <w:color w:val="auto"/>
          <w:sz w:val="22"/>
          <w:lang w:val="en"/>
        </w:rPr>
        <w:t xml:space="preserve"> </w:t>
      </w:r>
      <w:r w:rsidR="00CE6D1D">
        <w:rPr>
          <w:rFonts w:asciiTheme="minorHAnsi" w:eastAsia="Times New Roman" w:hAnsiTheme="minorHAnsi" w:cstheme="minorHAnsi"/>
          <w:b/>
          <w:color w:val="auto"/>
          <w:sz w:val="22"/>
          <w:lang w:val="en"/>
        </w:rPr>
        <w:t>per feedstock category based on s</w:t>
      </w:r>
      <w:r w:rsidR="00CE6D1D">
        <w:rPr>
          <w:rFonts w:asciiTheme="minorHAnsi" w:eastAsia="Times New Roman" w:hAnsiTheme="minorHAnsi" w:cstheme="minorHAnsi"/>
          <w:b/>
          <w:color w:val="auto"/>
          <w:sz w:val="22"/>
        </w:rPr>
        <w:t xml:space="preserve">ingle linear mixed-effect models </w:t>
      </w:r>
      <w:r w:rsidR="00CE6D1D">
        <w:rPr>
          <w:rFonts w:asciiTheme="minorHAnsi" w:eastAsia="Times New Roman" w:hAnsiTheme="minorHAnsi" w:cstheme="minorHAnsi"/>
          <w:b/>
          <w:color w:val="auto"/>
          <w:sz w:val="22"/>
          <w:lang w:val="en"/>
        </w:rPr>
        <w:t>for</w:t>
      </w:r>
      <w:r w:rsidR="00CE6D1D">
        <w:rPr>
          <w:rFonts w:asciiTheme="minorHAnsi" w:hAnsiTheme="minorHAnsi" w:cstheme="minorHAnsi"/>
          <w:b/>
          <w:color w:val="auto"/>
          <w:sz w:val="22"/>
        </w:rPr>
        <w:t xml:space="preserve"> eutrophication, acidification, </w:t>
      </w:r>
      <w:r w:rsidR="00CE6D1D">
        <w:rPr>
          <w:rFonts w:asciiTheme="minorHAnsi" w:eastAsia="Times New Roman" w:hAnsiTheme="minorHAnsi" w:cstheme="minorHAnsi"/>
          <w:b/>
          <w:color w:val="auto"/>
          <w:sz w:val="22"/>
        </w:rPr>
        <w:t>non-renewable energy-use</w:t>
      </w:r>
      <w:r w:rsidR="00CE6D1D">
        <w:rPr>
          <w:rFonts w:asciiTheme="minorHAnsi" w:hAnsiTheme="minorHAnsi" w:cstheme="minorHAnsi"/>
          <w:b/>
          <w:color w:val="auto"/>
          <w:sz w:val="22"/>
        </w:rPr>
        <w:t>,</w:t>
      </w:r>
      <w:r w:rsidR="00CE6D1D">
        <w:rPr>
          <w:rFonts w:asciiTheme="minorHAnsi" w:eastAsia="Times New Roman" w:hAnsiTheme="minorHAnsi" w:cstheme="minorHAnsi"/>
          <w:b/>
          <w:color w:val="auto"/>
          <w:sz w:val="22"/>
        </w:rPr>
        <w:t xml:space="preserve"> ozone depletion and photochemical ozone formation</w:t>
      </w:r>
      <w:r w:rsidR="00CE6D1D">
        <w:rPr>
          <w:rFonts w:asciiTheme="minorHAnsi" w:eastAsia="Times New Roman" w:hAnsiTheme="minorHAnsi" w:cstheme="minorHAnsi"/>
          <w:b/>
          <w:color w:val="auto"/>
          <w:sz w:val="22"/>
          <w:lang w:val="en"/>
        </w:rPr>
        <w:t xml:space="preserve"> impacts</w:t>
      </w:r>
      <w:r w:rsidR="00CE6D1D">
        <w:rPr>
          <w:rFonts w:asciiTheme="minorHAnsi" w:eastAsia="Times New Roman" w:hAnsiTheme="minorHAnsi" w:cstheme="minorHAnsi"/>
          <w:b/>
          <w:color w:val="auto"/>
          <w:sz w:val="22"/>
        </w:rPr>
        <w:t>.</w:t>
      </w:r>
      <w:bookmarkEnd w:id="12"/>
    </w:p>
    <w:p w:rsidR="0009124B" w:rsidRDefault="00EB3E17">
      <w:pPr>
        <w:keepNext/>
        <w:jc w:val="center"/>
      </w:pPr>
      <w:r>
        <w:rPr>
          <w:noProof/>
        </w:rPr>
        <w:drawing>
          <wp:inline distT="0" distB="0" distL="0" distR="0">
            <wp:extent cx="4762500" cy="6877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8">
                      <a:extLst>
                        <a:ext uri="{28A0092B-C50C-407E-A947-70E740481C1C}">
                          <a14:useLocalDpi xmlns:a14="http://schemas.microsoft.com/office/drawing/2010/main" val="0"/>
                        </a:ext>
                      </a:extLst>
                    </a:blip>
                    <a:srcRect l="21620" r="21484"/>
                    <a:stretch>
                      <a:fillRect/>
                    </a:stretch>
                  </pic:blipFill>
                  <pic:spPr>
                    <a:xfrm>
                      <a:off x="0" y="0"/>
                      <a:ext cx="4762500" cy="6877050"/>
                    </a:xfrm>
                    <a:prstGeom prst="rect">
                      <a:avLst/>
                    </a:prstGeom>
                    <a:noFill/>
                    <a:ln>
                      <a:noFill/>
                    </a:ln>
                  </pic:spPr>
                </pic:pic>
              </a:graphicData>
            </a:graphic>
          </wp:inline>
        </w:drawing>
      </w:r>
    </w:p>
    <w:p w:rsidR="0009124B" w:rsidRDefault="00EB3E17">
      <w:pPr>
        <w:pStyle w:val="Caption"/>
        <w:rPr>
          <w:color w:val="auto"/>
        </w:rPr>
      </w:pPr>
      <w:bookmarkStart w:id="13" w:name="_Toc95306689"/>
      <w:bookmarkStart w:id="14" w:name="_Toc95306298"/>
      <w:bookmarkStart w:id="15" w:name="_Toc96078430"/>
      <w:r>
        <w:rPr>
          <w:rStyle w:val="Heading2Char"/>
          <w:rFonts w:asciiTheme="minorHAnsi" w:hAnsiTheme="minorHAnsi" w:cstheme="minorHAnsi"/>
          <w:b/>
          <w:color w:val="auto"/>
          <w:sz w:val="18"/>
          <w:szCs w:val="18"/>
        </w:rPr>
        <w:t>Figure S.4</w:t>
      </w:r>
      <w:bookmarkEnd w:id="13"/>
      <w:bookmarkEnd w:id="14"/>
      <w:bookmarkEnd w:id="15"/>
      <w:r>
        <w:rPr>
          <w:color w:val="auto"/>
        </w:rPr>
        <w:t>: LMM on relationship RR environmental footprints and feedstock category: (a) Eutrophication: omnibus F: 0.24, p-value: 0.94; (b) Acidification: omnibus F: 0.69, p-value: 0.63; (c) NREU: omnibus F: 1.18, p-value: 0.34; (d) Ozone Depletion: omnibus F: 0.90, p-value: 0.48; (e) Photochemical Ozone Formation: omnibus F: 1.02, p-value: 0.41.</w:t>
      </w:r>
    </w:p>
    <w:p w:rsidR="0009124B" w:rsidRDefault="00EB3E17">
      <w:pPr>
        <w:pStyle w:val="Heading1"/>
        <w:rPr>
          <w:rFonts w:asciiTheme="minorHAnsi" w:hAnsiTheme="minorHAnsi" w:cstheme="minorHAnsi"/>
          <w:b/>
        </w:rPr>
      </w:pPr>
      <w:r>
        <w:br w:type="page"/>
      </w:r>
      <w:bookmarkStart w:id="16" w:name="_Toc96078431"/>
      <w:r>
        <w:rPr>
          <w:rFonts w:asciiTheme="minorHAnsi" w:hAnsiTheme="minorHAnsi" w:cstheme="minorHAnsi"/>
          <w:b/>
          <w:color w:val="auto"/>
          <w:sz w:val="22"/>
        </w:rPr>
        <w:lastRenderedPageBreak/>
        <w:t xml:space="preserve">S.5 </w:t>
      </w:r>
      <w:r>
        <w:rPr>
          <w:rFonts w:asciiTheme="minorHAnsi" w:hAnsiTheme="minorHAnsi" w:cstheme="minorHAnsi"/>
          <w:b/>
          <w:color w:val="auto"/>
          <w:sz w:val="22"/>
          <w:lang w:val="en"/>
        </w:rPr>
        <w:t xml:space="preserve">Predicted mean RR and </w:t>
      </w:r>
      <w:r w:rsidR="00827B0E">
        <w:rPr>
          <w:rFonts w:asciiTheme="minorHAnsi" w:hAnsiTheme="minorHAnsi" w:cstheme="minorHAnsi"/>
          <w:b/>
          <w:color w:val="auto"/>
          <w:sz w:val="22"/>
          <w:lang w:val="en"/>
        </w:rPr>
        <w:t>95% CI</w:t>
      </w:r>
      <w:r>
        <w:rPr>
          <w:rFonts w:asciiTheme="minorHAnsi" w:hAnsiTheme="minorHAnsi" w:cstheme="minorHAnsi"/>
          <w:b/>
          <w:color w:val="auto"/>
          <w:sz w:val="22"/>
          <w:lang w:val="en"/>
        </w:rPr>
        <w:t xml:space="preserve"> </w:t>
      </w:r>
      <w:r>
        <w:rPr>
          <w:rFonts w:asciiTheme="minorHAnsi" w:eastAsia="Times New Roman" w:hAnsiTheme="minorHAnsi" w:cstheme="minorHAnsi"/>
          <w:b/>
          <w:color w:val="auto"/>
          <w:sz w:val="22"/>
          <w:lang w:val="en"/>
        </w:rPr>
        <w:t>per product category based on s</w:t>
      </w:r>
      <w:r>
        <w:rPr>
          <w:rFonts w:asciiTheme="minorHAnsi" w:eastAsia="Times New Roman" w:hAnsiTheme="minorHAnsi" w:cstheme="minorHAnsi"/>
          <w:b/>
          <w:color w:val="auto"/>
          <w:sz w:val="22"/>
        </w:rPr>
        <w:t xml:space="preserve">ingle linear mixed-effect models </w:t>
      </w:r>
      <w:r>
        <w:rPr>
          <w:rFonts w:asciiTheme="minorHAnsi" w:eastAsia="Times New Roman" w:hAnsiTheme="minorHAnsi" w:cstheme="minorHAnsi"/>
          <w:b/>
          <w:color w:val="auto"/>
          <w:sz w:val="22"/>
          <w:lang w:val="en"/>
        </w:rPr>
        <w:t>for</w:t>
      </w:r>
      <w:r>
        <w:rPr>
          <w:rFonts w:asciiTheme="minorHAnsi" w:hAnsiTheme="minorHAnsi" w:cstheme="minorHAnsi"/>
          <w:b/>
          <w:color w:val="auto"/>
          <w:sz w:val="22"/>
        </w:rPr>
        <w:t xml:space="preserve"> eutrophication, acidification, </w:t>
      </w:r>
      <w:r>
        <w:rPr>
          <w:rFonts w:asciiTheme="minorHAnsi" w:eastAsia="Times New Roman" w:hAnsiTheme="minorHAnsi" w:cstheme="minorHAnsi"/>
          <w:b/>
          <w:color w:val="auto"/>
          <w:sz w:val="22"/>
        </w:rPr>
        <w:t>non-renewable energy-use</w:t>
      </w:r>
      <w:r>
        <w:rPr>
          <w:rFonts w:asciiTheme="minorHAnsi" w:hAnsiTheme="minorHAnsi" w:cstheme="minorHAnsi"/>
          <w:b/>
          <w:color w:val="auto"/>
          <w:sz w:val="22"/>
        </w:rPr>
        <w:t>,</w:t>
      </w:r>
      <w:r>
        <w:rPr>
          <w:rFonts w:asciiTheme="minorHAnsi" w:eastAsia="Times New Roman" w:hAnsiTheme="minorHAnsi" w:cstheme="minorHAnsi"/>
          <w:b/>
          <w:color w:val="auto"/>
          <w:sz w:val="22"/>
        </w:rPr>
        <w:t xml:space="preserve"> ozone depletion and photochemical ozone formation</w:t>
      </w:r>
      <w:r>
        <w:rPr>
          <w:rFonts w:asciiTheme="minorHAnsi" w:eastAsia="Times New Roman" w:hAnsiTheme="minorHAnsi" w:cstheme="minorHAnsi"/>
          <w:b/>
          <w:color w:val="auto"/>
          <w:sz w:val="22"/>
          <w:lang w:val="en"/>
        </w:rPr>
        <w:t xml:space="preserve"> impacts</w:t>
      </w:r>
      <w:r>
        <w:rPr>
          <w:rFonts w:asciiTheme="minorHAnsi" w:eastAsia="Times New Roman" w:hAnsiTheme="minorHAnsi" w:cstheme="minorHAnsi"/>
          <w:b/>
          <w:color w:val="auto"/>
          <w:sz w:val="22"/>
        </w:rPr>
        <w:t>.</w:t>
      </w:r>
      <w:bookmarkEnd w:id="16"/>
    </w:p>
    <w:p w:rsidR="0009124B" w:rsidRDefault="00EB3E17">
      <w:pPr>
        <w:keepNext/>
        <w:jc w:val="center"/>
      </w:pPr>
      <w:r>
        <w:rPr>
          <w:noProof/>
        </w:rPr>
        <w:drawing>
          <wp:inline distT="0" distB="0" distL="0" distR="0">
            <wp:extent cx="4032250" cy="685863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a:extLst>
                        <a:ext uri="{28A0092B-C50C-407E-A947-70E740481C1C}">
                          <a14:useLocalDpi xmlns:a14="http://schemas.microsoft.com/office/drawing/2010/main" val="0"/>
                        </a:ext>
                      </a:extLst>
                    </a:blip>
                    <a:srcRect l="27331" r="24461"/>
                    <a:stretch>
                      <a:fillRect/>
                    </a:stretch>
                  </pic:blipFill>
                  <pic:spPr>
                    <a:xfrm>
                      <a:off x="0" y="0"/>
                      <a:ext cx="4032250" cy="6858635"/>
                    </a:xfrm>
                    <a:prstGeom prst="rect">
                      <a:avLst/>
                    </a:prstGeom>
                    <a:noFill/>
                    <a:ln>
                      <a:noFill/>
                    </a:ln>
                  </pic:spPr>
                </pic:pic>
              </a:graphicData>
            </a:graphic>
          </wp:inline>
        </w:drawing>
      </w:r>
    </w:p>
    <w:p w:rsidR="0009124B" w:rsidRDefault="00EB3E17">
      <w:pPr>
        <w:pStyle w:val="Caption"/>
        <w:rPr>
          <w:color w:val="auto"/>
        </w:rPr>
      </w:pPr>
      <w:bookmarkStart w:id="17" w:name="_Toc95306300"/>
      <w:bookmarkStart w:id="18" w:name="_Toc95306691"/>
      <w:bookmarkStart w:id="19" w:name="_Toc96078432"/>
      <w:r>
        <w:rPr>
          <w:rStyle w:val="Heading2Char"/>
          <w:rFonts w:asciiTheme="minorHAnsi" w:hAnsiTheme="minorHAnsi" w:cstheme="minorHAnsi"/>
          <w:b/>
          <w:color w:val="auto"/>
          <w:sz w:val="18"/>
        </w:rPr>
        <w:t>Figure S.5</w:t>
      </w:r>
      <w:bookmarkEnd w:id="17"/>
      <w:bookmarkEnd w:id="18"/>
      <w:bookmarkEnd w:id="19"/>
      <w:r>
        <w:rPr>
          <w:color w:val="auto"/>
        </w:rPr>
        <w:t>: LMM on relationship RR environmental footprints and product category: (a) Eutrophication: omnibus F: 0.35, p-value: 0.84; (b) Acidification: omnibus F: 11.86, p-value: 1.56E-02*; (c) NREU: omnibus F: 2.82, p-value: 0.097; (d) Ozone Depletion: omnibus F: 1.35, p-value: 0.29; (e) Photochemical Ozone Formation: omnibus F: 2.95, p-value: 0.03*.</w:t>
      </w:r>
    </w:p>
    <w:p w:rsidR="00935346" w:rsidRDefault="00EB3E17" w:rsidP="00935346">
      <w:pPr>
        <w:pStyle w:val="Heading1"/>
      </w:pPr>
      <w:r>
        <w:rPr>
          <w:color w:val="auto"/>
        </w:rPr>
        <w:br w:type="page"/>
      </w:r>
      <w:bookmarkStart w:id="20" w:name="_Toc96078433"/>
      <w:r>
        <w:rPr>
          <w:rFonts w:asciiTheme="minorHAnsi" w:hAnsiTheme="minorHAnsi" w:cstheme="minorHAnsi"/>
          <w:b/>
          <w:color w:val="auto"/>
          <w:sz w:val="22"/>
        </w:rPr>
        <w:lastRenderedPageBreak/>
        <w:t xml:space="preserve">S.6 </w:t>
      </w:r>
      <w:r w:rsidR="00935346">
        <w:rPr>
          <w:rFonts w:asciiTheme="minorHAnsi" w:hAnsiTheme="minorHAnsi" w:cstheme="minorHAnsi"/>
          <w:b/>
          <w:color w:val="auto"/>
          <w:sz w:val="22"/>
        </w:rPr>
        <w:t xml:space="preserve">Overview of </w:t>
      </w:r>
      <w:r w:rsidR="00CE6D1D" w:rsidRPr="00CE6D1D">
        <w:rPr>
          <w:rFonts w:asciiTheme="minorHAnsi" w:hAnsiTheme="minorHAnsi" w:cstheme="minorHAnsi"/>
          <w:b/>
          <w:color w:val="auto"/>
          <w:sz w:val="22"/>
        </w:rPr>
        <w:t xml:space="preserve">arithmetic </w:t>
      </w:r>
      <w:r w:rsidR="00935346" w:rsidRPr="00935346">
        <w:rPr>
          <w:rFonts w:asciiTheme="minorHAnsi" w:hAnsiTheme="minorHAnsi" w:cstheme="minorHAnsi"/>
          <w:b/>
          <w:color w:val="auto"/>
          <w:sz w:val="22"/>
        </w:rPr>
        <w:t>average RRs</w:t>
      </w:r>
      <w:r w:rsidR="00935346">
        <w:rPr>
          <w:rFonts w:asciiTheme="minorHAnsi" w:hAnsiTheme="minorHAnsi" w:cstheme="minorHAnsi"/>
          <w:b/>
          <w:color w:val="auto"/>
          <w:sz w:val="22"/>
        </w:rPr>
        <w:t xml:space="preserve"> and corresponding 95% CI </w:t>
      </w:r>
      <w:r w:rsidR="00DC0785">
        <w:rPr>
          <w:rFonts w:asciiTheme="minorHAnsi" w:hAnsiTheme="minorHAnsi" w:cstheme="minorHAnsi"/>
          <w:b/>
          <w:color w:val="auto"/>
          <w:sz w:val="22"/>
        </w:rPr>
        <w:t>for greenhouse gas emissions,</w:t>
      </w:r>
      <w:r w:rsidR="00935346">
        <w:rPr>
          <w:rFonts w:asciiTheme="minorHAnsi" w:hAnsiTheme="minorHAnsi" w:cstheme="minorHAnsi"/>
          <w:b/>
          <w:color w:val="auto"/>
          <w:sz w:val="22"/>
        </w:rPr>
        <w:t xml:space="preserve"> </w:t>
      </w:r>
      <w:r w:rsidR="00DC0785">
        <w:rPr>
          <w:rFonts w:asciiTheme="minorHAnsi" w:hAnsiTheme="minorHAnsi" w:cstheme="minorHAnsi"/>
          <w:b/>
          <w:color w:val="auto"/>
          <w:sz w:val="22"/>
        </w:rPr>
        <w:t xml:space="preserve">eutrophication, acidification, </w:t>
      </w:r>
      <w:r w:rsidR="00DC0785">
        <w:rPr>
          <w:rFonts w:asciiTheme="minorHAnsi" w:eastAsia="Times New Roman" w:hAnsiTheme="minorHAnsi" w:cstheme="minorHAnsi"/>
          <w:b/>
          <w:color w:val="auto"/>
          <w:sz w:val="22"/>
        </w:rPr>
        <w:t>non-renewable energy-use</w:t>
      </w:r>
      <w:r w:rsidR="00DC0785">
        <w:rPr>
          <w:rFonts w:asciiTheme="minorHAnsi" w:hAnsiTheme="minorHAnsi" w:cstheme="minorHAnsi"/>
          <w:b/>
          <w:color w:val="auto"/>
          <w:sz w:val="22"/>
        </w:rPr>
        <w:t>,</w:t>
      </w:r>
      <w:r w:rsidR="00DC0785">
        <w:rPr>
          <w:rFonts w:asciiTheme="minorHAnsi" w:eastAsia="Times New Roman" w:hAnsiTheme="minorHAnsi" w:cstheme="minorHAnsi"/>
          <w:b/>
          <w:color w:val="auto"/>
          <w:sz w:val="22"/>
        </w:rPr>
        <w:t xml:space="preserve"> ozone depletion and photochemical ozone formation</w:t>
      </w:r>
      <w:r w:rsidR="00DC0785">
        <w:rPr>
          <w:rFonts w:asciiTheme="minorHAnsi" w:eastAsia="Times New Roman" w:hAnsiTheme="minorHAnsi" w:cstheme="minorHAnsi"/>
          <w:b/>
          <w:color w:val="auto"/>
          <w:sz w:val="22"/>
          <w:lang w:val="en"/>
        </w:rPr>
        <w:t xml:space="preserve"> impacts</w:t>
      </w:r>
      <w:r w:rsidR="00DC0785">
        <w:rPr>
          <w:rFonts w:cstheme="minorHAnsi"/>
          <w:noProof/>
        </w:rPr>
        <w:t xml:space="preserve"> </w:t>
      </w:r>
      <w:r w:rsidR="00935346">
        <w:rPr>
          <w:rFonts w:cstheme="minorHAnsi"/>
          <w:noProof/>
        </w:rPr>
        <w:drawing>
          <wp:inline distT="0" distB="0" distL="0" distR="0" wp14:anchorId="7C477FFD" wp14:editId="5E05F549">
            <wp:extent cx="5759450" cy="35045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0">
                      <a:extLst>
                        <a:ext uri="{28A0092B-C50C-407E-A947-70E740481C1C}">
                          <a14:useLocalDpi xmlns:a14="http://schemas.microsoft.com/office/drawing/2010/main" val="0"/>
                        </a:ext>
                      </a:extLst>
                    </a:blip>
                    <a:srcRect t="17489"/>
                    <a:stretch>
                      <a:fillRect/>
                    </a:stretch>
                  </pic:blipFill>
                  <pic:spPr>
                    <a:xfrm>
                      <a:off x="0" y="0"/>
                      <a:ext cx="5760000" cy="3505319"/>
                    </a:xfrm>
                    <a:prstGeom prst="rect">
                      <a:avLst/>
                    </a:prstGeom>
                    <a:noFill/>
                    <a:ln>
                      <a:noFill/>
                    </a:ln>
                  </pic:spPr>
                </pic:pic>
              </a:graphicData>
            </a:graphic>
          </wp:inline>
        </w:drawing>
      </w:r>
      <w:bookmarkEnd w:id="20"/>
    </w:p>
    <w:p w:rsidR="00935346" w:rsidRPr="00935346" w:rsidRDefault="00935346" w:rsidP="00935346">
      <w:pPr>
        <w:pStyle w:val="Caption"/>
        <w:rPr>
          <w:rFonts w:cstheme="minorHAnsi"/>
          <w:b/>
          <w:color w:val="auto"/>
        </w:rPr>
      </w:pPr>
      <w:r w:rsidRPr="00935346">
        <w:rPr>
          <w:b/>
          <w:color w:val="auto"/>
        </w:rPr>
        <w:t>Figure S.6</w:t>
      </w:r>
      <w:r w:rsidRPr="00935346">
        <w:rPr>
          <w:color w:val="auto"/>
        </w:rPr>
        <w:t xml:space="preserve">: </w:t>
      </w:r>
      <w:r w:rsidRPr="00935346">
        <w:rPr>
          <w:rFonts w:cstheme="minorHAnsi"/>
          <w:color w:val="auto"/>
        </w:rPr>
        <w:t xml:space="preserve">Plot showing overall </w:t>
      </w:r>
      <w:r w:rsidR="00CE6D1D" w:rsidRPr="00CE6D1D">
        <w:rPr>
          <w:rFonts w:cstheme="minorHAnsi"/>
          <w:color w:val="auto"/>
        </w:rPr>
        <w:t xml:space="preserve">arithmetic </w:t>
      </w:r>
      <w:r w:rsidRPr="00935346">
        <w:rPr>
          <w:rFonts w:cstheme="minorHAnsi"/>
          <w:color w:val="auto"/>
        </w:rPr>
        <w:t xml:space="preserve">averages and </w:t>
      </w:r>
      <w:r w:rsidR="00827B0E">
        <w:rPr>
          <w:rFonts w:cstheme="minorHAnsi"/>
          <w:color w:val="auto"/>
        </w:rPr>
        <w:t>95% CI</w:t>
      </w:r>
      <w:r w:rsidRPr="00935346">
        <w:rPr>
          <w:rFonts w:cstheme="minorHAnsi"/>
          <w:color w:val="auto"/>
        </w:rPr>
        <w:t xml:space="preserve"> of GHG, Eutrophication, Acidification, NREU, Ozone Depletion and Photochemical Ozone Formation impacts. In percentages, on average the GHG footprint is reduced with 43% (</w:t>
      </w:r>
      <w:r w:rsidR="00827B0E">
        <w:rPr>
          <w:rFonts w:cstheme="minorHAnsi"/>
          <w:color w:val="auto"/>
        </w:rPr>
        <w:t>95% CI</w:t>
      </w:r>
      <w:r w:rsidRPr="00935346">
        <w:rPr>
          <w:rFonts w:cstheme="minorHAnsi"/>
          <w:color w:val="auto"/>
        </w:rPr>
        <w:t>: 37, 49%), eutrophication is increased with 256% (</w:t>
      </w:r>
      <w:r w:rsidR="00827B0E">
        <w:rPr>
          <w:rFonts w:cstheme="minorHAnsi"/>
          <w:color w:val="auto"/>
        </w:rPr>
        <w:t>95% CI</w:t>
      </w:r>
      <w:r w:rsidRPr="00935346">
        <w:rPr>
          <w:rFonts w:cstheme="minorHAnsi"/>
          <w:color w:val="auto"/>
        </w:rPr>
        <w:t>: 125, 468%), acidification is increased with 38% (</w:t>
      </w:r>
      <w:r w:rsidR="00827B0E">
        <w:rPr>
          <w:rFonts w:cstheme="minorHAnsi"/>
          <w:color w:val="auto"/>
        </w:rPr>
        <w:t>95% CI</w:t>
      </w:r>
      <w:r w:rsidRPr="00935346">
        <w:rPr>
          <w:rFonts w:cstheme="minorHAnsi"/>
          <w:color w:val="auto"/>
        </w:rPr>
        <w:t>: -15, 124%), NREU is reduced with 30% (</w:t>
      </w:r>
      <w:r w:rsidR="00827B0E">
        <w:rPr>
          <w:rFonts w:cstheme="minorHAnsi"/>
          <w:color w:val="auto"/>
        </w:rPr>
        <w:t>95% CI</w:t>
      </w:r>
      <w:r w:rsidRPr="00935346">
        <w:rPr>
          <w:rFonts w:cstheme="minorHAnsi"/>
          <w:color w:val="auto"/>
        </w:rPr>
        <w:t>: 13, 43%), ozone depletion is reduced with 27% (</w:t>
      </w:r>
      <w:r w:rsidR="00827B0E">
        <w:rPr>
          <w:rFonts w:cstheme="minorHAnsi"/>
          <w:color w:val="auto"/>
        </w:rPr>
        <w:t>95% CI</w:t>
      </w:r>
      <w:r w:rsidRPr="00935346">
        <w:rPr>
          <w:rFonts w:cstheme="minorHAnsi"/>
          <w:color w:val="auto"/>
        </w:rPr>
        <w:t>: -63, 41%) and photochemical ozone formation is increased with 2% (</w:t>
      </w:r>
      <w:r w:rsidR="00827B0E">
        <w:rPr>
          <w:rFonts w:cstheme="minorHAnsi"/>
          <w:color w:val="auto"/>
        </w:rPr>
        <w:t>95% CI</w:t>
      </w:r>
      <w:r w:rsidRPr="00935346">
        <w:rPr>
          <w:rFonts w:cstheme="minorHAnsi"/>
          <w:color w:val="auto"/>
        </w:rPr>
        <w:t>: -48, 103%).</w:t>
      </w:r>
    </w:p>
    <w:p w:rsidR="00935346" w:rsidRDefault="00935346">
      <w:pPr>
        <w:rPr>
          <w:rFonts w:eastAsiaTheme="majorEastAsia" w:cstheme="minorHAnsi"/>
          <w:b/>
          <w:szCs w:val="32"/>
        </w:rPr>
      </w:pPr>
      <w:r>
        <w:rPr>
          <w:rFonts w:cstheme="minorHAnsi"/>
          <w:b/>
        </w:rPr>
        <w:br w:type="page"/>
      </w:r>
    </w:p>
    <w:p w:rsidR="0009124B" w:rsidRDefault="00935346" w:rsidP="00511676">
      <w:pPr>
        <w:pStyle w:val="Heading1"/>
        <w:rPr>
          <w:rFonts w:cstheme="minorHAnsi"/>
          <w:b/>
        </w:rPr>
      </w:pPr>
      <w:bookmarkStart w:id="21" w:name="_Toc96078434"/>
      <w:r>
        <w:rPr>
          <w:rFonts w:asciiTheme="minorHAnsi" w:hAnsiTheme="minorHAnsi" w:cstheme="minorHAnsi"/>
          <w:b/>
          <w:color w:val="auto"/>
          <w:sz w:val="22"/>
        </w:rPr>
        <w:lastRenderedPageBreak/>
        <w:t xml:space="preserve">S.7 </w:t>
      </w:r>
      <w:r w:rsidR="00EB3E17">
        <w:rPr>
          <w:rFonts w:asciiTheme="minorHAnsi" w:hAnsiTheme="minorHAnsi" w:cstheme="minorHAnsi"/>
          <w:b/>
          <w:color w:val="auto"/>
          <w:sz w:val="22"/>
        </w:rPr>
        <w:t xml:space="preserve">Overview of the </w:t>
      </w:r>
      <w:r w:rsidR="00EB3E17">
        <w:rPr>
          <w:rFonts w:asciiTheme="minorHAnsi" w:hAnsiTheme="minorHAnsi" w:cstheme="minorHAnsi"/>
          <w:b/>
          <w:color w:val="auto"/>
          <w:sz w:val="22"/>
          <w:lang w:val="en"/>
        </w:rPr>
        <w:t xml:space="preserve">predicted </w:t>
      </w:r>
      <w:r w:rsidR="00EB3E17">
        <w:rPr>
          <w:rFonts w:asciiTheme="minorHAnsi" w:hAnsiTheme="minorHAnsi" w:cstheme="minorHAnsi"/>
          <w:b/>
          <w:color w:val="auto"/>
          <w:sz w:val="22"/>
        </w:rPr>
        <w:t xml:space="preserve">mean and </w:t>
      </w:r>
      <w:r w:rsidR="00827B0E">
        <w:rPr>
          <w:rFonts w:asciiTheme="minorHAnsi" w:hAnsiTheme="minorHAnsi" w:cstheme="minorHAnsi"/>
          <w:b/>
          <w:color w:val="auto"/>
          <w:sz w:val="22"/>
        </w:rPr>
        <w:t>95% CI</w:t>
      </w:r>
      <w:r w:rsidR="00EB3E17">
        <w:rPr>
          <w:rFonts w:asciiTheme="minorHAnsi" w:hAnsiTheme="minorHAnsi" w:cstheme="minorHAnsi"/>
          <w:b/>
          <w:color w:val="auto"/>
          <w:sz w:val="22"/>
        </w:rPr>
        <w:t xml:space="preserve"> of the RRs</w:t>
      </w:r>
      <w:r w:rsidR="00EB3E17">
        <w:rPr>
          <w:rFonts w:asciiTheme="minorHAnsi" w:hAnsiTheme="minorHAnsi" w:cstheme="minorHAnsi"/>
          <w:b/>
          <w:color w:val="auto"/>
          <w:sz w:val="22"/>
          <w:lang w:val="en"/>
        </w:rPr>
        <w:t xml:space="preserve"> across all product types and studies for all environmental impacts with n&lt;20. </w:t>
      </w:r>
      <w:r>
        <w:rPr>
          <w:rFonts w:asciiTheme="minorHAnsi" w:hAnsiTheme="minorHAnsi" w:cstheme="minorHAnsi"/>
          <w:b/>
          <w:color w:val="auto"/>
          <w:sz w:val="22"/>
          <w:lang w:val="en"/>
        </w:rPr>
        <w:t>Separate</w:t>
      </w:r>
      <w:r w:rsidR="00EB3E17">
        <w:rPr>
          <w:rFonts w:asciiTheme="minorHAnsi" w:hAnsiTheme="minorHAnsi" w:cstheme="minorHAnsi"/>
          <w:b/>
          <w:color w:val="auto"/>
          <w:sz w:val="22"/>
          <w:lang w:val="en"/>
        </w:rPr>
        <w:t xml:space="preserve"> random-effects models were </w:t>
      </w:r>
      <w:proofErr w:type="gramStart"/>
      <w:r w:rsidR="00EB3E17">
        <w:rPr>
          <w:rFonts w:asciiTheme="minorHAnsi" w:hAnsiTheme="minorHAnsi" w:cstheme="minorHAnsi"/>
          <w:b/>
          <w:color w:val="auto"/>
          <w:sz w:val="22"/>
          <w:lang w:val="en"/>
        </w:rPr>
        <w:t>ran</w:t>
      </w:r>
      <w:proofErr w:type="gramEnd"/>
      <w:r w:rsidR="00EB3E17">
        <w:rPr>
          <w:rFonts w:asciiTheme="minorHAnsi" w:hAnsiTheme="minorHAnsi" w:cstheme="minorHAnsi"/>
          <w:b/>
          <w:color w:val="auto"/>
          <w:sz w:val="22"/>
          <w:lang w:val="en"/>
        </w:rPr>
        <w:t xml:space="preserve"> for each impact </w:t>
      </w:r>
      <w:r w:rsidR="00DF4DC6">
        <w:rPr>
          <w:rFonts w:asciiTheme="minorHAnsi" w:hAnsiTheme="minorHAnsi" w:cstheme="minorHAnsi"/>
          <w:b/>
          <w:color w:val="auto"/>
          <w:sz w:val="22"/>
          <w:lang w:val="en"/>
        </w:rPr>
        <w:t>category</w:t>
      </w:r>
      <w:r w:rsidR="00EB3E17">
        <w:rPr>
          <w:rFonts w:asciiTheme="minorHAnsi" w:hAnsiTheme="minorHAnsi" w:cstheme="minorHAnsi"/>
          <w:b/>
          <w:color w:val="auto"/>
          <w:sz w:val="22"/>
          <w:lang w:val="en"/>
        </w:rPr>
        <w:t>.</w:t>
      </w:r>
      <w:bookmarkEnd w:id="21"/>
    </w:p>
    <w:p w:rsidR="0009124B" w:rsidRDefault="00511676">
      <w:pPr>
        <w:keepNext/>
      </w:pPr>
      <w:r w:rsidRPr="00511676">
        <w:rPr>
          <w:noProof/>
        </w:rPr>
        <w:drawing>
          <wp:inline distT="0" distB="0" distL="0" distR="0" wp14:anchorId="79EB68DF" wp14:editId="62E4C32E">
            <wp:extent cx="5760000" cy="5496354"/>
            <wp:effectExtent l="0" t="0" r="0" b="0"/>
            <wp:docPr id="3" name="Picture 3" descr="C:\Users\Emma\Documents\Documents PhD environmental footprinting bio-based materials\Paper two, review p-LCA BbP\All_other_EV_finalFE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Documents\Documents PhD environmental footprinting bio-based materials\Paper two, review p-LCA BbP\All_other_EV_finalFEB.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5496354"/>
                    </a:xfrm>
                    <a:prstGeom prst="rect">
                      <a:avLst/>
                    </a:prstGeom>
                    <a:noFill/>
                    <a:ln>
                      <a:noFill/>
                    </a:ln>
                  </pic:spPr>
                </pic:pic>
              </a:graphicData>
            </a:graphic>
          </wp:inline>
        </w:drawing>
      </w:r>
    </w:p>
    <w:p w:rsidR="0009124B" w:rsidRDefault="00EB3E17">
      <w:pPr>
        <w:pStyle w:val="Caption"/>
        <w:rPr>
          <w:color w:val="auto"/>
        </w:rPr>
      </w:pPr>
      <w:bookmarkStart w:id="22" w:name="_Toc95306693"/>
      <w:bookmarkStart w:id="23" w:name="_Toc95306302"/>
      <w:bookmarkStart w:id="24" w:name="_Toc96078435"/>
      <w:r>
        <w:rPr>
          <w:rStyle w:val="Heading2Char"/>
          <w:rFonts w:asciiTheme="minorHAnsi" w:hAnsiTheme="minorHAnsi" w:cstheme="minorHAnsi"/>
          <w:b/>
          <w:color w:val="auto"/>
          <w:sz w:val="18"/>
        </w:rPr>
        <w:t>Figure S.</w:t>
      </w:r>
      <w:bookmarkEnd w:id="22"/>
      <w:bookmarkEnd w:id="23"/>
      <w:r w:rsidR="00935346">
        <w:rPr>
          <w:rStyle w:val="Heading2Char"/>
          <w:rFonts w:asciiTheme="minorHAnsi" w:hAnsiTheme="minorHAnsi" w:cstheme="minorHAnsi"/>
          <w:b/>
          <w:color w:val="auto"/>
          <w:sz w:val="18"/>
        </w:rPr>
        <w:t>7</w:t>
      </w:r>
      <w:bookmarkEnd w:id="24"/>
      <w:r>
        <w:rPr>
          <w:color w:val="auto"/>
        </w:rPr>
        <w:t>: plot showing</w:t>
      </w:r>
      <w:r w:rsidR="00511676">
        <w:rPr>
          <w:color w:val="auto"/>
        </w:rPr>
        <w:t xml:space="preserve"> predicted</w:t>
      </w:r>
      <w:r>
        <w:rPr>
          <w:color w:val="auto"/>
        </w:rPr>
        <w:t xml:space="preserve"> mean and </w:t>
      </w:r>
      <w:r w:rsidR="00827B0E">
        <w:rPr>
          <w:color w:val="auto"/>
        </w:rPr>
        <w:t>95% CI</w:t>
      </w:r>
      <w:r>
        <w:rPr>
          <w:color w:val="auto"/>
        </w:rPr>
        <w:t xml:space="preserve"> of the other environmental impacts’ RRs (with n &lt; 20) collected from the 112 studies (Human </w:t>
      </w:r>
      <w:proofErr w:type="spellStart"/>
      <w:r>
        <w:rPr>
          <w:color w:val="auto"/>
        </w:rPr>
        <w:t>Ecotoxicity</w:t>
      </w:r>
      <w:proofErr w:type="spellEnd"/>
      <w:r>
        <w:rPr>
          <w:color w:val="auto"/>
        </w:rPr>
        <w:t xml:space="preserve">, Freshwater </w:t>
      </w:r>
      <w:proofErr w:type="spellStart"/>
      <w:r>
        <w:rPr>
          <w:color w:val="auto"/>
        </w:rPr>
        <w:t>Ecotoxicity</w:t>
      </w:r>
      <w:proofErr w:type="spellEnd"/>
      <w:r>
        <w:rPr>
          <w:color w:val="auto"/>
        </w:rPr>
        <w:t xml:space="preserve">, Marine Aquatic </w:t>
      </w:r>
      <w:proofErr w:type="spellStart"/>
      <w:r>
        <w:rPr>
          <w:color w:val="auto"/>
        </w:rPr>
        <w:t>Ecotoxicity</w:t>
      </w:r>
      <w:proofErr w:type="spellEnd"/>
      <w:r>
        <w:rPr>
          <w:color w:val="auto"/>
        </w:rPr>
        <w:t>, Land Use, Water Scarcity, Depletion of Abiotic Resources).</w:t>
      </w:r>
    </w:p>
    <w:p w:rsidR="0009124B" w:rsidRDefault="00EB3E17">
      <w:pPr>
        <w:rPr>
          <w:rFonts w:cstheme="minorHAnsi"/>
          <w:b/>
        </w:rPr>
      </w:pPr>
      <w:r>
        <w:rPr>
          <w:rFonts w:cstheme="minorHAnsi"/>
          <w:b/>
        </w:rPr>
        <w:br w:type="page"/>
      </w:r>
    </w:p>
    <w:p w:rsidR="0009124B" w:rsidRDefault="00EB3E17">
      <w:pPr>
        <w:pStyle w:val="Heading1"/>
        <w:rPr>
          <w:rFonts w:asciiTheme="minorHAnsi" w:hAnsiTheme="minorHAnsi" w:cstheme="minorHAnsi"/>
          <w:b/>
          <w:color w:val="auto"/>
          <w:sz w:val="22"/>
        </w:rPr>
      </w:pPr>
      <w:bookmarkStart w:id="25" w:name="_Toc96078436"/>
      <w:r>
        <w:rPr>
          <w:rFonts w:asciiTheme="minorHAnsi" w:hAnsiTheme="minorHAnsi" w:cstheme="minorHAnsi"/>
          <w:b/>
          <w:color w:val="auto"/>
          <w:sz w:val="22"/>
        </w:rPr>
        <w:lastRenderedPageBreak/>
        <w:t>S.</w:t>
      </w:r>
      <w:r w:rsidR="00935346">
        <w:rPr>
          <w:rFonts w:asciiTheme="minorHAnsi" w:hAnsiTheme="minorHAnsi" w:cstheme="minorHAnsi"/>
          <w:b/>
          <w:color w:val="auto"/>
          <w:sz w:val="22"/>
        </w:rPr>
        <w:t>8</w:t>
      </w:r>
      <w:r>
        <w:rPr>
          <w:rFonts w:asciiTheme="minorHAnsi" w:hAnsiTheme="minorHAnsi" w:cstheme="minorHAnsi"/>
          <w:b/>
          <w:color w:val="auto"/>
          <w:sz w:val="22"/>
        </w:rPr>
        <w:t xml:space="preserve"> Overview TRLs</w:t>
      </w:r>
      <w:bookmarkEnd w:id="25"/>
    </w:p>
    <w:p w:rsidR="0009124B" w:rsidRDefault="00EB3E17">
      <w:pPr>
        <w:pStyle w:val="NoSpacing"/>
        <w:spacing w:line="360" w:lineRule="auto"/>
        <w:rPr>
          <w:rFonts w:cstheme="minorHAnsi"/>
          <w:sz w:val="20"/>
        </w:rPr>
      </w:pPr>
      <w:r>
        <w:rPr>
          <w:rFonts w:cstheme="minorHAnsi"/>
          <w:sz w:val="20"/>
        </w:rPr>
        <w:t xml:space="preserve">Only in a few cases the TRL was addressed by the study itself. The TRL evaluation was therefore based on the TRL specification from Moni et al. (2020) and afterwards regrouped into broader category classes (TRL 1-3, TRL 4-5, TRL 6-9).  </w:t>
      </w:r>
    </w:p>
    <w:p w:rsidR="0009124B" w:rsidRDefault="00EB3E17">
      <w:pPr>
        <w:pStyle w:val="NoSpacing"/>
        <w:keepNext/>
        <w:spacing w:line="360" w:lineRule="auto"/>
        <w:jc w:val="center"/>
        <w:rPr>
          <w:rFonts w:cstheme="minorHAnsi"/>
        </w:rPr>
      </w:pPr>
      <w:r>
        <w:rPr>
          <w:rFonts w:cstheme="minorHAnsi"/>
          <w:noProof/>
        </w:rPr>
        <w:drawing>
          <wp:inline distT="0" distB="0" distL="0" distR="0">
            <wp:extent cx="6137910" cy="347472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142989" cy="3477257"/>
                    </a:xfrm>
                    <a:prstGeom prst="rect">
                      <a:avLst/>
                    </a:prstGeom>
                    <a:noFill/>
                    <a:ln>
                      <a:noFill/>
                    </a:ln>
                  </pic:spPr>
                </pic:pic>
              </a:graphicData>
            </a:graphic>
          </wp:inline>
        </w:drawing>
      </w:r>
    </w:p>
    <w:p w:rsidR="0009124B" w:rsidRPr="00935346" w:rsidRDefault="00EB3E17">
      <w:pPr>
        <w:pStyle w:val="Caption"/>
        <w:rPr>
          <w:rFonts w:cstheme="minorHAnsi"/>
          <w:color w:val="auto"/>
        </w:rPr>
      </w:pPr>
      <w:bookmarkStart w:id="26" w:name="_Toc95306695"/>
      <w:bookmarkStart w:id="27" w:name="_Toc96078437"/>
      <w:r>
        <w:rPr>
          <w:rStyle w:val="Heading2Char"/>
          <w:rFonts w:asciiTheme="minorHAnsi" w:hAnsiTheme="minorHAnsi" w:cstheme="minorHAnsi"/>
          <w:b/>
          <w:color w:val="auto"/>
          <w:sz w:val="18"/>
        </w:rPr>
        <w:t>Figure S.</w:t>
      </w:r>
      <w:bookmarkEnd w:id="26"/>
      <w:r w:rsidR="00935346">
        <w:rPr>
          <w:rStyle w:val="Heading2Char"/>
          <w:rFonts w:asciiTheme="minorHAnsi" w:hAnsiTheme="minorHAnsi" w:cstheme="minorHAnsi"/>
          <w:b/>
          <w:color w:val="auto"/>
          <w:sz w:val="18"/>
        </w:rPr>
        <w:t>8</w:t>
      </w:r>
      <w:bookmarkEnd w:id="27"/>
      <w:r>
        <w:rPr>
          <w:rFonts w:cstheme="minorHAnsi"/>
          <w:color w:val="auto"/>
        </w:rPr>
        <w:t xml:space="preserve">: Description of TRLs, based on Moni et al. </w:t>
      </w:r>
      <w:r w:rsidRPr="00935346">
        <w:rPr>
          <w:rFonts w:cstheme="minorHAnsi"/>
          <w:color w:val="auto"/>
        </w:rPr>
        <w:t>(2020)</w:t>
      </w:r>
    </w:p>
    <w:p w:rsidR="0009124B" w:rsidRPr="00935346" w:rsidRDefault="0009124B">
      <w:pPr>
        <w:rPr>
          <w:rFonts w:eastAsia="Times New Roman" w:cstheme="minorHAnsi"/>
          <w:b/>
          <w:szCs w:val="20"/>
        </w:rPr>
      </w:pPr>
    </w:p>
    <w:p w:rsidR="0009124B" w:rsidRPr="00935346" w:rsidRDefault="0009124B">
      <w:pPr>
        <w:rPr>
          <w:rFonts w:eastAsia="Times New Roman" w:cstheme="minorHAnsi"/>
          <w:b/>
          <w:szCs w:val="20"/>
        </w:rPr>
      </w:pPr>
    </w:p>
    <w:p w:rsidR="0009124B" w:rsidRPr="00935346" w:rsidRDefault="0009124B">
      <w:pPr>
        <w:rPr>
          <w:rFonts w:eastAsia="Times New Roman" w:cstheme="minorHAnsi"/>
          <w:b/>
          <w:szCs w:val="20"/>
        </w:rPr>
      </w:pPr>
    </w:p>
    <w:p w:rsidR="0009124B" w:rsidRPr="00935346" w:rsidRDefault="0009124B">
      <w:pPr>
        <w:rPr>
          <w:rFonts w:eastAsia="Times New Roman" w:cstheme="minorHAnsi"/>
          <w:b/>
          <w:szCs w:val="20"/>
        </w:rPr>
      </w:pPr>
    </w:p>
    <w:p w:rsidR="0009124B" w:rsidRPr="00935346" w:rsidRDefault="0009124B">
      <w:pPr>
        <w:rPr>
          <w:rFonts w:eastAsia="Times New Roman" w:cstheme="minorHAnsi"/>
          <w:b/>
          <w:szCs w:val="20"/>
        </w:rPr>
      </w:pPr>
    </w:p>
    <w:p w:rsidR="0009124B" w:rsidRPr="00935346" w:rsidRDefault="0009124B">
      <w:pPr>
        <w:rPr>
          <w:rFonts w:eastAsia="Times New Roman" w:cstheme="minorHAnsi"/>
          <w:b/>
          <w:szCs w:val="20"/>
        </w:rPr>
      </w:pPr>
    </w:p>
    <w:p w:rsidR="0009124B" w:rsidRPr="00935346" w:rsidRDefault="0009124B">
      <w:pPr>
        <w:rPr>
          <w:rFonts w:eastAsia="Times New Roman" w:cstheme="minorHAnsi"/>
          <w:b/>
          <w:szCs w:val="20"/>
        </w:rPr>
      </w:pPr>
    </w:p>
    <w:p w:rsidR="0009124B" w:rsidRPr="00935346" w:rsidRDefault="0009124B">
      <w:pPr>
        <w:rPr>
          <w:rFonts w:eastAsia="Times New Roman" w:cstheme="minorHAnsi"/>
          <w:b/>
          <w:szCs w:val="20"/>
        </w:rPr>
      </w:pPr>
    </w:p>
    <w:p w:rsidR="0009124B" w:rsidRPr="00935346" w:rsidRDefault="0009124B">
      <w:pPr>
        <w:rPr>
          <w:rFonts w:eastAsia="Times New Roman" w:cstheme="minorHAnsi"/>
          <w:b/>
          <w:szCs w:val="20"/>
        </w:rPr>
      </w:pPr>
    </w:p>
    <w:p w:rsidR="0009124B" w:rsidRPr="00935346" w:rsidRDefault="00EB3E17">
      <w:pPr>
        <w:rPr>
          <w:rFonts w:cstheme="minorHAnsi"/>
          <w:b/>
        </w:rPr>
      </w:pPr>
      <w:r w:rsidRPr="00935346">
        <w:rPr>
          <w:rFonts w:cstheme="minorHAnsi"/>
          <w:b/>
        </w:rPr>
        <w:br w:type="page"/>
      </w:r>
    </w:p>
    <w:p w:rsidR="0009124B" w:rsidRPr="00F37052" w:rsidRDefault="00EB3E17">
      <w:pPr>
        <w:pStyle w:val="Heading1"/>
        <w:rPr>
          <w:rFonts w:asciiTheme="minorHAnsi" w:hAnsiTheme="minorHAnsi" w:cstheme="minorHAnsi"/>
          <w:b/>
          <w:color w:val="auto"/>
          <w:sz w:val="22"/>
        </w:rPr>
      </w:pPr>
      <w:bookmarkStart w:id="28" w:name="_Toc96078438"/>
      <w:r w:rsidRPr="00F37052">
        <w:rPr>
          <w:rFonts w:asciiTheme="minorHAnsi" w:hAnsiTheme="minorHAnsi" w:cstheme="minorHAnsi"/>
          <w:b/>
          <w:color w:val="auto"/>
          <w:sz w:val="22"/>
        </w:rPr>
        <w:lastRenderedPageBreak/>
        <w:t>References</w:t>
      </w:r>
      <w:bookmarkEnd w:id="28"/>
    </w:p>
    <w:p w:rsidR="0009124B" w:rsidRPr="00F37052" w:rsidRDefault="0009124B"/>
    <w:p w:rsidR="0009124B" w:rsidRPr="00F37052" w:rsidRDefault="00EB3E17">
      <w:pPr>
        <w:widowControl w:val="0"/>
        <w:autoSpaceDE w:val="0"/>
        <w:autoSpaceDN w:val="0"/>
        <w:adjustRightInd w:val="0"/>
        <w:spacing w:line="240" w:lineRule="auto"/>
        <w:ind w:left="480" w:hanging="480"/>
        <w:rPr>
          <w:rFonts w:ascii="Calibri" w:hAnsi="Calibri" w:cs="Calibri"/>
          <w:sz w:val="20"/>
          <w:szCs w:val="18"/>
        </w:rPr>
      </w:pPr>
      <w:proofErr w:type="spellStart"/>
      <w:r w:rsidRPr="00F37052">
        <w:rPr>
          <w:rFonts w:ascii="Calibri" w:hAnsi="Calibri" w:cs="Calibri"/>
          <w:sz w:val="20"/>
          <w:szCs w:val="18"/>
        </w:rPr>
        <w:t>Ecoinvent</w:t>
      </w:r>
      <w:proofErr w:type="spellEnd"/>
      <w:r w:rsidRPr="00F37052">
        <w:rPr>
          <w:rFonts w:ascii="Calibri" w:hAnsi="Calibri" w:cs="Calibri"/>
          <w:sz w:val="20"/>
          <w:szCs w:val="18"/>
        </w:rPr>
        <w:t xml:space="preserve"> Centre. </w:t>
      </w:r>
      <w:proofErr w:type="spellStart"/>
      <w:r w:rsidRPr="00F37052">
        <w:rPr>
          <w:rFonts w:ascii="Calibri" w:hAnsi="Calibri" w:cs="Calibri"/>
          <w:sz w:val="20"/>
          <w:szCs w:val="18"/>
        </w:rPr>
        <w:t>Ecoinvent</w:t>
      </w:r>
      <w:proofErr w:type="spellEnd"/>
      <w:r w:rsidRPr="00F37052">
        <w:rPr>
          <w:rFonts w:ascii="Calibri" w:hAnsi="Calibri" w:cs="Calibri"/>
          <w:sz w:val="20"/>
          <w:szCs w:val="18"/>
        </w:rPr>
        <w:t xml:space="preserve"> database (Version 3.7). https://v34.ecoquery.ecoinvent.org/ (2020).</w:t>
      </w:r>
    </w:p>
    <w:p w:rsidR="0009124B" w:rsidRDefault="00EB3E17">
      <w:pPr>
        <w:tabs>
          <w:tab w:val="left" w:pos="2614"/>
        </w:tabs>
        <w:rPr>
          <w:rFonts w:cstheme="minorHAnsi"/>
          <w:sz w:val="20"/>
          <w:szCs w:val="18"/>
        </w:rPr>
      </w:pPr>
      <w:r>
        <w:rPr>
          <w:rFonts w:cstheme="minorHAnsi"/>
          <w:sz w:val="20"/>
          <w:szCs w:val="18"/>
        </w:rPr>
        <w:t xml:space="preserve">Zheng, J. &amp; Suh, S. Strategies to reduce the global carbon footprint of plastics. </w:t>
      </w:r>
      <w:r>
        <w:rPr>
          <w:rFonts w:cstheme="minorHAnsi"/>
          <w:i/>
          <w:iCs/>
          <w:sz w:val="20"/>
          <w:szCs w:val="18"/>
        </w:rPr>
        <w:t>Nature Climate Change</w:t>
      </w:r>
      <w:r>
        <w:rPr>
          <w:rFonts w:cstheme="minorHAnsi"/>
          <w:sz w:val="20"/>
          <w:szCs w:val="18"/>
        </w:rPr>
        <w:t xml:space="preserve"> vol. 9 374–378 (2019)</w:t>
      </w:r>
    </w:p>
    <w:p w:rsidR="0009124B" w:rsidRDefault="00EB3E17">
      <w:pPr>
        <w:tabs>
          <w:tab w:val="left" w:pos="2614"/>
        </w:tabs>
        <w:rPr>
          <w:rFonts w:cstheme="minorHAnsi"/>
          <w:sz w:val="20"/>
          <w:szCs w:val="18"/>
        </w:rPr>
      </w:pPr>
      <w:proofErr w:type="spellStart"/>
      <w:r>
        <w:rPr>
          <w:rFonts w:cstheme="minorHAnsi"/>
          <w:sz w:val="20"/>
          <w:szCs w:val="18"/>
        </w:rPr>
        <w:t>Galán</w:t>
      </w:r>
      <w:proofErr w:type="spellEnd"/>
      <w:r>
        <w:rPr>
          <w:rFonts w:cstheme="minorHAnsi"/>
          <w:sz w:val="20"/>
          <w:szCs w:val="18"/>
        </w:rPr>
        <w:t xml:space="preserve">-Martín, Á. </w:t>
      </w:r>
      <w:r>
        <w:rPr>
          <w:rFonts w:cstheme="minorHAnsi"/>
          <w:i/>
          <w:iCs/>
          <w:sz w:val="20"/>
          <w:szCs w:val="18"/>
        </w:rPr>
        <w:t>et al.</w:t>
      </w:r>
      <w:r>
        <w:rPr>
          <w:rFonts w:cstheme="minorHAnsi"/>
          <w:sz w:val="20"/>
          <w:szCs w:val="18"/>
        </w:rPr>
        <w:t xml:space="preserve"> Sustainability footprints of a renewable carbon transition for the petrochemical sector within planetary boundaries. </w:t>
      </w:r>
      <w:r>
        <w:rPr>
          <w:rFonts w:cstheme="minorHAnsi"/>
          <w:i/>
          <w:iCs/>
          <w:sz w:val="20"/>
          <w:szCs w:val="18"/>
        </w:rPr>
        <w:t>One Earth</w:t>
      </w:r>
      <w:r>
        <w:rPr>
          <w:rFonts w:cstheme="minorHAnsi"/>
          <w:sz w:val="20"/>
          <w:szCs w:val="18"/>
        </w:rPr>
        <w:t xml:space="preserve"> </w:t>
      </w:r>
      <w:r>
        <w:rPr>
          <w:rFonts w:cstheme="minorHAnsi"/>
          <w:b/>
          <w:bCs/>
          <w:sz w:val="20"/>
          <w:szCs w:val="18"/>
        </w:rPr>
        <w:t>4</w:t>
      </w:r>
      <w:r>
        <w:rPr>
          <w:rFonts w:cstheme="minorHAnsi"/>
          <w:sz w:val="20"/>
          <w:szCs w:val="18"/>
        </w:rPr>
        <w:t>, 565–583 (2021)</w:t>
      </w:r>
    </w:p>
    <w:p w:rsidR="0009124B" w:rsidRDefault="00EB3E17">
      <w:pPr>
        <w:tabs>
          <w:tab w:val="left" w:pos="2614"/>
        </w:tabs>
        <w:rPr>
          <w:rFonts w:eastAsia="Times New Roman" w:cstheme="minorHAnsi"/>
          <w:sz w:val="20"/>
          <w:szCs w:val="18"/>
        </w:rPr>
      </w:pPr>
      <w:r>
        <w:rPr>
          <w:rFonts w:eastAsia="Times New Roman" w:cstheme="minorHAnsi"/>
          <w:sz w:val="20"/>
          <w:szCs w:val="18"/>
        </w:rPr>
        <w:t xml:space="preserve">Levi, P.G. and J.M. Cullen. 2018. Mapping Global Flows of Chemicals: From Fossil Fuel </w:t>
      </w:r>
      <w:proofErr w:type="spellStart"/>
      <w:r>
        <w:rPr>
          <w:rFonts w:eastAsia="Times New Roman" w:cstheme="minorHAnsi"/>
          <w:sz w:val="20"/>
          <w:szCs w:val="18"/>
        </w:rPr>
        <w:t>Feedstocks</w:t>
      </w:r>
      <w:proofErr w:type="spellEnd"/>
      <w:r>
        <w:rPr>
          <w:rFonts w:eastAsia="Times New Roman" w:cstheme="minorHAnsi"/>
          <w:sz w:val="20"/>
          <w:szCs w:val="18"/>
        </w:rPr>
        <w:t xml:space="preserve"> to Chemical    Products. Environmental Science and Technology 52(4)</w:t>
      </w:r>
    </w:p>
    <w:p w:rsidR="0009124B" w:rsidRDefault="00EB3E17">
      <w:pPr>
        <w:widowControl w:val="0"/>
        <w:autoSpaceDE w:val="0"/>
        <w:autoSpaceDN w:val="0"/>
        <w:adjustRightInd w:val="0"/>
        <w:spacing w:line="240" w:lineRule="auto"/>
        <w:ind w:left="480" w:hanging="480"/>
        <w:rPr>
          <w:rFonts w:ascii="Calibri" w:hAnsi="Calibri" w:cs="Calibri"/>
          <w:sz w:val="20"/>
          <w:szCs w:val="18"/>
        </w:rPr>
      </w:pPr>
      <w:r>
        <w:rPr>
          <w:rFonts w:eastAsia="Times New Roman" w:cstheme="minorHAnsi"/>
          <w:sz w:val="20"/>
          <w:szCs w:val="18"/>
        </w:rPr>
        <w:t xml:space="preserve">Ritchie, H. and M. </w:t>
      </w:r>
      <w:proofErr w:type="spellStart"/>
      <w:r>
        <w:rPr>
          <w:rFonts w:eastAsia="Times New Roman" w:cstheme="minorHAnsi"/>
          <w:sz w:val="20"/>
          <w:szCs w:val="18"/>
        </w:rPr>
        <w:t>Roser</w:t>
      </w:r>
      <w:proofErr w:type="spellEnd"/>
      <w:r>
        <w:rPr>
          <w:rFonts w:eastAsia="Times New Roman" w:cstheme="minorHAnsi"/>
          <w:sz w:val="20"/>
          <w:szCs w:val="18"/>
        </w:rPr>
        <w:t xml:space="preserve">. 2020. CO₂ and Greenhouse Gas Emissions. </w:t>
      </w:r>
      <w:r>
        <w:rPr>
          <w:rFonts w:eastAsia="Times New Roman" w:cstheme="minorHAnsi"/>
          <w:i/>
          <w:sz w:val="20"/>
          <w:szCs w:val="18"/>
        </w:rPr>
        <w:t>Our World in Data.</w:t>
      </w:r>
      <w:r>
        <w:rPr>
          <w:rFonts w:eastAsia="Times New Roman" w:cstheme="minorHAnsi"/>
          <w:sz w:val="20"/>
          <w:szCs w:val="18"/>
        </w:rPr>
        <w:t xml:space="preserve"> https://ourworldindata.org/co2-and other-greenhouse-gas-emissions. Accessed January 20, 2022.</w:t>
      </w:r>
    </w:p>
    <w:p w:rsidR="0009124B" w:rsidRDefault="0009124B">
      <w:pPr>
        <w:tabs>
          <w:tab w:val="left" w:pos="2614"/>
        </w:tabs>
        <w:rPr>
          <w:rFonts w:cstheme="minorHAnsi"/>
          <w:sz w:val="18"/>
          <w:szCs w:val="18"/>
        </w:rPr>
      </w:pPr>
    </w:p>
    <w:p w:rsidR="0009124B" w:rsidRDefault="0009124B">
      <w:pPr>
        <w:rPr>
          <w:rFonts w:cstheme="minorHAnsi"/>
        </w:rPr>
      </w:pPr>
    </w:p>
    <w:p w:rsidR="0009124B" w:rsidRDefault="00EB3E17">
      <w:pPr>
        <w:tabs>
          <w:tab w:val="left" w:pos="1003"/>
        </w:tabs>
        <w:rPr>
          <w:rFonts w:cstheme="minorHAnsi"/>
        </w:rPr>
        <w:sectPr w:rsidR="0009124B" w:rsidSect="004F5BDD">
          <w:footerReference w:type="default" r:id="rId13"/>
          <w:type w:val="continuous"/>
          <w:pgSz w:w="12240" w:h="15840"/>
          <w:pgMar w:top="1440" w:right="1440" w:bottom="1440" w:left="1440" w:header="708" w:footer="708" w:gutter="0"/>
          <w:cols w:space="708"/>
          <w:docGrid w:linePitch="360"/>
        </w:sectPr>
      </w:pPr>
      <w:r>
        <w:rPr>
          <w:rFonts w:cstheme="minorHAnsi"/>
        </w:rPr>
        <w:tab/>
      </w:r>
    </w:p>
    <w:p w:rsidR="0009124B" w:rsidRDefault="00EB3E17">
      <w:pPr>
        <w:pStyle w:val="Heading1"/>
        <w:rPr>
          <w:rFonts w:asciiTheme="minorHAnsi" w:hAnsiTheme="minorHAnsi" w:cstheme="minorHAnsi"/>
          <w:b/>
          <w:color w:val="auto"/>
          <w:sz w:val="22"/>
        </w:rPr>
      </w:pPr>
      <w:bookmarkStart w:id="29" w:name="_Toc96078439"/>
      <w:r>
        <w:rPr>
          <w:rFonts w:asciiTheme="minorHAnsi" w:hAnsiTheme="minorHAnsi" w:cstheme="minorHAnsi"/>
          <w:b/>
          <w:color w:val="auto"/>
          <w:sz w:val="22"/>
        </w:rPr>
        <w:lastRenderedPageBreak/>
        <w:t>Data</w:t>
      </w:r>
      <w:bookmarkEnd w:id="29"/>
    </w:p>
    <w:p w:rsidR="0009124B" w:rsidRDefault="00EB3E17">
      <w:pPr>
        <w:tabs>
          <w:tab w:val="left" w:pos="1003"/>
        </w:tabs>
        <w:rPr>
          <w:rFonts w:cstheme="minorHAnsi"/>
        </w:rPr>
      </w:pPr>
      <w:bookmarkStart w:id="30" w:name="_Toc96078440"/>
      <w:r>
        <w:rPr>
          <w:rStyle w:val="Heading2Char"/>
          <w:rFonts w:asciiTheme="minorHAnsi" w:hAnsiTheme="minorHAnsi" w:cstheme="minorHAnsi"/>
          <w:b/>
          <w:i/>
          <w:color w:val="auto"/>
          <w:sz w:val="18"/>
        </w:rPr>
        <w:t>Table S.</w:t>
      </w:r>
      <w:r w:rsidR="00F37052">
        <w:rPr>
          <w:rStyle w:val="Heading2Char"/>
          <w:rFonts w:asciiTheme="minorHAnsi" w:hAnsiTheme="minorHAnsi" w:cstheme="minorHAnsi"/>
          <w:b/>
          <w:i/>
          <w:color w:val="auto"/>
          <w:sz w:val="18"/>
        </w:rPr>
        <w:t>9</w:t>
      </w:r>
      <w:bookmarkEnd w:id="30"/>
      <w:r w:rsidR="008D7E13">
        <w:rPr>
          <w:rStyle w:val="Heading2Char"/>
          <w:rFonts w:asciiTheme="minorHAnsi" w:hAnsiTheme="minorHAnsi" w:cstheme="minorHAnsi"/>
          <w:b/>
          <w:i/>
          <w:color w:val="auto"/>
          <w:sz w:val="18"/>
        </w:rPr>
        <w:t>.a</w:t>
      </w:r>
      <w:r>
        <w:rPr>
          <w:b/>
          <w:i/>
          <w:sz w:val="18"/>
          <w:szCs w:val="18"/>
        </w:rPr>
        <w:t>:</w:t>
      </w:r>
      <w:r>
        <w:rPr>
          <w:i/>
          <w:sz w:val="18"/>
          <w:szCs w:val="18"/>
        </w:rPr>
        <w:t xml:space="preserve"> List o</w:t>
      </w:r>
      <w:r w:rsidR="00F37052">
        <w:rPr>
          <w:i/>
          <w:sz w:val="18"/>
          <w:szCs w:val="18"/>
        </w:rPr>
        <w:t>f data sources used in analysis</w:t>
      </w:r>
      <w:r>
        <w:rPr>
          <w:i/>
          <w:sz w:val="18"/>
          <w:szCs w:val="18"/>
        </w:rPr>
        <w:t xml:space="preserve"> and main parameters, including study number; bio-based product; product category; emerging technology category (BC = biological (biochemical) conversion, M = mechanical conversion or TC = thermochemical conversion); specific feedstock; feedstock category; LUC impact (taken into account in GHG footprint); fossil-based product; the GHG emissions of both the bio-based product and fossil-based product and subsequently, its response ratio; biogenic carbon credit (if given in the cradle-to-gate studies, which is thus added again to the GHG emissions of the bio-based product); fossil incineration end-of-life emissions based on chemical structure, which was calculated for each of the fossil products; original TRL of the technology researched in the study and to which TRL it is up scaled; the RRs of acidification, eutrophication and NREU.</w:t>
      </w:r>
      <w:r>
        <w:rPr>
          <w:rFonts w:cstheme="minorHAnsi"/>
        </w:rPr>
        <w:t xml:space="preserve"> </w:t>
      </w:r>
      <w:r>
        <w:rPr>
          <w:rFonts w:cstheme="minorHAnsi"/>
          <w:lang w:val="it-IT"/>
        </w:rPr>
        <w:fldChar w:fldCharType="begin" w:fldLock="1"/>
      </w:r>
      <w:r>
        <w:rPr>
          <w:rFonts w:cstheme="minorHAnsi"/>
        </w:rPr>
        <w:instrText>ADDIN CSL_CITATION {"citationItems":[{"id":"ITEM-1","itemData":{"DOI":"10.1021/ie801612p","ISSN":"08885885","abstract":"Despite the popularity of life cycle assessment (LCA) for understanding the broader implications of technological alternatives, it faces challenges due to difficulties in defining the analysis boundary, uncertain data, and ignoring the role of ecological goods and services. The latter natural capital is essential for sustainability but is only considered partially in conventional LCA. Accounting for ecological resources introduces the challenge of how to aggregate resources of widely varying qualities such as sunlight, wood, water, and coal. Methods based on mass, energy, and energy have been proposed and are evaluated in this work. In addition, this work aims to analyze three LCA techniques with different system boundaries: conventional process-based LCA, hybrid economic input-output LCA (EIO-LCA), and hybrid ecologically based LCA (Eco-LCA). These three methods are applied to the case study of 1, 3-propanediol (PDO) produced via fossil-based and bio-based feedstocks. The results of this study indicate that a hierarchical set of metrics can be useful for gaining insight into the role of ecosystem resources in a life cycle. Among aggregation methods, ecological cumulative exergy consumption seems to provide meaningful results, but more empirical studies are needed. It is also determined that bio-based PDO is more attractive than fossil-based PDO because of less nonrenewable resource consumption and greenhouse gas emissions. However, bio-based PDO does rely more on land, water, and fertile soil. By determining the impact of making the current PDO demand entirely from corn, it is found that the consumption of natural resources relative to national consumption is very low. While producing PDO alone from corn may have a negligible impact in terms of emissions and resource use, switching other products to bio-based will have an additive effect, increasing the strain on some ecological goods and services. These impacts should be addressed before promoting the large scale production of bio-based products. © 2009 American Chemical Society.","author":[{"dropping-particle":"","family":"Urban","given":"Robert A.","non-dropping-particle":"","parse-names":false,"suffix":""},{"dropping-particle":"","family":"Bakshi","given":"Bhavik R.","non-dropping-particle":"","parse-names":false,"suffix":""}],"container-title":"Industrial and Engineering Chemistry Research","id":"ITEM-1","issue":"17","issued":{"date-parts":[["2009","9","2"]]},"page":"8068-8082","publisher":" American Chemical Society","title":"1,3-Propanediol from fossils versus biomass: A life cycle evaluation of emissions and ecological resources","type":"article-journal","volume":"48"},"uris":["http://www.mendeley.com/documents/?uuid=bf67a2cc-adb5-380d-a78c-354aa17e0a33"]},{"id":"ITEM-2","itemData":{"DOI":"10.1016/j.jclepro.2017.06.222","ISSN":"09596526","abstract":"Environmental concerns related to the production of bulk chemicals are growing. Researchers and technology developers are currently looking into alternative production pathways for such chemicals by utilizing renewable resources, such as lignocellulosic feedstocks. Adipic acid is an example of such a bulk chemical, and its conventional fossil-based production emits significant amounts of N2O, a major greenhouse gas. In this study, a prospective life cycle assessment (LCA) of bio-based adipic acid production from forest residues at an early development stage, situated in Sweden, was conducted. Acid-catalyzed (using SO2) and alkaline (using NaBH4) pretreatment were employed and scenarios and sensitivity analyses were conducted. The potential environmental impacts of this technology under development were compared to those of conventional adipic acid production. The results show that bio-based adipic acid production has a lower impact on global warming, eutrophication and photochemical ozone creation compared to fossil-based production. In contrast, it has a higher impact on acidification. An increased efficiency of mitigating N2O emissions from the fossil-based production may alter this comparison. Producing bio-based adipic acid using the alkaline pretreatment has a higher environmental impact than producing it using acid-catalyzed pretreatment. Furthermore, if biomass is used to fulfil process energy demands, instead of fossil fuel, the environmental impact of the bio-based production decreases. It is therefore important to reduce the amount of NaBH4 used in the alkaline pretreatment or to lower the environmental impact of its production.","author":[{"dropping-particle":"","family":"Aryapratama","given":"Rio","non-dropping-particle":"","parse-names":false,"suffix":""},{"dropping-particle":"","family":"Janssen","given":"Matty","non-dropping-particle":"","parse-names":false,"suffix":""}],"container-title":"Journal of Cleaner Production","id":"ITEM-2","issued":{"date-parts":[["2017","10","15"]]},"page":"434-443","publisher":"Elsevier Ltd","title":"Prospective life cycle assessment of bio-based adipic acid production from forest residues","type":"article-journal","volume":"164"},"uris":["http://www.mendeley.com/documents/?uuid=4a01d148-b40e-3155-9524-8e353ea9d245"]},{"id":"ITEM-3","itemData":{"DOI":"10.1002/bbb.1790","ISSN":"1932-104X","abstract":"This study presents the design and assessment of site-specific supply chains and related manufacturing processes for the production of bio-based chemicals from the syngas platform and via gasification of lignocellulosic biomass followed by syngas fermentation. The supply chains include feedstocks production and collection, biomass gasification, syngas fermentation, and downstream processing. For each of these stages, different alternatives were considered: four feedstocks (pine, corn stover, sugarcane bagasse, and eucalyptus), three products (ethanol, 2,3-butanediol and hexanoic acid), and three geographical locations (the Netherlands, the USA, and Brazil). Conceptual development and analysis of the supply chains were done through the combination of different design and assessment tools, namely biomass supply chains design, fermentation process design (based on thermodynamics and transport), process simulation, and economic and environmental assessments. The minimum selling price (MSP) and two environmental impact categories, i.e., global warming potential (GWP) and non-renewable energy use (NREU), were used as performance indicators. These were compared to data reported in scientific literature and commercial sources for similar processes and ­products. The best overall performance was obtained for the production of 2,3-butanediol from pine sourced in the USA. In the cases of ethanol and hexanoic acid, the syngas fermentation stage had significant contributions to MSP, GWP, and NREU, due mainly to its high energy requirements. Regarding the geographical location, the best economic performance was obtained for the USA followed by the Netherlands and Brazil respectively. Furthermore, operation in Brazil led to the lowest environmental impacts, followed by the Netherlands and the USA. © 2017 Society of Chemical Industry and John Wiley &amp; Sons, Ltd.","author":[{"dropping-particle":"","family":"Benalcázar","given":"Eduardo Almeida","non-dropping-particle":"","parse-names":false,"suffix":""},{"dropping-particle":"","family":"Deynoot","given":"Baudine Gevers","non-dropping-particle":"","parse-names":false,"suffix":""},{"dropping-particle":"","family":"Noorman","given":"Henk","non-dropping-particle":"","parse-names":false,"suffix":""},{"dropping-particle":"","family":"Osseweijer","given":"Patricia","non-dropping-particle":"","parse-names":false,"suffix":""},{"dropping-particle":"","family":"Posada","given":"John A.","non-dropping-particle":"","parse-names":false,"suffix":""}],"container-title":"Biofuels, Bioproducts and Biorefining","id":"ITEM-3","issue":"5","issued":{"date-parts":[["2017","9","10"]]},"page":"861-886","publisher":"John Wiley and Sons Ltd","title":"Production of bulk chemicals from lignocellulosic biomass via thermochemical conversion and syngas fermentation: a comparative techno‐economic and environmental assessment of different site‐specific supply chain configurations","type":"article-journal","volume":"11"},"uris":["http://www.mendeley.com/documents/?uuid=27b94a14-596e-36ec-a4a1-dde1443dcf03"]},{"id":"ITEM-4","itemData":{"DOI":"10.1016/j.jclepro.2011.03.008","ISSN":"09596526","abstract":"This paper presents an environmental system study of the production of propionic acid in a biorefinery system based on agricultural by-products. Here, propionic acid is produced by fermentation of glycerol, a by-product from biodiesel production, as carbon source and potato juice, a by-product from starch production, as nitrogen source. Biomass-based propionic acid leads to a greenhouse gas reduction of 60% compared to propionic acid from fossil sources. However, the primary energy input is about twice as high for the biomass-based propionic acid. The choice of input energy and the efficiency of the process, as well as the technology applied, have high impacts on the environmental performance of the biorefinery concept. There is a potential for increased integration both on the input of substrates and the output of end products of the biorefinery system, which will further improve its environmental performance. © 2011 Elsevier Ltd. All rights reserved.","author":[{"dropping-particle":"","family":"Ekman","given":"Anna","non-dropping-particle":"","parse-names":false,"suffix":""},{"dropping-particle":"","family":"Börjesson","given":"Pl","non-dropping-particle":"","parse-names":false,"suffix":""}],"container-title":"Journal of Cleaner Production","id":"ITEM-4","issue":"11","issued":{"date-parts":[["2011","7","1"]]},"page":"1257-1265","publisher":"Elsevier","title":"Environmental assessment of propionic acid produced in an agricultural biomass-based biorefinery system","type":"article-journal","volume":"19"},"uris":["http://www.mendeley.com/documents/?uuid=821fae1d-ee3b-34e7-b8ef-8970b43974da"]},{"id":"ITEM-5","itemData":{"DOI":"10.1111/j.1530-9290.2011.00405.x","ISSN":"10881980","abstract":"A potential strategy for tackling the negative environmental impact of conventional plastics is to produce them from renewable resources. However, such a strategy needs to be assessed quantitatively, by life cycle assessment (LCA) for example. This screening LCA is intended to identify key aspects that influence the environmental impact of sugarcane low-density polyethylene (LDPE) and compare these results against fossil-based LDPE. The study showed that the major contributors to the environmental impact of sugarcane LDPE are ethanol production, polymerization, and long-distance sea transport. The comparison between sugarcane- and oil-based plastics showed that the sugarcane alternative consumes more total energy, although the major share is renewable. Moreover, for their potential impacts on acidification, eutrophication, and photochemical ozone creation, no significant difference between the two materials exists. However, with regard to global warming potential (GWP), the contribution of land use change (LUC) is decisive. Although the range of LUC emissions is uncertain, in the worst case they more than double the GWP of sugarcane LDPE and make it comparable to that of fossil-based LDPE. LUC emissions can thus be significant for sugarcane LDPE, although there is need for a consistent LUC assessment method. In addition, to investigate the influence of methodological choices, this study performed attributional and consequential assessments in parallel. No major differences in key contributors were found for these two assessment perspectives. © 2012 by Yale University.","author":[{"dropping-particle":"","family":"Liptow","given":"Christin","non-dropping-particle":"","parse-names":false,"suffix":""},{"dropping-particle":"","family":"Tillman","given":"Anne-Marie","non-dropping-particle":"","parse-names":false,"suffix":""}],"container-title":"Journal of Industrial Ecology","id":"ITEM-5","issue":"3","issued":{"date-parts":[["2012","6","1"]]},"page":"420-435","publisher":"John Wiley &amp; Sons, Ltd","title":"A Comparative Life Cycle Assessment Study of Polyethylene Based on Sugarcane and Crude Oil","type":"article-journal","volume":"16"},"uris":["http://www.mendeley.com/documents/?uuid=54101e82-6aec-30b1-a47e-fbfe613aa438"]},{"id":"ITEM-6","itemData":{"DOI":"10.1007/s11367-013-0564-6","ISSN":"16147502","abstract":"Purpose: In order to reduce its environmental impact, the chemical industry no longer produces base chemicals such as ethylene, solely from fossil, but also from biomass-based feedstocks. However, a biomass option suitable for one region might not be as suitable for another region due to, e.g., long transport and the related environmental. Therefore, local biomass alternatives and the environmental impact related to the production of chemicals from these alternatives need to be investigated. This study assesses the environmental impact of producing ethylene from Swedish wood ethanol. Methods: The study was conducted following the methodology of life cycle assessment. The life cycle was assessed using a cradle-to-gate perspective for the production of 50,000 tonnes ethylene/year for the impact categories global warming, acidification (ACP), photochemical ozone creation, and eutrophication (EP). Results and discussion: The production of enzymes used during the life cycle had a significant effect on all investigated impacts. However, reduced consumption of enzyme product, which could possibly be realized considering the rapid development of enzymes, lowered the overall environmental impact of the ethylene. Another approach could be to use alternative hydrolyzing agents. However, little information on their environmental impact is available. An additional key contributor, with regard to ACP, EP, and POCP, was the ethanol production. Therefore, further improvements with regard to the process' design may have beneficial effects on its environmental impact. Conclusions: The study assessed the environmental impact of wood ethylene and pointed to several directions for improvements, such as improved enzyme production and reduced consumption of enzyme products. Moreover, the analysis showed that further investigations into other process options and increase of ethylene production from biomass are worth continued research. © 2013 Springer-Verlag Berlin Heidelberg.","author":[{"dropping-particle":"","family":"Liptow","given":"Christin","non-dropping-particle":"","parse-names":false,"suffix":""},{"dropping-particle":"","family":"Tillman","given":"Anne Marie","non-dropping-particle":"","parse-names":false,"suffix":""},{"dropping-particle":"","family":"Janssen","given":"Matty","non-dropping-particle":"","parse-names":false,"suffix":""},{"dropping-particle":"","family":"Wallberg","given":"Ola","non-dropping-particle":"","parse-names":false,"suffix":""},{"dropping-particle":"","family":"Taylor","given":"Glenn A.","non-dropping-particle":"","parse-names":false,"suffix":""}],"container-title":"International Journal of Life Cycle Assessment","id":"ITEM-6","issue":"5","issued":{"date-parts":[["2013","3","27"]]},"page":"1071-1081","publisher":"Springer Verlag","title":"Ethylene based on woody biomass - What are environmental key issues of a possible future Swedish production on industrial scale","type":"article-journal","volume":"18"},"uris":["http://www.mendeley.com/documents/?uuid=8d6012ff-04e0-316a-83ea-486bcbb75864"]},{"id":"ITEM-7","itemData":{"DOI":"10.1016/j.biortech.2013.09.049","ISSN":"18732976","PMID":"24103218","abstract":"Production of propionic acid by fermentation of glycerol as a renewable resource has been suggested as a means for developing an environmentally-friendly route for this commodity chemical. However, in order to quantify the environmental benefits, life cycle assessment of the production, including raw materials, fermentation, upstream and downstream processing is required. The economic viability of the process also needs to be analysed to make sure that any environmental savings can be realised. In this study an environmental and economic assessment from cradle-to-gate has been conducted. The study highlights the need for a highly efficient bioprocess in terms of product titre (more than 100. g/L and productivity more than 2. g/(L·h)) in order to be sustainable. The importance of the raw materials and energy production for operating the process to minimize emissions of greenhouse gases is also shown. © 2013 Elsevier Ltd.","author":[{"dropping-particle":"","family":"Tufvesson","given":"Pär","non-dropping-particle":"","parse-names":false,"suffix":""},{"dropping-particle":"","family":"Ekman","given":"Anna","non-dropping-particle":"","parse-names":false,"suffix":""},{"dropping-particle":"","family":"Sardari","given":"Roya R.R.","non-dropping-particle":"","parse-names":false,"suffix":""},{"dropping-particle":"","family":"Engdahl","given":"Kristina","non-dropping-particle":"","parse-names":false,"suffix":""},{"dropping-particle":"","family":"Tufvesson","given":"Linda","non-dropping-particle":"","parse-names":false,"suffix":""}],"container-title":"Bioresource Technology","id":"ITEM-7","issued":{"date-parts":[["2013","12","1"]]},"page":"556-564","publisher":"Elsevier Ltd","title":"Economic and environmental assessment of propionic acid production by fermentation using different renewable raw materials","type":"article-journal","volume":"149"},"uris":["http://www.mendeley.com/documents/?uuid=42560b13-0e30-3290-bbea-205913f19e83"]},{"id":"ITEM-8","itemData":{"DOI":"10.1007/s11367-014-0745-y","ISSN":"16147502","abstract":"Purpose: This life cycle assessment evaluates and quantifies the environmental impacts of renewable chemical production from forest residue via fast pyrolysis with hydrotreating/fluidized catalytic cracking (FCC) pathway. Methods: The assessment input data are taken from Aspen Plus and greenhouse gases, regulated emissions, and energy use in transportation (GREET) model. The SimaPro 7.3 software is employed to evaluate the environmental impacts. Results and discussion: The results indicate that the net fossil energy input is 34.8 MJ to produce 1 kg of chemicals, and the net global warming potential (GWP) is -0.53 kg CO2 eq. per kg chemicals produced under the proposed chemical production pathway. Sensitivity analysis indicates that bio-oil yields and chemical yields play the most important roles in the greenhouse gas footprints. Conclusions: Fossil energy consumption and greenhouse gas (GHG) emissions can be reduced if commodity chemicals are produced via forest residue fast pyrolysis with hydrotreating/FCC pathway in place of conventional petroleum-based production pathways. © 2014 Springer-Verlag.","author":[{"dropping-particle":"","family":"Zhang","given":"Yanan","non-dropping-particle":"","parse-names":false,"suffix":""},{"dropping-particle":"","family":"Hu","given":"Guiping","non-dropping-particle":"","parse-names":false,"suffix":""},{"dropping-particle":"","family":"Brown","given":"Robert C.","non-dropping-particle":"","parse-names":false,"suffix":""}],"container-title":"International Journal of Life Cycle Assessment","id":"ITEM-8","issue":"7","issued":{"date-parts":[["2014","5","28"]]},"page":"1371-1381","publisher":"Springer Verlag","title":"Life cycle assessment of commodity chemical production from forest residue via fast pyrolysis","type":"article-journal","volume":"19"},"uris":["http://www.mendeley.com/documents/?uuid=306f779c-d378-3fce-b1a4-af1561a93d9a"]},{"id":"ITEM-9","itemData":{"DOI":"10.1016/j.jclepro.2013.11.043","ISSN":"09596526","abstract":"The extraction, supply and use of fossil energy carriers and chemicals is a day-by-day increasingly critical issue, linked as it is to severe damages to environment and human health, not to talk of the shrinking availability of fossil fuels worldwide. Therefore, research on suitable alternatives to the extensive use of fossil-based fuels and chemicals is crucial: the potential of Brassica carinata, a non-food oil crop, to grow on marginal lands in Campania Region was investigated, focusing on the production of biodiesel from seeds and platform chemicals from agricultural and extraction residues via an innovative conversion route (so-called Biofine process) in a local industry. The aim of this paper is to evaluate the performance of such an agro-industrial system for biodiesel and bio-chemicals. A comparison with an equivalent system only producing biodiesel and thermal energy is also carried out. A Life Cycle Assessment (LCA) is performed by means of commercial LCA software (Simapro 7.3.0), investigating energy requirements and environmental impacts (global warming, acidification, abiotic depletion, human toxicity, eutrophication and photochemical oxidation). Results show that, in spite of claims of biomass-based \"greenness\", both systems still rely on large fractions of non-renewable energy sources (around 90% of the total use) and mostly affect the same impact categories (abiotic depletion and global warming). The agricultural phase contributes to the total impact more than the industrial extraction and conversion steps, being the nitrogen fertilizers responsible for most of impacts of both systems. However, the conversion of lignocellulosic residues into chemicals instead of heat, conserves the structural quality of natural polymers in the form of marketable value added products (ethyl levulinate and formic acid), also translating into large energy savings compared to traditional chemical routes. © 2013 Elsevier Ltd. All rights reserved.","author":[{"dropping-particle":"","family":"Fiorentino","given":"G.","non-dropping-particle":"","parse-names":false,"suffix":""},{"dropping-particle":"","family":"Ripa","given":"M.","non-dropping-particle":"","parse-names":false,"suffix":""},{"dropping-particle":"","family":"Mellino","given":"S.","non-dropping-particle":"","parse-names":false,"suffix":""},{"dropping-particle":"","family":"Fahd","given":"S.","non-dropping-particle":"","parse-names":false,"suffix":""},{"dropping-particle":"","family":"Ulgiati","given":"S.","non-dropping-particle":"","parse-names":false,"suffix":""}],"container-title":"Journal of Cleaner Production","id":"ITEM-9","issued":{"date-parts":[["2014","3","1"]]},"page":"174-187","publisher":"Elsevier Ltd","title":"Life cycle assessment of Brassica carinata biomass conversion to bioenergy and platform chemicals","type":"article-journal","volume":"66"},"uris":["http://www.mendeley.com/documents/?uuid=9ef93f6a-af4c-3236-bc18-d3da1265a6bf"]},{"id":"ITEM-10","itemData":{"DOI":"10.1021/es503766e","ISSN":"15205851","PMID":"25380298","abstract":"Biomass-derived chemical products may offer reduced environmental impacts compared to their fossil-derived counterparts and could improve profit margins at biorefineries when coproduced with higher-volume, lower-profit margin biofuels. It is important to assess on a life-cycle basis the energy and environmental impacts of these bioproducts as compared to conventional, fossil-derived products. We undertook a life-cycle analysis of eight bioproducts produced from either algal-derived glycerol or corn stover-derived sugars. Selected on the basis of technology readiness and market potential, the bioproducts are propylene glycol, 1,3-propanediol, 3-hydroxypropionic acid, acrylic acid, polyethylene, succinic acid, isobutanol, and 1,4-butanediol. We developed process simulations to obtain energy and material flows in the production of each bioproduct and examined sensitivity of these flows to process design assumptions. Conversion process data for fossil-derived products were based on the literature. Conversion process data were combined with upstream parameters in the Greenhouse gases, Regulated Emissions, and Energy use in Transportation (GREET) model to generate life-cycle greenhouse gas (GHG) emissions and fossil energy consumption (FEC) for each bioproduct and its corresponding petroleum-derived product. The bioproducts uniformly offer GHG emissions reductions compared to their fossil counterparts ranging from 39 to 86% on a cradle-to-grave basis. Similarly, FEC was lower for bioproducts than for conventional products.","author":[{"dropping-particle":"","family":"Adom","given":"Felix","non-dropping-particle":"","parse-names":false,"suffix":""},{"dropping-particle":"","family":"Dunn","given":"Jennifer B.","non-dropping-particle":"","parse-names":false,"suffix":""},{"dropping-particle":"","family":"Han","given":"Jeongwoo","non-dropping-particle":"","parse-names":false,"suffix":""},{"dropping-particle":"","family":"Sather","given":"Norm","non-dropping-particle":"","parse-names":false,"suffix":""}],"container-title":"Environmental Science and Technology","id":"ITEM-10","issue":"24","issued":{"date-parts":[["2014","12","16"]]},"page":"14624-14631","publisher":"American Chemical Society","title":"Life-cycle fossil energy consumption and greenhouse gas emissions of bioderived chemicals and their conventional counterparts","type":"article-journal","volume":"48"},"uris":["http://www.mendeley.com/documents/?uuid=ca3a0711-686a-384b-af2e-781026e15d12"]},{"id":"ITEM-11","itemData":{"DOI":"10.1002/bbb.1427","ISSN":"1932104X","abstract":"Bio-based succinic acid has the potential to become a platform chemical, i.e. a key building block for deriving both commodity and high-value chemicals, which makes it an attractive compound in a bio-based economy. A few companies and industrial consortia have begun to develop its industrial production on a large scale. A life cycle assessment of different bio-based succinic acid production processes, based on dextrose from corn, was performed to investigate their non-renewable energy use (NREU) and greenhouse gas (GHG) emissions, from cradle-to-factory gate in Europe. Three processes were studied, i.e. (i) low pH yeast fermentation with downstream processing (DSP) by direct crystallization, (ii) anaerobic fermentation to succinate salt at neutral pH (pH7) and subsequent DSP by electrodialysis, and (iii) a similar process producing ammonium sulfate as co-product in DSP. These processes are compared to the production of petrochemical maleic anhydride, succinic acid, and adipic acid. Low pH yeast fermentation to succinic acid with direct crystallization was found to have significantly lower GHG emissions and NREU, compared to other fermentation routes and three petrochemical routes. However, the disparity in GHG emissions between this process and the electrodialysis process becomes less prominent if one considers a cleaner electricity mix than the current European production mix. Moreover, this study highlights that the allocation approach in corn wet milling and the succinic acid plant location strongly influence the results. Overall, the results suggest that low pH yeast fermentation with direct crystallization is the most beneficial process to bio-based succinic acid from an environmental perspective. © 2013 Society of Chemical Industry and John Wiley &amp; Sons, Ltd.","author":[{"dropping-particle":"","family":"Cok","given":"Benjamin","non-dropping-particle":"","parse-names":false,"suffix":""},{"dropping-particle":"","family":"Tsiropoulos","given":"Ioannis","non-dropping-particle":"","parse-names":false,"suffix":""},{"dropping-particle":"","family":"Roes","given":"Alexander L.","non-dropping-particle":"","parse-names":false,"suffix":""},{"dropping-particle":"","family":"Patel","given":"Martin K.","non-dropping-particle":"","parse-names":false,"suffix":""}],"container-title":"Biofuels, Bioproducts and Biorefining","id":"ITEM-11","issue":"1","issued":{"date-parts":[["2014","1","1"]]},"page":"16-29","publisher":"John Wiley &amp; Sons, Ltd","title":"Succinic acid production derived from carbohydrates: An energy and greenhouse gas assessment of a platform chemical toward a bio-based economy","type":"article-journal","volume":"8"},"uris":["http://www.mendeley.com/documents/?uuid=f8e8f97e-e47c-3ba2-a880-adddb6dee7c4"]},{"id":"ITEM-12","itemData":{"DOI":"10.1016/j.resconrec.2014.12.013","ISSN":"18790658","abstract":"This work highlights that bio-based chemicals may not automatically be synonymous with \"green\", and efforts to generate the quantitative environmental performance of bio-products via LCA are crucial in ensuring their sustainable attributes. 2-Methyl tetrahydrofuran (2-MeTHF) is a new solvent derived from natural product sources. A relative LCA comparing 2-MeTHF manufacture originating from different biomass resources was carried out to investigate the sustainability of each feedstock. The biofine process was employed as a model for the production of levulinic acid from a mixture of C5 and C6 sugars before the .nal synthesis of 2-MeTHF. A new perspective of LCA impact, land footprint (total land area required), is proposed as a result of our evaluation, taking into account the viewpoint of competing land use options in the LCAs of green chemicals.","author":[{"dropping-particle":"","family":"Khoo","given":"Hsien H.","non-dropping-particle":"","parse-names":false,"suffix":""},{"dropping-particle":"","family":"Wong","given":"Loretta L.","non-dropping-particle":"","parse-names":false,"suffix":""},{"dropping-particle":"","family":"Tan","given":"Jonathan","non-dropping-particle":"","parse-names":false,"suffix":""},{"dropping-particle":"","family":"Isoni","given":"Valerio","non-dropping-particle":"","parse-names":false,"suffix":""},{"dropping-particle":"","family":"Sharratt","given":"Paul","non-dropping-particle":"","parse-names":false,"suffix":""}],"container-title":"Resources, Conservation and Recycling","id":"ITEM-12","issued":{"date-parts":[["2015","2","1"]]},"page":"174-182","publisher":"Elsevier","title":"Synthesis of 2-methyl tetrahydrofuran from various lignocellulosic feedstocks: Sustainability assessment via LCA","type":"article-journal","volume":"95"},"uris":["http://www.mendeley.com/documents/?uuid=fc7105fd-ced8-3ebf-9692-04826f3f8602"]},{"id":"ITEM-13","itemData":{"DOI":"10.1021/acssuschemeng.7b00286","abstract":"Recent governmental policies that promote a biobased economy have led to an increasing production of biodiesel, resulting in large amounts of waste glycerol being generated as low-cost and readily available feedstock. Here, the production of high-value biobased propylene glycol as an alternative chemical route to valorize biodiesel glycerol was studied and assessed considering economic and life cycle environmental criteria. To this end, the conventional industrial process for propylene glycol production, which uses petroleum-based propylene oxide as feedstock, was compared against three different hydrogenolysis routes based on biodiesel glycerol using process modeling and optimization tools. The environmental impact of each alternative was evaluated following Life Cycle Assessment principles, whereas the main uncertainties were explicitly accounted for via stochastic modeling. Comparison among the various cases reveals that there are process alternatives based on biodiesel glycerol that outperform the current propylene glycol production scheme simultaneously in profit and environmental impact (i.e., 90% increment in profit and 74% reduction in environmental impact under optimum process conditions). Overall, this work demonstrates the viability to develop sustainable biorefinery schemes that convert waste glycerol into high-value commodity chemicals, like propylene glycol, thereby promoting holistic bioeconomy frameworks.","author":[{"dropping-particle":"","family":"Gonzalez-Garay","given":"Andres","non-dropping-particle":"","parse-names":false,"suffix":""},{"dropping-particle":"","family":"Gonzalez-Miquel","given":"Maria","non-dropping-particle":"","parse-names":false,"suffix":""},{"dropping-particle":"","family":"Guillen-Gosalbez","given":"Gonzalo","non-dropping-particle":"","parse-names":false,"suffix":""}],"container-title":"ACS Publications","id":"ITEM-13","issue":"7","issued":{"date-parts":[["2017","7","3"]]},"page":"5723-5732","publisher":"American Chemical Society","title":"High-Value Propylene Glycol from Low-Value Biodiesel Glycerol: A Techno-Economic and Environmental Assessment under Uncertainty","type":"article-journal","volume":"5"},"uris":["http://www.mendeley.com/documents/?uuid=4aab9fe1-b3ed-330c-bd24-210e8245d437"]},{"id":"ITEM-14","itemData":{"DOI":"10.1021/acssuschemeng.7b01729","ISSN":"21680485","abstract":"The minimum selling price (MSP), specific energy consumption, and greenhouse (GHG) emissions resulting from biobased production of adipic acid, succinic acid, 1,3-propanediol, 3-hydroxy propionic acid, and isobutanol were estimated for various combinations of titer, yield, and volumetric productivity. The MSP, energy consumption, and GHG emissions of anaerobic biobased commodity chemical processes were found to be nearly the same for a given titer, yield, and productivity. The estimated MSP of biobased commodity chemicals produced via aerobic respiration was found to be nearly 30% higher than those of produced through anaerobic fermentation. It was determined that biocatalyst yields of ≥0.32 g/g and titers of ≥45 g/L result in lower production cost, energy consumption, and GHG emissions, when compared to conventional petrochemical production processes. The economic and environmental benefits of improving titer beyond 125 g/L and volumetric productivity beyond 2 g/L·h were found to be low when producing biobased commodity chemicals using a biocatalyst. Comparative economic analysis indicated that provision of feedstock is the dominant cost in commercially viable biobased commodity chemical production systems.","author":[{"dropping-particle":"","family":"Gunukula","given":"Sampath","non-dropping-particle":"","parse-names":false,"suffix":""},{"dropping-particle":"","family":"Runge","given":"Troy","non-dropping-particle":"","parse-names":false,"suffix":""},{"dropping-particle":"","family":"Anex","given":"Robert","non-dropping-particle":"","parse-names":false,"suffix":""}],"container-title":"ACS Sustainable Chemistry and Engineering","id":"ITEM-14","issue":"9","issued":{"date-parts":[["2017","9","5"]]},"page":"8119-8126","publisher":"American Chemical Society","title":"Assessment of Biocatalytic Production Parameters to Determine Economic and Environmental Viability","type":"article-journal","volume":"5"},"uris":["http://www.mendeley.com/documents/?uuid=3a208c49-aad0-35eb-b9bd-ff9351240d0c"]},{"id":"ITEM-15","itemData":{"DOI":"10.1002/bbb.1801","ISSN":"19321031","abstract":"Biorefineries are regarded as a key enabler to facilitate the transition toward a sustainable and low carbon bioeconomy. In this study, alternative lignocellulose biorefineries annexed to a typical sugar mill were investigated to co-produce ethanol (EtOH), lactic acid (LA), and/or electricity, utilizing bagasse and a component of harvesting residues (brown leaves) as feedstock. Studied scenarios included EtOH as the sole product from glucose and xylose (Scenario 1), LA as the sole product from these two sugars (Scenario 2), EtOH from glucose and LA from xylose (Scenario 3), and EtOH from xylose and LA from glucose (Scenario 4), all of which were associated with some level of export electricity production. Aspen Plus® simulations of the scenarios were developed considering all supplementary units, such as evaporation, water treatment, boiler, and steam/power generation in addition to the process units required for the main product streams. Economic evaluation, energy assessment, and environmental life cycle assessment (LCA) were carried out on the developed simulations, in a multi-criteria analysis of the desirability of each scenario. To service the combined energy demands of a sugar mill and annexed biorefinery, a 35 to 40% bypass of lignocellulose directly to the boiler section was required to achieve integrated scenarios that were energy self-sufficient, i.e., not dependent on external (fossil) energy sources. Scenario 2 was economically most attractive with the highest internal rate of return (IRR) of 31.1%, whereas Scenario 1 had the lowest IRR of 10.0%. Scenarios 2 and 4 were economically the most robust, with the least sensitivity to variations in the key economic drivers, i.e., EtOH, LA and enzymes. The LCA suggested that LA producing scenarios introduced environmental burdens that were marginally higher than Scenario 1, due to higher consumption of processing chemicals. Overall, Scenario 4 was found to be the most desirable biorefinery scenario, by balancing financial and environmental considerations. © 2017 Society of Chemical Industry and John Wiley &amp; Sons, Ltd.","author":[{"dropping-particle":"","family":"Mandegari","given":"Mohsen Ali","non-dropping-particle":"","parse-names":false,"suffix":""},{"dropping-particle":"","family":"Farzad","given":"Somayeh","non-dropping-particle":"","parse-names":false,"suffix":""},{"dropping-particle":"","family":"Rensburg","given":"Eugéne","non-dropping-particle":"van","parse-names":false,"suffix":""},{"dropping-particle":"","family":"Görgens","given":"Johann F.","non-dropping-particle":"","parse-names":false,"suffix":""}],"container-title":"Biofuels, Bioproducts and Biorefining","id":"ITEM-15","issue":"6","issued":{"date-parts":[["2017","11","5"]]},"page":"971-990","publisher":"John Wiley and Sons Ltd","title":"Multi-criteria analysis of a biorefinery for co-production of lactic acid and ethanol from sugarcane lignocellulose","type":"article-journal","volume":"11"},"uris":["http://www.mendeley.com/documents/?uuid=51848f3c-fdd2-3ed0-9759-a66e3918351b"]},{"id":"ITEM-16","itemData":{"DOI":"10.1007/s10098-017-1401-6","ISSN":"16189558","abstract":"The European Union recognizes the priority of new bio-based industrial pathways, such as bio-based succinic acid (bio-SA). This study has investigated, through a life cycle method, the cradle-to-factory gate greenhouse gas (GHG) emissions and non-renewable energy use (NREU) of bio-SA from lignocellulosic giant reed (GR) feedstock grown on marginal lands in Southern Italy (GR bio-SA). The aims were to: (1) evaluate the environmental performance of the GR bio-SA and (2) discuss the GR bio-SA profile with respect to its fossil counterparts and alternative bio-SA routes. For 1 kg of GR bio-SA, the gross GHG emissions amounted to 3.9 kg CO2 eq, while through the inclusion of the biogenic C potentially stored in SA molecule (1.47 kg CO2 eq) and soil organic matter (0.44 kg CO2 eq), the final net global warming potential would be nearly halved. Similarly to current starch-based SA supply chains, the GR bio-SA showed: (1) better gross GHG profile compared to the fossil adipic acid (GHG emissions reduced by 55%) and (2) comparable net GHG emissions in comparison with petrochemicals SA and maleic acid. The total NREU for 1 kg of GR bio-SA amounted to 26.6 MJ, with reduced energy consumption by about 55–79% relative to fossil counterparts, thanks to the on-site energetic valorization of lignin and holocellulose residues with relatively high heating values. The soy protein concentrate and the inorganic chemicals used in the co-fermentation showed up the prevailing contributions to the GHG and NREU profiles of the GR bio-SA, suggesting the need to optimize nitrogen and carbon sources of the growth medium.","author":[{"dropping-particle":"","family":"Zucaro","given":"Amalia","non-dropping-particle":"","parse-names":false,"suffix":""},{"dropping-particle":"","family":"Forte","given":"Annachiara","non-dropping-particle":"","parse-names":false,"suffix":""},{"dropping-particle":"","family":"Fierro","given":"Angelo","non-dropping-particle":"","parse-names":false,"suffix":""}],"container-title":"Clean Technologies and Environmental Policy","id":"ITEM-16","issue":"8","issued":{"date-parts":[["2017"]]},"page":"2129-2143","publisher":"Springer Verlag","title":"Greenhouse gas emissions and non-renewable energy use profiles of bio-based succinic acid from Arundo donax L. lignocellulosic feedstock","type":"article-journal","volume":"19"},"uris":["http://www.mendeley.com/documents/?uuid=4c3a9847-dd63-379a-aa27-c0ca880e6894"]},{"id":"ITEM-17","itemData":{"DOI":"10.1021/acs.est.6b06220","ISSN":"15205851","abstract":"Caproic acid is an emerging platform chemical with diverse applications. Recently, a novel biorefinery process, that is, chain elongation, was developed to convert mixed organic waste and ethanol into renewable caproic acids. In the coming years, this process may become commercialized, and continuing to improve on the basis of numerous ongoing technological and microbiological studies. This study aims to analyze the environmental performance of caproic acid production from mixed organic waste via chain elongation at this current, early stage of technological development. To this end, a life cycle assessment (LCA) was performed to evaluate the environmental impact of producing 1 kg caproic acid from organic waste via chain elongation, in both a lab-scale and a pilot-scale system. Two mixed organic waste were used as substrates: the organic fraction of municipal solid waste (OFMSW) and supermarket food waste (SFW). Ethanol use was found to be the dominant cause of environmental impact over the life cycle. Extraction solvent recovery was found to be a crucial uncertainty that may have a substantial influence on the life-cycle impacts. We recommend that future research and industrial producers focus on the reduction of ethanol use in chain elongation and improve the recovery efficiency of the extraction solvent.","author":[{"dropping-particle":"","family":"Chen","given":"Wei Shan","non-dropping-particle":"","parse-names":false,"suffix":""},{"dropping-particle":"","family":"Strik","given":"David P.B.T.B.","non-dropping-particle":"","parse-names":false,"suffix":""},{"dropping-particle":"","family":"Buisman","given":"Cees J.N.","non-dropping-particle":"","parse-names":false,"suffix":""},{"dropping-particle":"","family":"Kroeze","given":"Carolien","non-dropping-particle":"","parse-names":false,"suffix":""}],"container-title":"Environmental Science and Technology","id":"ITEM-17","issue":"12","issued":{"date-parts":[["2017","6","20"]]},"page":"7159-7168","publisher":"American Chemical Society","title":"Production of Caproic Acid from Mixed Organic Waste: An Environmental Life Cycle Perspective","type":"article-journal","volume":"51"},"uris":["http://www.mendeley.com/documents/?uuid=3b1f76a3-3db8-3e63-aa0f-28b3640010e9"]},{"id":"ITEM-18","itemData":{"DOI":"10.1039/c8gc01181h","ISSN":"14639270","abstract":"Bio-based chemicals have gained more widespread attention than bio-fuels because of the decline in crude oil prices. The development of technologies to produce chemicals from bio-oil is potentially attractive because of the simplicity of bio-oil preparation. This study presents a prospective and detailed techno-economic life-cycle assessment for the joint production of levoglucosan, phenol-formaldehyde resins, and noncorrosive road deicers using fast biomass pyrolysis, bio-oil fractions, and a purification pathway by modeling a 60-dry-metric-ton biomass per day facility. In particular, life-cycle environmental metrics (i.e., global warming potential 100a, cumulative energy demand, and eco-indicator 99) as well as the 20-year facility internal rate of return (IRR) are determined, and uncertainty analysis is performed to provide deeper insight into the effect of these model parameters and the reliability of model predictions. It is found that bio-oil (BO)-derived levoglucosan was fairly environmentally competitive, BO-resin was promising under environmental aspects, and BO-deicer possessed fairly poor environmental profiles. On the basis of the life-cycle inventory assessment in this study, two slightly universal conclusions could be further proved: (1) if the consumption of the chemical and energy auxiliaries provided by nonrenewable resources is too large in a biomass-based process, this process could achieve higher environmental impacts compared with conventional production from nonrenewable resources, and (2) an increase in the product yields could effectively reduce the environmental footprint of this production process. For the biorefinery process, the facility IRR is 29.6%. The GWP100a (22.3 kgCO2-eq kg-1), CED (484 MJeq kg-1) and EI-99 (1.91 points per kg) values for BO-deicer production are much higher than that for BO-LG (2.19 kgCO2-eq kg-1, 29.7 MJeq kg-1 and 0.151 points per kg) and BO-resin (0.934 kgCO2-eq kg-1, 32.7 MJeq kg-1 and 0.134 points per kg). The techno-economic analysis results showed that this project is commercially attractive, and the economic environment presents a low risk to the project investment.","author":[{"dropping-particle":"","family":"Zheng","given":"Ji Lu","non-dropping-particle":"","parse-names":false,"suffix":""},{"dropping-particle":"","family":"Zhu","given":"Ya Hong","non-dropping-particle":"","parse-names":false,"suffix":""},{"dropping-particle":"","family":"Zhu","given":"Ming Qiang","non-dropping-particle":"","parse-names":false,"suffix":""},{"dropping-particle":"","family":"Sun","given":"Guo Tao","non-dropping-particle":"","parse-names":false,"suffix":""},{"dropping-particle":"","family":"Sun","given":"Run Cang","non-dropping-particle":"","parse-names":false,"suffix":""}],"container-title":"Green Chemistry","id":"ITEM-18","issue":"14","issued":{"date-parts":[["2018","7","16"]]},"page":"3287-3301","publisher":"Royal Society of Chemistry","title":"Life-cycle assessment and techno-economic analysis of the utilization of bio-oil components for the production of three chemicals","type":"article-journal","volume":"20"},"uris":["http://www.mendeley.com/documents/?uuid=4a05c48e-6df2-3390-b3d9-5a2df110e124"]},{"id":"ITEM-19","itemData":{"DOI":"10.1021/acssuschemeng.8b00215","ISSN":"21680485","abstract":"The growing interest for new routes to obtain acetonitrile led to the development of catalysts active toward the ammoxidation of various substrates. Among these, a C2 molecule such as ethanol represents a good choice in terms of atom economy and, being renewable, sets the basis for a long-term sustainable process. This paper describes a fully integrated, newly designed process for the production of acetonitrile from bioethanol, currently not present in the literature. The target is the production and purification of 10 kg/h of acetonitrile, unit of production used for calculations, obtained from ethanol, ammonia, and air as raw materials. All the byproducts, mainly ammonium bicarbonate and sodium cyanide, are considered marketable chemicals and represent an added value, instead of a disposal issue. Their optimized recovery is included in this flowsheet as a basis for the future economic assessment of the system. The process consumes CO2 without its direct emission. In principle, all the carbon atoms and 90% of the nitrogen atoms are turned into reaction products, and the main loss is gaseous N2. The process design has been performed by means of the Aspen PLUS process simulator, on the basis of literature data and other experimental results. In addition, for an evaluation of the potential benefits of the innovative biobased route, a life cycle analysis was carried out including all the stages involved in the bioacetonitrile production (from raw materials extraction up to the gate plant). The results were then compared with those achieved for the traditional fossil route (SOHIO process), showing a sensible decrease of the environmental burdens in terms of nonrenewable resources and damage to ecosystems (e.g., toxicity, climate change, etc.). Finally, a simplified sensitivity analysis was carried out by substituting the starting raw material for the production of bioethanol (corn) with other materials conventionally used worldwide, such as sugar cane and wood. The latter option seems to make the system more competitive in terms of carbon neutrality, thanks to the usage of the residual lignocellulosic fraction available on the market.","author":[{"dropping-particle":"","family":"Tripodi","given":"Antonio","non-dropping-particle":"","parse-names":false,"suffix":""},{"dropping-particle":"","family":"Bahadori","given":"Elnaz","non-dropping-particle":"","parse-names":false,"suffix":""},{"dropping-particle":"","family":"Cespi","given":"Daniele","non-dropping-particle":"","parse-names":false,"suffix":""},{"dropping-particle":"","family":"Passarini","given":"Fabrizio","non-dropping-particle":"","parse-names":false,"suffix":""},{"dropping-particle":"","family":"Cavani","given":"Fabrizio","non-dropping-particle":"","parse-names":false,"suffix":""},{"dropping-particle":"","family":"Tabanelli","given":"Tommaso","non-dropping-particle":"","parse-names":false,"suffix":""},{"dropping-particle":"","family":"Rossetti","given":"Ilenia","non-dropping-particle":"","parse-names":false,"suffix":""}],"container-title":"ACS Sustainable Chemistry and Engineering","id":"ITEM-19","issue":"4","issued":{"date-parts":[["2018","4","2"]]},"page":"5441-5451","publisher":"American Chemical Society","title":"Acetonitrile from Bioethanol Ammoxidation: Process Design from the Grass-Roots and Life Cycle Analysis","type":"article-journal","volume":"6"},"uris":["http://www.mendeley.com/documents/?uuid=f79ba0a8-e5a9-366e-8cd3-95d76fdc4a30"]},{"id":"ITEM-20","itemData":{"DOI":"10.1021/acs.iecr.7b03731","ISSN":"15205045","abstract":"This paper presents comparative technoeconomic and environmental analyses of three ethylene manufacturing pathways based on ethane-rich shale gas, corn stover, and corn grain. The shale-gas-based pathway includes two processing steps, namely, shale gas processing to produce ethane and ethane steam cracking to manufacture ethylene. The two biomass-based pathways also contain two processing steps each, namely, bioethanol production via fermentation and ethylene manufacturing via bioethanol dehydration. A distributed-centralized processing network that consists of distributed ethane/bioethanol production and centralized ethylene manufacturing is employed for each of the three pathways. Detailed process simulation models are developed for major processing steps, and the three pathways are then modeled on five different ethylene production scales. On the basis of the detailed mass and energy balances and life cycle inventory results, we conduct technoeconomic and life cycle analyses to systematically compare the economic and environmental performances of the three ethylene manufacturing pathways. The results indicate that the shale-gas-based pathway is the most attractive due to the lowest break even ethylene prices ($0.32/kg to $1.67/kg); however, it leads to the highest greenhouse gas emissions of about 1.4 kg CO2-equiv/kg ethylene. On the contrary, the corn-stover-based pathway results in the lowest greenhouse gas emissions of around -1.0 kg CO2-equiv/kg ethylene but the highest break even ethylene prices ($2.0/kg to $4.1/kg). Sensitivity analyses are performed to systematically investigate the influences of parameter deviations on the economic and environmental performances of the three ethylene manufacturing pathways.","author":[{"dropping-particle":"","family":"Yang","given":"Minbo","non-dropping-particle":"","parse-names":false,"suffix":""},{"dropping-particle":"","family":"Tian","given":"Xueyu","non-dropping-particle":"","parse-names":false,"suffix":""},{"dropping-particle":"","family":"You","given":"Fengqi","non-dropping-particle":"","parse-names":false,"suffix":""}],"container-title":"Industrial and Engineering Chemistry Research","id":"ITEM-20","issue":"17","issued":{"date-parts":[["2018","5","2"]]},"page":"5980-5998","publisher":"American Chemical Society","title":"Manufacturing Ethylene from Wet Shale Gas and Biomass: Comparative Technoeconomic Analysis and Environmental Life Cycle Assessment","type":"article-journal","volume":"57"},"uris":["http://www.mendeley.com/documents/?uuid=7bf55158-b6c3-349e-9812-7a25eb654d48"]},{"id":"ITEM-21","itemData":{"DOI":"10.1016/j.jclepro.2018.08.147","ISSN":"09596526","abstract":"The use of biomass for production of chemicals is gaining interest because of its potential to contribute towards a reduction in greenhouse gas emissions and other environmental benefits linked to the substitution of fossil resources. But, conversely to biofuels, studies focusing on environmental impacts of biomass-derived chemicals are scarce. This paper uses life cycle assessment to evaluate the environmental sustainability of bio-ethylene from poplar produced by the following three thermo-chemical routes: direct and indirect dehydration of ethanol and production of olefins via dimethyl ether. The indirect route is the best option for most impact categories for all three allocation methods considered: system expansion, economic and energy basis. However, the dimethyl ether-to-olefins route has the lowest global warming potential. In comparison to ethylene produced bio-chemically from sugar beet, the thermo-chemical indirect route has lower impacts for all categories except human, terrestrial and freshwater toxicities. All three thermo-chemical alternatives show a significant reduction in global warming potential (up to 105% in the case of dimethyl ether-to-olefins) and depletion of fossil fuels when compared to conventional ethylene production from fossil fuels. However, the results also suggest that bio-ethylene produced by any of the three thermo-chemical routes would lead to a significant increase in most other impact categories relative to fossil fuels. Therefore, while trying to reduce greenhouse gas emissions, the overall environmental sustainability of bio-ethylene suffers from the increase in other environmental impacts.","author":[{"dropping-particle":"","family":"Alonso-Fariñas","given":"Bernabé","non-dropping-particle":"","parse-names":false,"suffix":""},{"dropping-particle":"","family":"Gallego-Schmid","given":"Alejandro","non-dropping-particle":"","parse-names":false,"suffix":""},{"dropping-particle":"","family":"Haro","given":"Pedro","non-dropping-particle":"","parse-names":false,"suffix":""},{"dropping-particle":"","family":"Azapagic","given":"Adisa","non-dropping-particle":"","parse-names":false,"suffix":""}],"container-title":"Journal of Cleaner Production","id":"ITEM-21","issued":{"date-parts":[["2018","11","20"]]},"page":"817-829","publisher":"Elsevier Ltd","title":"Environmental assessment of thermo-chemical processes for bio-ethylene production in comparison with bio-chemical and fossil-based ethylene","type":"article-journal","volume":"202"},"uris":["http://www.mendeley.com/documents/?uuid=64b37817-0304-3dab-bb8f-937ad79dabae"]},{"id":"ITEM-22","itemData":{"DOI":"10.1016/j.jclepro.2018.07.240","ISSN":"09596526","abstract":"In Sweden, the current dominant valorization of food waste is the production of biogas. However, as current production has low profitability, other options are sought to find more valuable uses of food waste, e.g. as the feedstock for bio-based chemicals. One example is the use of food waste in the production of bio-based succinic acid. In this paper, a LCA study is presented in order to highlight whether biogas production or the production of succinic acid has the lowest environmental impact as valorization option for mixed food waste, and if mixed food waste could be an environmentally preferable feedstock to succinic acid production. The LCA study shows that the environmental results depend on the perspective. From a valorization perspective, food waste has the lowest environmental impact the biogas production. From a feedstock perspective, mixed food waste is an environmentally preferable feedstock to succinic acid production. Although many uncertainties exist because production processes are still being developed, it can be concluded that mixed food waste seems to be a promising feedstock for bio-based chemicals from an environmental point of view, and is of interest to be included in future assessments of bio-based chemicals for the emerging bio-economy.","author":[{"dropping-particle":"","family":"Brunklaus","given":"Birgit","non-dropping-particle":"","parse-names":false,"suffix":""},{"dropping-particle":"","family":"Rex","given":"Emma","non-dropping-particle":"","parse-names":false,"suffix":""},{"dropping-particle":"","family":"Carlsson","given":"Erica","non-dropping-particle":"","parse-names":false,"suffix":""},{"dropping-particle":"","family":"Berlin","given":"Johanna","non-dropping-particle":"","parse-names":false,"suffix":""}],"container-title":"Journal of Cleaner Production","id":"ITEM-22","issued":{"date-parts":[["2018","11","20"]]},"page":"1-10","publisher":"Elsevier Ltd","title":"The future of Swedish food waste: An environmental assessment of existing and prospective valorization techniques","type":"article-journal","volume":"202"},"uris":["http://www.mendeley.com/documents/?uuid=a40219eb-30de-32d8-97b2-1411ea73e19c"]},{"id":"ITEM-23","itemData":{"DOI":"10.1016/j.cej.2018.06.052","ISSN":"13858947","abstract":"Fermentation-derived bio-succinic acid (BioSA) is a valuable intermediate; it is used as a chemical building block, and has multiple industrial applications as an alternative to petroleum counterparts. The aim of this study was to develop a full-scale plant to produce BioSA from apple pomace, a low-cost solid waste from the cider- and juice-making industry, based on a biorefinery concept, and to determine its environmental profile using a cradle-to-factory-gate, scaled-up LCA approach. Foreground data used in this LCA were based on mass and energy flows, modelled in detail. The production process was divided into three stages: i) reconditioning and storage; ii) fermentation with Actinobacillus succinogenes; and iii) purification. The results indicate that the use of enzymes is responsible for the highest environmental burdens, due to their highly energy-intensive background production processes. When these were excluded from the analysis (following other studies available in the literature), the purification stage played an environmentally significant role, due to the extraction and distillation units involved. The electricity use and the requirements for organic solvents in these operations make up the largest environmental burdens. Thus, approaches with the highest potential for improvement must involve both operations. Alternatives for improvement are proposed that offer interesting potential reductions in the environmental profile, especially at the purification stage.","author":[{"dropping-particle":"","family":"González-García","given":"Sara","non-dropping-particle":"","parse-names":false,"suffix":""},{"dropping-particle":"","family":"Argiz","given":"Lucía","non-dropping-particle":"","parse-names":false,"suffix":""},{"dropping-particle":"","family":"Míguez","given":"Patricia","non-dropping-particle":"","parse-names":false,"suffix":""},{"dropping-particle":"","family":"Gullón","given":"Beatriz","non-dropping-particle":"","parse-names":false,"suffix":""}],"container-title":"Chemical Engineering Journal","id":"ITEM-23","issued":{"date-parts":[["2018","10","15"]]},"page":"982-991","publisher":"Elsevier B.V.","title":"Exploring the production of bio-succinic acid from apple pomace using an environmental approach","type":"article-journal","volume":"350"},"uris":["http://www.mendeley.com/documents/?uuid=48fec66e-366c-330c-9a2f-8fad3a390d28"]},{"id":"ITEM-24","itemData":{"DOI":"10.1002/bbb.1986","ISSN":"1932-104X","abstract":"Biomass feedstock can be used for the production of biofuels or biobased chemicals to reduce anthropogenic greenhouse gas (GHG) emissions. Earlier studies about the techno-economic performance of biofuel or biobased chemical production varied in biomass feedstock, conversion process, and other techno-economic assumptions. This made a fair comparison between different industrial processing pathways difficult. The aim of this study is to quantify uniformly the factory-gate production costs and the GHG emission intensity of biobased ethanol, ethylene, 1,3-propanediol (PDO), and succinic acid, and to compare them with each other and their respective fossil equivalent products. Brazilian sugarcane and eucalyptus are used as biomass feedstock in this study. A uniform approach is applied to determine the production costs and GHG emission intensity of biobased products, taking into account feedstock supply, biobased product yield, capital investment, energy, labor, maintenance, and processing inputs. Economic performance and net avoided GHG emissions of biobased chemicals depend on various uncertain factors, so this study pays particular attention to uncertainty by means of a Monte Carlo analysis. A sensitivity analysis is also performed. As there is uncertainty associated with the parameters used for biobased product yield, feedstock cost, fixed capital investment, industrial scale, and energy costs, the results are presented in ranges. The 60% confidence interval ranges of the biobased product production costs are 0.64–1.10 US$ kg−1 ethanol, 1.18–2.05 US$ kg−1 ethylene, 1.37–2.40 US$ kg−1 1,3-PDO, and 1.91–2.57 US$ kg−1 succinic acid. The cost ranges of all biobased products partly or completely overlap with the ranges of the production costs of the fossil equivalent products. The results show that sugarcane-based 1,3-PDO and to a lesser extent succinic acid have the highest potential benefit. The ranges of GHG emission reduction are 1.29–2.16, 3.37–4.12, 2.54–5.91, and 0.47–5.22 CO2eq kg−1 biobased product for ethanol, ethylene, 1,3-PDO, and succinic acid respectively. Considering the potential GHG emission reduction and profit per hectare, the pathways using sugarcane score are generally better than eucalyptus feedstock due to the high yield of sugarcane in Brazil. Overall, it was not possible to choose a clear winner, (a) because the best performing biobased product strongly depends on the chosen metric, and (b) because of the large ranges found, especiall…","author":[{"dropping-particle":"","family":"Jonker","given":"Jan G.G.","non-dropping-particle":"","parse-names":false,"suffix":""},{"dropping-particle":"","family":"Junginger","given":"Martin","non-dropping-particle":"","parse-names":false,"suffix":""},{"dropping-particle":"","family":"Posada","given":"John","non-dropping-particle":"","parse-names":false,"suffix":""},{"dropping-particle":"","family":"Ioiart","given":"Carla S.","non-dropping-particle":"","parse-names":false,"suffix":""},{"dropping-particle":"","family":"Faaij","given":"Andre P.C.","non-dropping-particle":"","parse-names":false,"suffix":""},{"dropping-particle":"","family":"Hilst","given":"Floor","non-dropping-particle":"","parse-names":false,"suffix":""}],"container-title":"Biofuels, Bioproducts and Biorefining","id":"ITEM-24","issue":"4","issued":{"date-parts":[["2019","7","11"]]},"page":"950-977","publisher":"John Wiley and Sons Ltd","title":"Economic performance and GHG emission intensity of sugarcane‐ and eucalyptus‐derived biofuels and biobased chemicals in Brazil","type":"article-journal","volume":"13"},"uris":["http://www.mendeley.com/documents/?uuid=c8303eff-638a-3180-a188-e262e3d49c24"]},{"id":"ITEM-25","itemData":{"DOI":"10.1039/D0GC02258F","ISSN":"14639270","abstract":"2,5-Furandicarboxylic acid (FDCA) is a promising renewable building block, which can replace conventional petroleum-derived terephthalic acid (TPA). Here, we develop and evaluate a new catalytic process for the production of a renewable plastic monomer (FDCA) from lignocellulosic biomass-derived cellulose. In this process, cellulose is converted into FDCA (38.6% carbon yield) via a two-step catalytic conversion: dehydration of cellulose to 5-hydroxymethylfurfural (HMF, 42% molar yield) and oxidation of HMF to FDCA (93.6% molar yield). To effectively recover the products as well as recycle the solvent, we designed a detailed separation subsystem, which is integrated with the reaction subsystem. Importantly, to effectively minimize the required energy consumption, a heat pump is employed and heat integration is conducted. In addition, pioneer plant analysis is conducted to investigate the broad range of economic feasibility. In our techno-economic analysis, the integrated process leads to a minimum selling price of $1532 per ton of FDCA, meaning that the cellulose-derived FDCA has the potential to replace petroleum-derived TPA. In addition, sensitivity analysis reveals that the feedstock price and catalyst price are important parameters for the process. Furthermore, according to life-cycle assessment, the biomass-derived FDCA production is more environmentally favorable than the petroleum-derived TPA production. This journal is","author":[{"dropping-particle":"","family":"Kim","given":"Hyunwoo","non-dropping-particle":"","parse-names":false,"suffix":""},{"dropping-particle":"","family":"Choi","given":"Julius","non-dropping-particle":"","parse-names":false,"suffix":""},{"dropping-particle":"","family":"Park","given":"Junhyung","non-dropping-particle":"","parse-names":false,"suffix":""},{"dropping-particle":"","family":"Won","given":"Wangyun","non-dropping-particle":"","parse-names":false,"suffix":""}],"container-title":"Green Chemistry","id":"ITEM-25","issue":"20","issued":{"date-parts":[["2020","10","19"]]},"page":"7070-7079","publisher":"Royal Society of Chemistry","title":"Production of a sustainable and renewable biomass-derived monomer: conceptual process design and techno-economic analysis","type":"article-journal","volume":"22"},"uris":["http://www.mendeley.com/documents/?uuid=2fe27b90-f84e-339f-9c1d-eeea0f3cb1ff"]},{"id":"ITEM-26","itemData":{"DOI":"10.1016/j.biortech.2020.123179","ISSN":"18732976","PMID":"32222688","abstract":"This study aimed to evaluate the environmental impacts (i.e. global warming potential (GWP) and resource depletion (RD)) of the bio-based levoglucosan production process through fast pyrolysis of cotton straw via life cycle assessment (LCA). An LCA model consisting of feedstock transportation, biomass pretreatment, fast pyrolysis, bio-oil transportation, bio-oil recovery and levoglucosan extraction was developed. Results indicated that GWP and RD of bio-based levoglucosan production were approximately 2 and 32.5 times less than that of the petroleum-based counterpart. Sensitivity analysis showed that the GWP and RD of levoglucosan production were highly sensitive to plant size, hydrochloric acid usage, cooling energy, levoglucosan yield and bio-oil yield. The results of this research could provide a framework for robust decision making at an industrial level, which is useful for the commercial-scale production of levoglucosan.","author":[{"dropping-particle":"","family":"Wang","given":"Junqi","non-dropping-particle":"","parse-names":false,"suffix":""},{"dropping-particle":"","family":"You","given":"Siming","non-dropping-particle":"","parse-names":false,"suffix":""},{"dropping-particle":"","family":"Lu","given":"Zhoumin","non-dropping-particle":"","parse-names":false,"suffix":""},{"dropping-particle":"","family":"Chen","given":"Rui","non-dropping-particle":"","parse-names":false,"suffix":""},{"dropping-particle":"","family":"Xu","given":"Fuqing","non-dropping-particle":"","parse-names":false,"suffix":""}],"container-title":"Bioresource Technology","id":"ITEM-26","issued":{"date-parts":[["2020","7","1"]]},"page":"123179","publisher":"Elsevier Ltd","title":"Life cycle assessment of bio-based levoglucosan production from cotton straw through fast pyrolysis","type":"article-journal","volume":"307"},"uris":["http://www.mendeley.com/documents/?uuid=65fde1a6-5637-3c68-87bf-ebee67b4dba9"]},{"id":"ITEM-27","itemData":{"DOI":"10.1039/c9gc02992c","ISSN":"14639270","abstract":"The development, implementation and social acceptance of resource efficient, circular, bio-based economies require critical understanding of the whole supply chain from feedstock to end-use. Trust, transparency and traceability will be paramount. Though life cycle assessment (LCA) is a universally chosen approach to fulfil this purpose, the nature of data required and the depth of analysis lead to complex interpretations of the findings. Herein, a new set of hybridised, first-line sustainability indicators, drawn from the principles of green chemistry and resource (material and energy) circularity, are reported. These flexible, potentially stand-alone metrics are demonstrated via application to an exemplary comparative LCA, incorporating the hybridised indicators including hazardous chemical use, waste generated, resource circularity and energy efficiency, from the \"gate-to-gate\" stages for the bio-based case studies and their petro-derived commercial counterparts. These metrics were observed to quantify critical new information relevant to our transition to a circular economy, bridging significant gaps in contemporary environmental impact assessment methodologies. Appropriate additional evaluations that examine the performance of metrics, when the embedded resource efficiency and circularity strategies are omitted, have also been undertaken and reported. The data drawn from employing these methods are crucial to inform and encourage operational optimisation, transparency in sustainability reporting and practices to a significant number of value-chain actors including manufacturers, policy makers and consumers.","author":[{"dropping-particle":"","family":"Lokesh","given":"Kadambari","non-dropping-particle":"","parse-names":false,"suffix":""},{"dropping-particle":"","family":"Matharu","given":"Avtar S.","non-dropping-particle":"","parse-names":false,"suffix":""},{"dropping-particle":"","family":"Kookos","given":"Ioannis K.","non-dropping-particle":"","parse-names":false,"suffix":""},{"dropping-particle":"","family":"Ladakis","given":"Dimitris","non-dropping-particle":"","parse-names":false,"suffix":""},{"dropping-particle":"","family":"Koutinas","given":"Apostolis","non-dropping-particle":"","parse-names":false,"suffix":""},{"dropping-particle":"","family":"Morone","given":"Piergiuseppe","non-dropping-particle":"","parse-names":false,"suffix":""},{"dropping-particle":"","family":"Clark","given":"James","non-dropping-particle":"","parse-names":false,"suffix":""}],"container-title":"Green Chemistry","id":"ITEM-27","issue":"3","issued":{"date-parts":[["2020","2","7"]]},"page":"803-813","publisher":"Royal Society of Chemistry","title":"Hybridised sustainability metrics for use in life cycle assessment of bio-based products: Resource efficiency and circularity","type":"article-journal","volume":"22"},"uris":["http://www.mendeley.com/documents/?uuid=fb64abc5-ea84-3bc1-9db3-fd0505857209"]},{"id":"ITEM-28","itemData":{"DOI":"10.1002/bit.23074","ISSN":"00063592","abstract":"A limited life cycle assessment (LCA) was performed on a combined biological and chemical process for the production of adipic acid, which was compared to the traditional petrochemical process. The LCA comprises the biological conversion of the aromatic feedstocks benzoic acid, impure aromatics, toluene, or phenol from lignin to cis, cis-muconic acid, which is subsequently converted to adipic acid through hydrogenation. Apart from the impact of usage of petrochemical and biomass-based feedstocks, the environmental impact of the final concentration of cis, cis-muconic acid in the fermentation broth was studied using 1.85% and 4.26% cis, cis-muconic acid. The LCA focused on the cumulative energy demand (CED), cumulative exergy demand (CExD), and the CO2 equivalent (CO2eq) emission, with CO2 and N2O measured separately. The highest calculated reduction potential of CED and CExD were achieved using phenol, which reduced the CED by 29% and 57% with 1.85% and 4.26% cis, cis-muconic acid, respectively. A decrease in the CO2eq emission was especially achieved when the N2O emission in the combined biological and chemical process was restricted. At 4.26% cis, cis-muconic acid, the different carbon backbone feedstocks contributed to an optimized reduction of CO2eq emissions ranging from 14.0 to 17.4ton CO2eq/ton adipic acid. The bulk of the bioprocessing energy intensity is attributed to the hydrogenation reactor, which has a high environmental impact and a direct relationship with the product concentration in the broth. © 2011 Wiley Periodicals, Inc.","author":[{"dropping-particle":"","family":"Duuren","given":"J.B.J.H.","non-dropping-particle":"van","parse-names":false,"suffix":""},{"dropping-particle":"","family":"Brehmer","given":"B.","non-dropping-particle":"","parse-names":false,"suffix":""},{"dropping-particle":"","family":"Mars","given":"A.E.","non-dropping-particle":"","parse-names":false,"suffix":""},{"dropping-particle":"","family":"Eggink","given":"G.","non-dropping-particle":"","parse-names":false,"suffix":""},{"dropping-particle":"","family":"Santos","given":"V.A.P. Martins","non-dropping-particle":"dos","parse-names":false,"suffix":""},{"dropping-particle":"","family":"Sanders","given":"J.P.M.","non-dropping-particle":"","parse-names":false,"suffix":""}],"container-title":"Biotechnology and Bioengineering","id":"ITEM-28","issue":"6","issued":{"date-parts":[["2011","6","1"]]},"page":"1298-1306","publisher":"John Wiley &amp; Sons, Ltd","title":"A limited LCA of bio-adipic acid: Manufacturing the nylon-6,6 precursor adipic acid using the benzoic acid degradation pathway from different feedstocks","type":"article-journal","volume":"108"},"uris":["http://www.mendeley.com/documents/?uuid=d76b273c-d593-30a3-9bdb-0bb5b615ea6f"]},{"id":"ITEM-29","itemData":{"DOI":"10.1111/gcbb.12652","ISSN":"1757-1693","abstract":"Using selected bio-based feedstocks as alternative to fossil resources for producing biochemicals and derived materials is increasingly considered an important goal of a viable bioeconomy worldwide. However, to ensure that using bio-based feedstocks is aligned with the global sustainability agenda, impacts along the entire life cycle of biochemical production systems need to be evaluated. This will help to identify those processes and technologies, which should be targeted for optimizing overall environmental sustainability performance. To address this need, we quantify environmental impacts of biochemical production using distinct bio-based feedstocks, and discuss the potential for reducing impact hotspots via process optimization. Lactic acid (LA) was used as an example biochemical derived from corn, corn stover, and macroalgae (Laminaria sp.) as feedstocks of different technological maturity. We used environmental life cycle assessment (LCA), a standardized methodology, considering the full life cycle of the analyzed biochemical production systems and a broad range of environmental impact indicators. Across production systems, feedstock production and biorefinery processes dominate life cycle impact profiles, with choice in energy mix and biomass processing as main influencing aspects. Results show that uncertainty decreases with increasing technological maturity. When using Laminaria sp. (least mature among selected feedstocks), impacts are mainly driven by energy utilities (up to 86%) due to biomass drying. This suggests to focus on optimizing or avoiding this process for significantly increasing environmental sustainability of Laminaria sp.-based LA production. Our results demonstrate that applying LCA is useful for identifying environmental impact hotspots at an earlier stage of technological development across biochemical production systems. With that, our approach contributes to improving the environmental sustainability of future biochemical production as part of moving toward a viable bioeconomy worldwide.","author":[{"dropping-particle":"","family":"Ögmundarson","given":"Ólafur","non-dropping-particle":"","parse-names":false,"suffix":""},{"dropping-particle":"","family":"Sukumara","given":"Sumesh","non-dropping-particle":"","parse-names":false,"suffix":""},{"dropping-particle":"","family":"Laurent","given":"Alexis","non-dropping-particle":"","parse-names":false,"suffix":""},{"dropping-particle":"","family":"Fantke","given":"Peter","non-dropping-particle":"","parse-names":false,"suffix":""}],"container-title":"GCB Bioenergy","id":"ITEM-29","issue":"1","issued":{"date-parts":[["2020","1","31"]]},"page":"19-38","publisher":"Blackwell Publishing Ltd","title":"Environmental hotspots of lactic acid production systems","type":"article-journal","volume":"12"},"uris":["http://www.mendeley.com/documents/?uuid=a1aa2bb6-a7df-3baf-8d4a-5ff08ea2b998"]},{"id":"ITEM-30","itemData":{"DOI":"10.3390/EN12234502","ISSN":"19961073","abstract":"Bioproducts have attracted much attention in recent years due to the increasing environmental concerns about petroleum products. In this study, we aimed to explore potential environmental impacts and economic feasibility of pressure sensitive bio-adhesive (PSA) produced from the reversible addition-fragmentation chain transfer polymerization process. A detail process model of pressure sensitive bio-adhesive was developed in order to thoroughly understand both economic and environmental impacts of this production process. Life cycle assessment results showed that the overall environmental impacts of bio-adhesive was ~30% lower compared to the petro-adhesive&amp;rsquo;s production process. The minimum selling price for this pressure sensitive bio-adhesive was calculated as $3.48/kg. Sensitivity analysis results indicated that raw materials costs had the most significant impact on pressure sensitive bio-adhesive&amp;rsquo;s selling price, followed by total capital investment. Electricity sources had larger environmental impacts to the overall bio-adhesive production process compared to transportation distance and product yield. These results highlight the environmental advantage and potential economic competency of this pressure sensitive bio-based adhesive.","author":[{"dropping-particle":"","family":"Yang","given":"Minliang","non-dropping-particle":"","parse-names":false,"suffix":""},{"dropping-particle":"","family":"Rosentrater","given":"Kurt A.","non-dropping-particle":"","parse-names":false,"suffix":""}],"container-title":"Energies 2019, Vol. 12, Page 4502","id":"ITEM-30","issue":"23","issued":{"date-parts":[["2019","11","27"]]},"page":"4502","publisher":"Multidisciplinary Digital Publishing Institute","title":"Life Cycle Assessment and Techno-Economic Analysis of Pressure Sensitive Bio-Adhesive Production","type":"article-journal","volume":"12"},"uris":["http://www.mendeley.com/documents/?uuid=60ea8aa5-d46e-353b-b96d-e311720f0800"]},{"id":"ITEM-31","itemData":{"DOI":"10.1007/S11367-020-01733-9/FIGURES/8","ISSN":"16147502","abstract":"Purpose: Due to increasing environmental concerns about petroleum-based products, the replacement of petro-products has attracted much attention in recent years. The purpose of this paper was to evaluate the potential environmental impacts of glycerol-based structural bio-adhesive produced through the reversible addition-fragmentation chain transfer polymerization process. Methods: In this study, two pathways of glycerol production were considered in this cradle-to-gate life cycle assessment: bio-glycerol produced from biodiesel production plant and petroleum-based glycerol derived from petroleum refineries. Several impact categories were analyzed including global warming potential, acidification potential, eutrophication potential, and human health effects (both cancer and non-cancer). The impact of different allocation methods (energy content, mass value, and economic value) was also explored in this study. Results: Our results showed that bio-glycerol-based structural adhesive had a lower environmental impact in general compared to petro-glycerol-based structural adhesive. Higher environmental impacts throughout the structural bio-adhesive life cycle were observed by adopting the energy allocation method. The key factors that influence the global warming potential were electricity sources and the product yield. Conclusions: This LCA study provides useful information for developing sustainable biomaterials and processes. It is recommended to further explore the potential approaches to reduce the carbon intensity and eutrophication potential in the RAFT polymerization process as it is identified as the hotspot in the structural bio-adhesive production process.","author":[{"dropping-particle":"","family":"Yang","given":"Minliang","non-dropping-particle":"","parse-names":false,"suffix":""},{"dropping-particle":"","family":"Rosentrater","given":"Kurt A.","non-dropping-particle":"","parse-names":false,"suffix":""}],"container-title":"International Journal of Life Cycle Assessment","id":"ITEM-31","issue":"4","issued":{"date-parts":[["2021","4","1"]]},"page":"799-806","publisher":"Springer Science and Business Media Deutschland GmbH","title":"Cradle-to-gate life cycle assessment of structural bio-adhesives derived from glycerol","type":"article-journal","volume":"26"},"uris":["http://www.mendeley.com/documents/?uuid=3794fef1-dfa0-3c86-a734-2bb193796a9f"]},{"id":"ITEM-32","itemData":{"DOI":"10.1016/J.SCITOTENV.2020.140357","ISSN":"0048-9697","abstract":"The wood panel industry requires the introduction of more environmental-friendly adhesives due to the strict current regulations on formaldehyde-based emissions. The purpose of this study was to environmentally analyse the production of four different bio-adhesives as alternatives to the most conventional fossil resins used in the production of wood panels. The bio-adhesives proposed for analysis derived from different available renewable biopolymers such as protein (soy) and lignin (Kraft and Organosolv), as well as tannin. The production systems were evaluated from a cradle-to-gate perspective using the Life Cycle Assessment methodology, with the aim of identifying critical parameters and comparing them with fossil substitutes. Inventory data of bio-adhesives were modelled at large scale from lab scale experiments and completed with literature reports. Our results showed that the soy-based and tannin based bio-adhesive had an overall better profile than fossil resins, identifying the production of polyacrylamide for the former, and the production of condensed tannin and glyoxal for the latter, as the main environmental hotspots. In contrast, further research is required on the use of lignins, specifically because of the electricity requirements in the lignin glyoxalation stage (a process required for the functionalization of lignin). Sensitivity analyses were conduced on these key parameters suggesting that there is room for improvement.This study provides useful information for researchers and policy-makers on where to focus their activities with the aim of making the future of bio-adhesives more technically and environmentally favourable.","author":[{"dropping-particle":"","family":"Arias","given":"Ana","non-dropping-particle":"","parse-names":false,"suffix":""},{"dropping-particle":"","family":"González-García","given":"Sara","non-dropping-particle":"","parse-names":false,"suffix":""},{"dropping-particle":"","family":"González-Rodríguez","given":"Sandra","non-dropping-particle":"","parse-names":false,"suffix":""},{"dropping-particle":"","family":"Feijoo","given":"Gumersindo","non-dropping-particle":"","parse-names":false,"suffix":""},{"dropping-particle":"","family":"Moreira","given":"María Teresa","non-dropping-particle":"","parse-names":false,"suffix":""}],"container-title":"Science of The Total Environment","id":"ITEM-32","issued":{"date-parts":[["2020","10","10"]]},"page":"140357","publisher":"Elsevier","title":"Cradle-to-gate Life Cycle Assessment of bio-adhesives for the wood panel industry. A comparison with petrochemical alternatives","type":"article-journal","volume":"738"},"uris":["http://www.mendeley.com/documents/?uuid=6ade8feb-7e8d-3be2-80fb-58a52c71d25b"]},{"id":"ITEM-33","itemData":{"DOI":"10.1007/S10443-011-9201-3/FIGURES/6","ISSN":"0929189X","abstract":"In the present paper the environmental impact of biocomposites and biosandwich materials production are evaluated, using simplified Life Cycle Analysis (LCA) following the procedure recommended in the ISO 14044 standard. The materials are dimensioned and evaluated by comparing with reference materials, glass mat reinforced unsatured polyester and glass mat/unsatured polyester/balsa sandwich. The results indicate that bio-sandwich materials are very attractive in terms environmental impact. However further improvements in biocomposite and bio-sandwich mechanical strength are necessary if they are to be used in transport application compared to glass/polyester and glass/polyester/balsa sandwich. © Springer Science+Business Media B.V. 2011.","author":[{"dropping-particle":"","family":"Duigou","given":"Antoine","non-dropping-particle":"Le","parse-names":false,"suffix":""},{"dropping-particle":"","family":"Deux","given":"Jean Marc","non-dropping-particle":"","parse-names":false,"suffix":""},{"dropping-particle":"","family":"Davies","given":"Peter","non-dropping-particle":"","parse-names":false,"suffix":""},{"dropping-particle":"","family":"Baley","given":"Christophe","non-dropping-particle":"","parse-names":false,"suffix":""}],"container-title":"Applied Composite Materials","id":"ITEM-33","issue":"3-4","issued":{"date-parts":[["2012","6","11"]]},"page":"363-378","publisher":"Springer","title":"PLLA/flax mat/balsa bio-sandwich-environmental impact and simplified life cycle analysis","type":"article-journal","volume":"19"},"uris":["http://www.mendeley.com/documents/?uuid=13c0a891-b4c2-3da0-b1d2-ba35123f6a3d"]},{"id":"ITEM-34","itemData":{"DOI":"10.1007/S11367-014-0731-4/TABLES/9","ISSN":"16147502","abstract":"Purpose: Biopolymers are considered to be environmentally friendlier than petroleum-based polymers, but little is known about their environmental performance against petroleum-based products. This paper presents the results of a life cycle assessment (LCA) of two prototype biocomposite formulations produced by extrusion of wood fibre with either polylactic acid (PLA) or a blend of PLA and locally produced thermoplastic starch (TPS). Methods: The study followed the LCA methodology outlined in the two standards set out by the International Organization for Standardization (ISO): ISO 14040 and ISO 14044 of 2006. A life cycle inventory (LCI) for the biocomposite formulations was developed, and a contribution analysis was performed to identify the significant inputs. Environmental performances of the two formulations were then compared with each other and polypropylene (PP), a petroleum-based polymer. The US Environmental Protection Agency's impact assessment method, \"TRACI: The Tool for the Reduction and Assessment of Chemical and Other Environmental Impacts\", was combined with Cumulative Energy Demand (a European method) in order to characterize the inventory flows. Environmental impact categories chosen for the analysis were the following: global warming, stratospheric ozone depletion, acidification of land and water, eutrophication, smog, human health (respiratory, carcinogenic, and non-carcinogenic) effects and ecotoxicity. Results and discussion: We found that PLA is the significant input which contributes mostly to fossil fuel consumption, acidification and respiratory and smog effects. Impacts from PLA transport from the faraway source significantly added more burden to its contributions. TPS causes less environmental burden compared to PLA; the environmental performance of the biocomposite improved when a blend of PLA and TPS is used in formulating the biocomposite. The two formulations performed better than PP in all the environmental impact categories except eutrophication effects, which is important on a regional basis. Conclusions: The following conclusions were drawn from this study: PLA is the environmentally significant input among the three raw materials. TPS causes less environmental burden than PLA. Environmental performance of the biocomposite improves in the life cycle energy consumption, fossil energy use, ozone depletion and non-carcinogenic impact categories when a blend of PLA and TPS is used. The biocomposite can outperform PP in al…","author":[{"dropping-particle":"","family":"Mahalle","given":"Lal","non-dropping-particle":"","parse-names":false,"suffix":""},{"dropping-particle":"","family":"Alemdar","given":"Ayse","non-dropping-particle":"","parse-names":false,"suffix":""},{"dropping-particle":"","family":"Mihai","given":"Mihaela","non-dropping-particle":"","parse-names":false,"suffix":""},{"dropping-particle":"","family":"Legros","given":"Nathalie","non-dropping-particle":"","parse-names":false,"suffix":""}],"container-title":"International Journal of Life Cycle Assessment","id":"ITEM-34","issue":"6","issued":{"date-parts":[["2014","4","4"]]},"page":"1305-1315","publisher":"Springer Verlag","title":"A cradle-to-gate life cycle assessment of wood fibre-reinforced polylactic acid (PLA) and polylactic acid/thermoplastic starch (PLA/TPS) biocomposites","type":"article-journal","volume":"19"},"uris":["http://www.mendeley.com/documents/?uuid=c3683f07-0609-301a-a160-716d965e4aec"]},{"id":"ITEM-35","itemData":{"DOI":"10.1016/J.JCLEPRO.2016.05.172","ISSN":"0959-6526","abstract":"The use of biobased materials to replace their conventional, synthetic counterparts is clearly increasing today. An interesting application, printed circuit board substrates based on biobased materials, has recently been proposed, produced, and tested by several researchers. Building on these exploratory studies, this paper aims to evaluate and compare the environmental impact of biobased and conventional printed circuit board substrates. The conventional materials for printed circuit board substrates are epoxy resin reinforced by woven glass fibre fabric. Recent studies demonstrate that epoxidized linseed oil reinforced by flax fibre can meet most of the requirements specified in standards for printed circuit board substrates. A functional unit of 1 m2 of a printed circuit board substrate was selected for the comparative cradle-to-grave life cycle assessment, and incineration with energy recovery has been considered as an end-of-life scenario. The comparative life cycle assessment documented in this paper shows that a biobased printed circuit board substrate offers a clear impact reduction compared to the conventional design for most impact categories, except for freshwater toxicity, eutrophication, and land use. These are well-known problems for agro-products with pesticide and fertilizer use in cultivation. The environmental impact caused in the End-of-Life stage is generally negligible compared to the production stage for both types of printed circuit board substrates. However, the biobased substrate has a higher embodied energy compared to the conventional substrate, and consequently enables lowering of the fuel use for incineration or providing a higher energy output in the case of a combustion scenario. It can be concluded that the biobased design, composed of flax-fibre reinforced epoxidized linseed oil, is characterized by a lower overall environmental impact. The aggregated weighted eco-points score obtained using the ReCiPe methodology is 42% lower than for the conventional design for the chosen functional unit and scenario. Because the extensively measured technical properties of the biobased substrate were found to comply with almost all international standard specifications, the biobased design offers promising perspectives for further study. However, for industrial application, the major weaknesses of biobased materials, such as the high water absorbance, must be addressed. In addition, the higher land use raises considerable concern, ind…","author":[{"dropping-particle":"","family":"Deng","given":"Yelin","non-dropping-particle":"","parse-names":false,"suffix":""},{"dropping-particle":"","family":"Paraskevas","given":"Dimos","non-dropping-particle":"","parse-names":false,"suffix":""},{"dropping-particle":"","family":"Tian","given":"Yajun","non-dropping-particle":"","parse-names":false,"suffix":""},{"dropping-particle":"","family":"Acker","given":"Karel","non-dropping-particle":"Van","parse-names":false,"suffix":""},{"dropping-particle":"","family":"Dewulf","given":"Wim","non-dropping-particle":"","parse-names":false,"suffix":""},{"dropping-particle":"","family":"Duflou","given":"Joost R.","non-dropping-particle":"","parse-names":false,"suffix":""}],"container-title":"Journal of Cleaner Production","id":"ITEM-35","issued":{"date-parts":[["2016","10","1"]]},"page":"427-438","publisher":"Elsevier","title":"Life cycle assessment of flax-fibre reinforced epoxidized linseed oil composite with a flame retardant for electronic applications","type":"article-journal","volume":"133"},"uris":["http://www.mendeley.com/documents/?uuid=59ff867a-4621-3243-8ecf-75ce6d50ee3b"]},{"id":"ITEM-36","itemData":{"DOI":"10.1016/J.JCLEPRO.2018.03.042","ISSN":"0959-6526","abstract":"A comparative LCA from cradle to grave between traditional plasterboard, for drywall applications, and different composite boards, made by natural fiber and a bio-based epoxy resin (Supersap CLR), was carried out. The goal of the study was to determine whether the composites based on such a resin combined with natural fibers could be an eco-friendly alternative to plasterboard in the building sector. Moreover, the impacts related to each of the fibers used are also assessed separately from cradle to gate in order to get a better understanding of its influence. Both the results obtained through the IPC.GWP 100a method and the recipe endpoint show a remarkable difference between the plasterboard and all the different composites, the composites offering a 50% reduction in the CO2 emissions. The calculations performed regarding the impacts related to the different fibers showed only small differences between them.","author":[{"dropping-particle":"","family":"Quintana","given":"A.","non-dropping-particle":"","parse-names":false,"suffix":""},{"dropping-particle":"","family":"Alba","given":"J.","non-dropping-particle":"","parse-names":false,"suffix":""},{"dropping-particle":"","family":"Rey","given":"R.","non-dropping-particle":"del","parse-names":false,"suffix":""},{"dropping-particle":"","family":"Guillén-Guillamón","given":"I.","non-dropping-particle":"","parse-names":false,"suffix":""}],"container-title":"Journal of Cleaner Production","id":"ITEM-36","issued":{"date-parts":[["2018","6","1"]]},"page":"408-420","publisher":"Elsevier","title":"Comparative Life Cycle Assessment of gypsum plasterboard and a new kind of bio-based epoxy composite containing different natural fibers","type":"article-journal","volume":"185"},"uris":["http://www.mendeley.com/documents/?uuid=98a2d8c4-c228-35e6-9c18-f87482417784"]},{"id":"ITEM-37","itemData":{"DOI":"10.1007/s11367-020-01829-2","ISSN":"16147502","abstract":"Purpose: The aim of this review is to evaluate previous life cycle assessment (LCA) studies of first- and second-generation bioplastics, to understand the state of the art and the main problems addressed during the development of new bioplastics. Furthermore, it provides an overview on land use change (LUC) impacts accounted for, methodologies chosen, and the results obtained. Methods: Studies related to the impact assessment of bioplastics and published between 2007 and 2018 were gathered. Five keyword strings were used to perform a wide search and select relevant LCA studies. The study aimed to analyze critical methodological aspects in LCA, in order to determine the most common choices made during biobased material analyses, as well as major limitations. Three filters were applied to select comparable studies, ending with a final number of 17 papers. Recommendations were obtained by comparing common practices performed by different authors with suggested best available practices mentioned in handbooks and guidelines. Interestingly, LUC metrics and impacts were, most of the time, neglected. Thus, a specific assessment and discussion was performed regarding the methods used to quantify LUC impacts, considering its importance during the production of biobased materials. Results and discussion: The study discussed the main environmental problems linked to the development of new biomaterials. LCA of agricultural products or systems, when compared with fossil-based counterparts, is expected to show higher environmental impacts in categories directly affected by fertilizer use, occupied and transformed land, among others. Thus, studies that included additional impact categories besides global warming (e.g., eutrophication or acidification) concluded that biobased materials present higher impacts, recommending improvements in farming practices to improve their overall environmental profile. Moreover, this review gathered methodologies used to account for LUC impacts and the results obtained. The main constraint of including LUC impacts was the lack of a standardized methodology, as well as large uncertainties in existing methodologies. Conclusions: Most studies concluded that improvements in farming practices might reduce the attributed environmental impacts with the reduction of the amount of land, fertilizer, pesticides, and water used. Studies computing LUC impacts agreed on the importance of including these impacts and concluded that greenhouse gas emiss…","author":[{"dropping-particle":"","family":"Ita-Nagy","given":"Diana","non-dropping-particle":"","parse-names":false,"suffix":""},{"dropping-particle":"","family":"Vázquez-Rowe","given":"Ian","non-dropping-particle":"","parse-names":false,"suffix":""},{"dropping-particle":"","family":"Kahhat","given":"Ramzy","non-dropping-particle":"","parse-names":false,"suffix":""},{"dropping-particle":"","family":"Chinga-Carrasco","given":"Gary","non-dropping-particle":"","parse-names":false,"suffix":""},{"dropping-particle":"","family":"Quispe","given":"Isabel","non-dropping-particle":"","parse-names":false,"suffix":""}],"container-title":"International Journal of Life Cycle Assessment","id":"ITEM-37","issue":"11","issued":{"date-parts":[["2020","11","1"]]},"page":"2169-2189","publisher":"Springer Science and Business Media Deutschland GmbH","title":"Reviewing environmental life cycle impacts of biobased polymers: current trends and methodological challenges","type":"article","volume":"25"},"uris":["http://www.mendeley.com/documents/?uuid=ecb028db-e2fb-33fd-ac4c-ae29b556e3da"]},{"id":"ITEM-38","itemData":{"DOI":"10.1016/S0141-3910(02)00400-7","ISSN":"0141-3910","abstract":"Large-scale fermentative production of poly(3-hydroxybutyrate-co-5mol% 3-hydroxyhexanoate) [P(3HB-co-5mol% 3HHx)] from soybean oil as sole carbon source is simulated using a recombinant strain of Ralstonia eutropha harboring a polyhydroxyalkanoate (PHA) synthase gene from Aeromonas caviae. Its production costs, life cycle inventories (LCI) of energy consumption and carbon dioxide emissions from the cradle-to-factory gate are calculated and compared with the counterparts for microbial production of poly(3-hydroxybutyrate) [P(3HB)] from glucose as sole carbon source. In addition, the values of bio-based polymers are compared with those of petrochemical polymers. Annual production of 5000 tonnes of P(3HB-co-5mol% 3HHx) is estimated to cost from 3.5 to 4.5 US$/kg, depending on presumed production performances. Similar scale production of P(3HB) from glucose is estimated to cost 3.8-4.2 US$/kg. In contrast to the comparable production costs between P(3HB-co-5mol% 3HHx) and P(3HB), life cycle inventories of energy consumption and carbon dioxide emissions favor the former product over the latter, reflecting smaller inventories and higher production yields of soybean oil compared to glucose. The life cycle inventories of energy consumption and carbon dioxide emissions of bio-based polymers are markedly lower than those of typical petrochemical polymers. © 2003 Elsevier Science Ltd. All rights reserved.","author":[{"dropping-particle":"","family":"Akiyama","given":"Minoru","non-dropping-particle":"","parse-names":false,"suffix":""},{"dropping-particle":"","family":"Tsuge","given":"Takeharu","non-dropping-particle":"","parse-names":false,"suffix":""},{"dropping-particle":"","family":"Doi","given":"Yoshiharu","non-dropping-particle":"","parse-names":false,"suffix":""}],"container-title":"Polymer Degradation and Stability","id":"ITEM-38","issue":"1","issued":{"date-parts":[["2003","1","1"]]},"page":"183-194","publisher":"Elsevier","title":"Environmental life cycle comparison of polyhydroxyalkanoates produced from renewable carbon resources by bacterial fermentation","type":"article-journal","volume":"80"},"uris":["http://www.mendeley.com/documents/?uuid=9187c223-c4ed-3916-a491-f433478a39be"]},{"id":"ITEM-39","itemData":{"DOI":"10.1016/J.BIOMBIOE.2004.11.005","ISSN":"0961-9534","abstract":"Nonrenewable energy consumption and greenhouse gas (GHG) emissions associated with ethanol (a liquid fuel) derived from corn grain produced in selected counties in Illinois, Indiana, Iowa, Michigan, Minnesota, Ohio, and Wisconsin are presented. Corn is cultivated under no-tillage practice (without plowing). The system boundaries include corn production, ethanol production, and the end use of ethanol as a fuel in a midsize passenger car. The environmental burdens in multi-output biorefinery processes (e.g., corn dry milling and wet milling) are allocated to the ethanol product and its various coproducts by the system expansion allocation approach. The nonrenewable energy requirement for producing 1 kg of ethanol is approximately 13.4-21.5 MJ (based on lower heating value), depending on corn milling technologies employed. Thus, the net energy value of ethanol is positive; the energy consumed in ethanol production is less than the energy content of the ethanol (26.8 MJ kg-1). In the GHG emissions analysis, nitrous oxide (N2O) emissions from soil and soil organic carbon levels under corn cultivation in each county are estimated by the DAYCENT model. Carbon sequestration rates range from 377 to 681 kg C ha -1 year-1 and N2O emissions from soil are 0.5-2.8 kg N ha-1 year-1 under no-till conditions. The GHG emissions assigned to 1 kg of ethanol are 260-922 g CO2 eq. under no-tillage. Using ethanol (E85) fuel in a midsize passenger vehicle can reduce GHG emissions by 41-61% km-1 driven, compared to gasoline-fueled vehicles. Using ethanol as a vehicle fuel, therefore, has the potential to reduce nonrenewable energy consumption and GHG emissions. © 2004 Elsevier Ltd. All rights reserved.","author":[{"dropping-particle":"","family":"Kim","given":"Seungdo","non-dropping-particle":"","parse-names":false,"suffix":""},{"dropping-particle":"","family":"Dale","given":"Bruce E.","non-dropping-particle":"","parse-names":false,"suffix":""}],"container-title":"Biomass and Bioenergy","id":"ITEM-39","issue":"5","issued":{"date-parts":[["2005","5","1"]]},"page":"475-489","publisher":"Pergamon","title":"Environmental aspects of ethanol derived from no-tilled corn grain: nonrenewable energy consumption and greenhouse gas emissions","type":"article-journal","volume":"28"},"uris":["http://www.mendeley.com/documents/?uuid=b8451e62-6a78-3977-a3d4-db9ceb477f13"]},{"id":"ITEM-40","itemData":{"DOI":"10.1002/bbb.1772","ISSN":"1932-104X","abstract":"Climate change and fossil resource depletion are driving a transition to a bio-based economy, for which novel bio-based chemical processes need to be developed. The environmental performance of the novel bio-based chemicals should be assessed during their development, when the production process can still be adapted, although data availability is limited. Many environmental assessment methods applicable during product development (‘early-stage methods’) exist in the literature. The aim of this study is to provide an overview of these early-stage methods and to evaluate to what extent they are suitable for assessing bio-based chemicals in their early-stage development. The paper first describes the characteristics of early-stage chemical design and the environmental impacts of bio-based products based on published life cycle assessments. Low data requirements, the inclusion of climate change and energy indicators, and the inclusion of environmental impacts from biomass feedstock production are identified as three good-practice principles for early-stage assessment of bio-based chemicals. In the second step, 27 early-stage assessment methods are reviewed and categorized based on their scope and environmental indicators used. Finally, the reviewed methods are evaluated using the good-practice principles. A perfect early-stage method does not exist. However, choosing the most suitable method(s) based on the goal of an assessment and using complementary indicators leads to the most effective assessment for novel bio-based chemicals in development. © 2017 The Authors. Biofuels, Bioproducts and Biorefining published by Society of Chemical Industry and John Wiley &amp; Sons, Ltd.","author":[{"dropping-particle":"","family":"Broeren","given":"Martijn L.M.","non-dropping-particle":"","parse-names":false,"suffix":""},{"dropping-particle":"","family":"Zijp","given":"Michiel C.","non-dropping-particle":"","parse-names":false,"suffix":""},{"dropping-particle":"","family":"Waaijers‐van der Loop","given":"Susanne L.","non-dropping-particle":"","parse-names":false,"suffix":""},{"dropping-particle":"","family":"Heugens","given":"Evelyn H.W.","non-dropping-particle":"","parse-names":false,"suffix":""},{"dropping-particle":"","family":"Posthuma","given":"Leo","non-dropping-particle":"","parse-names":false,"suffix":""},{"dropping-particle":"","family":"Worrell","given":"Ernst","non-dropping-particle":"","parse-names":false,"suffix":""},{"dropping-particle":"","family":"Shen","given":"Li","non-dropping-particle":"","parse-names":false,"suffix":""}],"container-title":"Biofuels, Bioproducts and Biorefining","id":"ITEM-40","issue":"4","issued":{"date-parts":[["2017","7","9"]]},"page":"701-718","publisher":"John Wiley and Sons Ltd","title":"Environmental assessment of bio‐based chemicals in early‐stage development: a review of methods and indicators","type":"article-journal","volume":"11"},"uris":["http://www.mendeley.com/documents/?uuid=15136533-e599-3cc9-a219-7e63637bd551"]},{"id":"ITEM-41","itemData":{"DOI":"10.1016/j.jclepro.2017.10.226","ISSN":"09596526","abstract":"Life cycle assessment (LCA) studies of lab-scale processes come with certain limitations as they are not reflecting e.g. higher efficiencies of large-scale production. To address this, we developed in an earlier manuscript a scale-up framework for chemical processes which is applied in this paper here. Following the framework's five-step procedure on the case of a new nanocellulose production pathway, a scaled-up LCA study for a future production of nanocellulose is performed. The comparison of these LCA results with competing and already commercially produced materials as well as with the lab-scale process demonstrates the usefulness of the whole scale-up procedure. The example shows that the environmental impact per kg of produced nanocellulose yarn can be lowered by a factor of up to 6.5 compared to the laboratory production, reflecting a projected impact that is closer to the values of an actual production plant in case the material will be commercialized. Our results got also better comparable to those of competing materials, showing values that are up to three times smaller than for carbon fibers. Looking into the process, the chosen example of nanocellulose shows a considerable change concerning the relative contributions of the various process steps. While in the lab scale, the enzymatic treatment step – which involved heating for an extended period – was the dominant contributor, this step proved to be negligible in terms of environmental impact at industrial-scale production given that a more efficient and well-insulated reactor is used. The identification of such changes is a major added value of the applied scale-up framework which cannot be achieved with scale-up procedures using a simple, global scaling factor. One of the main purposes of the whole scale-up at such an early stage is to give improvement recommendations. The framework can be considered as being an effective support for eco-design purposes, helping in identifying hotspots for process improvements. It gives a better understanding of the process and shows the practical scalability of the various steps. Overall, it can assist in steering the research of new chemicals and materials more towards an industrial application.","author":[{"dropping-particle":"","family":"Piccinno","given":"Fabiano","non-dropping-particle":"","parse-names":false,"suffix":""},{"dropping-particle":"","family":"Hischier","given":"Roland","non-dropping-particle":"","parse-names":false,"suffix":""},{"dropping-particle":"","family":"Seeger","given":"Stefan","non-dropping-particle":"","parse-names":false,"suffix":""},{"dropping-particle":"","family":"Som","given":"Claudia","non-dropping-particle":"","parse-names":false,"suffix":""}],"container-title":"Journal of Cleaner Production","id":"ITEM-41","issued":{"date-parts":[["2018","1","20"]]},"page":"283-295","publisher":"Elsevier Ltd","title":"Predicting the environmental impact of a future nanocellulose production at industrial scale: Application of the life cycle assessment scale-up framework","type":"article-journal","volume":"174"},"uris":["http://www.mendeley.com/documents/?uuid=8d08a481-93a4-3b8e-ad1c-ac311d043616"]},{"id":"ITEM-42","itemData":{"DOI":"10.1016/J.JCLEPRO.2017.12.243","ISSN":"0959-6526","abstract":"The evaluation of environmental credentials for innovative products within the research and design phase of development presents a valuable yet challenging exploit. The research presented here aims to carry out the early-stage environmental assessment of a novel nano material – cellulose nanocrystals (CNC) foam by applying ex-ante life cycle assessment (LCA) supplemented by an environmental, health and safety (EHS) screening. LCA is applied to assess the cradle-to-factory gate environmental impacts along the R&amp;D trajectory from the laboratory synthesis, conceptual design, bench-scale trial to the up-scaled process design. Non-renewable energy use (NREU), greenhouse gas (GHG) emissions and agricultural land occupation (ALO) are the three indicators analysed. The early-stage EHS screening provides a supplementary assessment since the toxicity information is usually missing in the ex-ante LCAs due to lack of information. The EHS screening was conducted in two steps: 1) the (eco)toxicological effects of CNC are analysed by applying in vivo zebrafish assays; and 2)A so-called “block list” scan is performed where all substances used in the production of CNC foam are scanned against valid regulations. The LCA results demonstrate that technology upscaling leads to a steady environmental impact reduction. It is observed that for per kg studied CNC foam, both NREU and GHG emissions were reduced by a factor of 10 along the R&amp;D trajectory from lab scale to upgraded process design, as a result of the design improvements associated with energy-intensive processes and process energy optimisation. Along the studied R&amp;D trajectory the potential ALO was decreased by 83% primarily due to a more efficient recycling of ethanol. The block list scan did not yield highly concerned substances in the manufacturing process. The in vivo zebrafish assay provided valuable insight into the ecotoxicological effects of CNC pointing towards the need for a more rigorous assessment.","author":[{"dropping-particle":"","family":"Tan","given":"Lianghui","non-dropping-particle":"","parse-names":false,"suffix":""},{"dropping-particle":"","family":"Mandley","given":"Steven J.","non-dropping-particle":"","parse-names":false,"suffix":""},{"dropping-particle":"","family":"Peijnenburg","given":"Willie","non-dropping-particle":"","parse-names":false,"suffix":""},{"dropping-particle":"","family":"Waaijers-van der Loop","given":"Susanne L.","non-dropping-particle":"","parse-names":false,"suffix":""},{"dropping-particle":"","family":"Giesen","given":"Daniel","non-dropping-particle":"","parse-names":false,"suffix":""},{"dropping-particle":"","family":"Legradi","given":"Jessica B.","non-dropping-particle":"","parse-names":false,"suffix":""},{"dropping-particle":"","family":"Shen","given":"Li","non-dropping-particle":"","parse-names":false,"suffix":""}],"container-title":"Journal of Cleaner Production","id":"ITEM-42","issued":{"date-parts":[["2018","3","20"]]},"page":"494-506","publisher":"Elsevier","title":"Combining ex-ante LCA and EHS screening to assist green design: A case study of cellulose nanocrystal foam","type":"article-journal","volume":"178"},"uris":["http://www.mendeley.com/documents/?uuid=4e117431-426e-3ca2-97fa-7041b08c46d5"]},{"id":"ITEM-43","itemData":{"DOI":"10.1007/S11367-011-0263-0/FIGURES/9","ISSN":"09483349","abstract":"Background, aim and scope: Lubricants are used in numerous applications in our society, for instance, as hydraulic fluids. When used in forestry, 60-80% of these hydraulic fluids are released into the environment. This is one of the reasons for the growing interest for developing and utilizing hydraulic fluids with good environmental performance. Another driving force in the development of hydraulic fluids is to replace fossil products with renewable ones. The aim of this paper is to investigate the environmental impact of two types of hydraulic fluids, one based on mineral oil and one on vegetable oil. The difference in environmental impact of using chemical or biocatalytic production methods is also assessed. Materials and methods: This life cycle assessment is from cradle-to-gate, including waste treatment. A complementary, laboratory, biodegradability test was also performed. The functional unit is 1 l of base fluid for hydraulic fluids, and mass allocation is applied. A sensitivity analysis is performed to assess the impact of the energy used and of the allocation method. The impact categories studied are primary energy consumption, global warming potential (GWP), eutrophication potential (EP), acidification potential (AP), photooxidant creation potential (POCP) and biodegradability. Results and discussion: The contribution to GWP and primary energy consumption was higher for the mineral oil-based hydraulic fluid than the vegetable oil-based hydraulic fluids. The contributions to EP and AP were higher for the vegetable oil-based hydraulic fluid than the mineral oil-based one. The vegetable oil-based hydraulic fluid had better biodegradability than the one based on mineral oil. The impact of production method was minor, thus the biocatalytic method gives no significant advantage over chemical methods concerning energy and environmental performance. Conclusions: For the environmental impact categories GWP, POCP and primary energy consumption, hydraulic fluids based on rapeseed oil make a lower contribution than a mineral oil-based hydraulic fluid. For EP and AP, the contributions of TMP oleate are higher than the contribution of mineral oil-based hydraulic fluid. The difference between the chemically catalysed method and the ezymatically catalysed method is negligible because the major environmental impact is due to the production of the raw materials. The vegetable oil-based hydraulic fluid, TMP oleate, was more biodegradable than the mineral oil-ba…","author":[{"dropping-particle":"","family":"Ekman","given":"Anna","non-dropping-particle":"","parse-names":false,"suffix":""},{"dropping-particle":"","family":"Börjesson","given":"Pal","non-dropping-particle":"","parse-names":false,"suffix":""}],"container-title":"International Journal of Life Cycle Assessment","id":"ITEM-43","issue":"4","issued":{"date-parts":[["2011","5","25"]]},"page":"297-305","publisher":"Springer","title":"Life cycle assessment of mineral oil-based and vegetable oil-based hydraulic fluids including comparison of biocatalytic and conventional production methods","type":"article-journal","volume":"16"},"uris":["http://www.mendeley.com/documents/?uuid=5e35249c-7f1c-379b-b647-5a43a3efae01"]},{"id":"ITEM-44","itemData":{"DOI":"10.1039/c7gc03189k","ISSN":"14639270","abstract":"Production of alkyl polyglycosides (APGs) from mechanocatalytic depolymerization of wheat straw is a promising route because of the use of an available bio-based feedstock. This study aims to verify the environmental benefit of this process in comparison with a reference process that produces APGs from corn starch based glucose. A life cycle assessment methodology is used to compare both production routes. The results have shown that the new production route based on wheat straw generates lower environmental impacts compared to the reference process because of the use of wheat straw instead of corn starch based glucose and the energy recovery from the by-product lignin that meets most of the energy demand of the process. The LCA results also show that the production of fatty alcohol dominates the life cycle impact of APGs. Environmental impacts are sensitive to the source of the fatty alcohol (from palm kernel or coconut oil).","author":[{"dropping-particle":"","family":"Brière","given":"Raphaël","non-dropping-particle":"","parse-names":false,"suffix":""},{"dropping-particle":"","family":"Loubet","given":"Philippe","non-dropping-particle":"","parse-names":false,"suffix":""},{"dropping-particle":"","family":"Glogic","given":"Edis","non-dropping-particle":"","parse-names":false,"suffix":""},{"dropping-particle":"","family":"Estrine","given":"Boris","non-dropping-particle":"","parse-names":false,"suffix":""},{"dropping-particle":"","family":"Marinkovic","given":"Sinisa","non-dropping-particle":"","parse-names":false,"suffix":""},{"dropping-particle":"","family":"Jérôme","given":"François","non-dropping-particle":"","parse-names":false,"suffix":""},{"dropping-particle":"","family":"Sonnemann","given":"Guido","non-dropping-particle":"","parse-names":false,"suffix":""}],"container-title":"Green Chemistry","id":"ITEM-44","issue":"9","issued":{"date-parts":[["2018","5","8"]]},"page":"2135-2141","publisher":"Royal Society of Chemistry","title":"Life cycle assessment of the production of surface-active alkyl polyglycosides from acid-assisted ball-milled wheat straw compared to the conventional production based on corn-starch","type":"article-journal","volume":"20"},"uris":["http://www.mendeley.com/documents/?uuid=128fd6ad-e201-3286-8cc3-704688fe27fa"]},{"id":"ITEM-45","itemData":{"DOI":"10.1016/j.jclepro.2018.04.209","ISSN":"09596526","abstract":"An important recent trend in the paints and coatings industry has been the use of bio-based alternatives to fossil-based building blocks in many applications. This trend is being driven in part by cleaner production and sustainability goals. As bio-based ingredients have been widely shown to present environmental trade-offs along their life cycle, new formulations should ideally be assessed for environmental preference before entering into full-scale production. In this paper, a bio-renewable content (BRC) formulation for wood flooring coating is analyzed using a life cycle assessment (LCA) framework and quantitatively compared to a conventional petrochemical formulation of similar performance across a range of impact categories. This BRC formulation has 50% bio-based ingredients and zero-to-low VOC emissions and was developed by PPG Industries, Inc. The scope of the analysis is cradle-to-gate and includes biomass cultivation and crude oil extraction and refining for renewable and non-renewable chemical inputs, formulation, transport, and application of 1 m2 of each coating, followed by UV-curing. Comparative results show more than 30% reduction in six out of ten impact categories, using the USEPA TRACI 2.1 impact assessment method, with smog formation, acidification, eutrophication and respiratory effects showing increases in environmental impacts, largely due to burdens from bio-based components. Bisphenol A–epichlorohydrin resin and corn-derived itaconic acid are the most impactful chemicals in the composition of conventional and bio-renewable wood flooring coatings, respectively. Energy use from UV-curing does not appreciably contribute to impacts. The contribution of various building blocks to environmental impacts of both coatings are presented in detail, potentially guiding further formulation research and development. Modifying the BRC formulation to use corn stover instead of corn grain for synthesis of sugar-derived chemicals would improve the environmental profile of the BRC formulation, leading to reductions in all impact categories. The results underscore that meeting targets for bio-based content can have multiple secondary benefits to the environment and human health, but these depend on the particular biofeedstock and conversion processes as well as on the petrochemical components that are being replaced.","author":[{"dropping-particle":"","family":"Montazeri","given":"Mahdokht","non-dropping-particle":"","parse-names":false,"suffix":""},{"dropping-particle":"","family":"Eckelman","given":"Matthew J.","non-dropping-particle":"","parse-names":false,"suffix":""}],"container-title":"Journal of Cleaner Production","id":"ITEM-45","issued":{"date-parts":[["2018","8","10"]]},"page":"932-939","publisher":"Elsevier Ltd","title":"Life cycle assessment of UV-Curable bio-based wood flooring coatings","type":"article-journal","volume":"192"},"uris":["http://www.mendeley.com/documents/?uuid=b8266a40-95dc-3e69-9698-8df1603f3aca"]},{"id":"ITEM-46","itemData":{"DOI":"10.1002/BBB.1734","ISSN":"19321031","abstract":"Co-production of high-value chemicals with biofuels could improve the economic viability of biorefineries while reducing biofuel life-cycle greenhouse gas (GHG) emissions and fossil energy consumption (FEC). Polymer-grade lactic acid (PGLA) is a high-potential bioproduct currently produced from first-generation feedstocks. Opportunity exists to enhance its environmental performance using cellulosic feedstocks. Moreover, ethyl lactate can be used as a functional replacement for high-volume, energy-intensive, and emissions-intensive petroleum-derived chemicals such as N-methyl-2-pyrrolidone and ethyl acetate. Based on material and energy flows from Aspen Plus process models that we incorporated into the Greenhouse gases, Regulated Emissions, and Energy use in Transportation (GREET) model's bioproducts module, we developed life-cycle GHG emissions and FEC estimates for ethyl lactate and PGLA produced from corn stover. We compared these results to those for fossil-fuel-derived counterparts, identified key LCA drivers, and explored the impact of end-of-life assumptions on LCA results. Irrespective of the end-of-life assumption, all the bioproducts demonstrated lower life-cycle FEC (10–72%) and GHG emissions (23–90%) than fossil-derived compounds for which they could serve as a functional replacement. Additionally, we reviewed the role of LCA in three major bioproduct sustainability certification schemes (the BioPreferred Program, the Roundtable on Sustainable Biomaterials, and International Sustainability and Carbon Certification Plus). None mandate an LCA of the bioproduct to assess whether, across the supply chain, these products offer environmental benefits as compared to conventional chemicals they could displace either directly or functionally. © 2016 Society of Chemical Industry and John Wiley &amp; Sons, Ltd.","author":[{"dropping-particle":"","family":"Adom","given":"Felix K.","non-dropping-particle":"","parse-names":false,"suffix":""},{"dropping-particle":"","family":"Dunn","given":"Jennifer B.","non-dropping-particle":"","parse-names":false,"suffix":""}],"container-title":"Biofuels, Bioproducts and Biorefining","id":"ITEM-46","issue":"2","issued":{"date-parts":[["2017","3","1"]]},"page":"258-268","publisher":"John Wiley and Sons Ltd","title":"Life cycle analysis of corn-stover-derived polymer-grade l-lactic acid and ethyl lactate: greenhouse gas emissions and fossil energy consumption","type":"article-journal","volume":"11"},"uris":["http://www.mendeley.com/documents/?uuid=859eb1e6-289b-3ee7-8f81-23245f97002e"]},{"id":"ITEM-47","itemData":{"DOI":"10.1016/J.JCLEPRO.2017.06.190","ISSN":"0959-6526","abstract":"Polyurethane (PU) coatings are used in many industrial applications, like in the furniture and automotive sectors. The main objective of the present work is the re-design of polyester binder for PU coatings using a selection of monomers derived from biorefinery. A preliminary comparative evaluation of technological performances of the corresponding PU coatings is presented, showing that the introduction of biobased monomers generally leads to softer materials but it doesn't affect significantly other physical properties like wettability, adhesion and hydrolytic stability. Afterwards, the total impact of greenhouse gas emissions (GHG) and the total non-renewable energy use (NREU) are evaluated by a Life Cycle Assessment (LCA) study, following a cradle-to-factory gate approach. The ecoprofile of bio-based polyester binder is compared with other two fossil-based conventional polyesters. The results suggest that the use of bio-based monomers allows a significant reduction of the total GHG emissions of around 75% less and a reduction of around 35% less of the total NREU.","author":[{"dropping-particle":"","family":"Garcia Gonzalez","given":"Maria Nelly","non-dropping-particle":"","parse-names":false,"suffix":""},{"dropping-particle":"","family":"Levi","given":"Marinella","non-dropping-particle":"","parse-names":false,"suffix":""},{"dropping-particle":"","family":"Turri","given":"Stefano","non-dropping-particle":"","parse-names":false,"suffix":""}],"container-title":"Journal of Cleaner Production","id":"ITEM-47","issued":{"date-parts":[["2017","10","15"]]},"page":"171-178","publisher":"Elsevier","title":"Development of polyester binders for the production of sustainable polyurethane coatings: Technological characterization and life cycle assessment","type":"article-journal","volume":"164"},"uris":["http://www.mendeley.com/documents/?uuid=e03586eb-c3d8-3085-a917-027579f2a719"]},{"id":"ITEM-48","itemData":{"DOI":"10.1016/j.jclepro.2017.08.179","ISSN":"09596526","abstract":"Polyethylene (PE) and polypropylene (PP) can be synthesized from biomass through dehydration, dimerization, and metathesis reactions from ethanol or methanol-to-olefin reaction of synthesis gas. This paper examines the socioeconomic aspects of such biomass-derived resin production, which are composed of environmental impacts quantified by life cycle analysis (LCA) and the structure of generated value flows specified by structural path analysis (SPA) based on a Japanese input–output table. Missing inventory data were estimated by process simulation using Aspen Plus™ and Aspen HYSYS™ with design information extracted from the literature, patents, and design heuristics. LCA based on actual and demonstration plants with process simulation shows the environmental advantage of biomass-derived resins on greenhouse gas (GHG) emissions reduction. PE production has the largest effect on GHG emissions reduction, followed by bioethanol from a gasoline mixture, and PP. The uncertainties in agricultural processes also influence the potential application of international and domestic bioethanol production and synthesis gas obtained from the gasification of waste woods. According to SPA results for gasoline, PE, PP, and plastic products, the cyclicality of resins and plastic products, which was quantitatively analyzed as the total cyclic cash flows from target products to final demands, is much larger than that of gasoline. Based on these results, biomass-derived resin production has the potential to increase added values in an economy, with a corresponding decrease in GHG emissions.","author":[{"dropping-particle":"","family":"Kikuchi","given":"Yasunori","non-dropping-particle":"","parse-names":false,"suffix":""},{"dropping-particle":"","family":"Oshita","given":"Yuko","non-dropping-particle":"","parse-names":false,"suffix":""},{"dropping-particle":"","family":"Mayumi","given":"Kazuya","non-dropping-particle":"","parse-names":false,"suffix":""},{"dropping-particle":"","family":"Hirao","given":"Masahiko","non-dropping-particle":"","parse-names":false,"suffix":""}],"container-title":"Journal of Cleaner Production","id":"ITEM-48","issued":{"date-parts":[["2017","11","20"]]},"page":"289-305","publisher":"Elsevier Ltd","title":"Greenhouse gas emissions and socioeconomic effects of biomass-derived products based on structural path and life cycle analyses: A case study of polyethylene and polypropylene in Japan","type":"article-journal","volume":"167"},"uris":["http://www.mendeley.com/documents/?uuid=c7745d86-dcfd-3443-9b38-949849b9657d"]},{"id":"ITEM-49","itemData":{"DOI":"10.1016/J.JCLEPRO.2016.12.147","ISSN":"0959-6526","abstract":"Consumer markets have questioned the use of plastics in packaging because of their environmental impact, and alternative, bio-based films are being developed for this purpose. This study employs Life Cycle Assessment to analyze the environmental and energy performances of producing cassava starch-based film made from casting in Brazil. Results indicate that impacts are mainly caused by the cassava crops, the film manufacture, and the fossil glycerin and ethanol additives used. Resource efficiency and cleaner production measures were devised to reduce the environmental and energy impacts of the product. In terms of energy, an arrangement using both renewable glycerin and biofilm made by extrusion combining cassava starch and polyethylene was shown to be an adequate option to reduce impact. The use of sugarcane ethanol led to an increase in impact for most of the analyzed categories. On the other hand, if the carbon balance considers both carbon dioxide sequestration and biogenic carbon dioxide emissions, the use of renewable alcohol leads to lower impact in Climate Changes. This systemic analysis also allowed for the identification of trade-offs in terms of environmental impacts when considering cultivating and processing cassava in other sites.","author":[{"dropping-particle":"","family":"Léis","given":"Cristiane Maria","non-dropping-particle":"de","parse-names":false,"suffix":""},{"dropping-particle":"","family":"Nogueira","given":"Alex Rodrigues","non-dropping-particle":"","parse-names":false,"suffix":""},{"dropping-particle":"","family":"Kulay","given":"Luiz","non-dropping-particle":"","parse-names":false,"suffix":""},{"dropping-particle":"","family":"Tadini","given":"Carmen Cecília","non-dropping-particle":"","parse-names":false,"suffix":""}],"container-title":"Journal of Cleaner Production","id":"ITEM-49","issued":{"date-parts":[["2017","2","1"]]},"page":"76-89","publisher":"Elsevier","title":"Environmental and energy analysis of biopolymer film based on cassava starch in Brazil","type":"article-journal","volume":"143"},"uris":["http://www.mendeley.com/documents/?uuid=bdb969e0-bb09-3f85-aa11-393501766f74"]},{"id":"ITEM-50","itemData":{"DOI":"10.1007/S10924-017-1085-3/FIGURES/12","ISSN":"15662543","abstract":"Life cycle analysis (LCA) of limonene plasticized poly(lactic acid) (PLA) films containing cellulose nanocrystals (CNC) extracted, by acid hydrolysis, from Phormium tenax leaf fibres, was assessed and compared with the results of acetyl tributyl citrate (ATBC) plasticized PLA films, having equivalent mechanical properties, containing organo-modified montmorillonite (OMMT). Eco-Indicator 99 tool has been adopted as the main method for life cycle assessment. Results indicated that, despite CNC are biobased fillers obtained by natural sources, the related chemical extraction leads to a large environmental footprint and a relatively relevant energy expense. LCA characterization of these films demonstrated that the environmental impact of PLA/limonene film reinforced with 1% in weight of CNC (PLA/CNC/limonene) is comparable to the environmental impact of polylactic acid films reinforced with OMMT and plasticized with a petroleum based plasticizer (ATBC) (PLA/OMTT/ATBC). A “cradle to gate” approach has been considered for both the film typologies.","author":[{"dropping-particle":"","family":"Petrucci","given":"R.","non-dropping-particle":"","parse-names":false,"suffix":""},{"dropping-particle":"","family":"Fortunati","given":"E.","non-dropping-particle":"","parse-names":false,"suffix":""},{"dropping-particle":"","family":"Puglia","given":"D.","non-dropping-particle":"","parse-names":false,"suffix":""},{"dropping-particle":"","family":"Luzi","given":"F.","non-dropping-particle":"","parse-names":false,"suffix":""},{"dropping-particle":"","family":"Kenny","given":"J. M.","non-dropping-particle":"","parse-names":false,"suffix":""},{"dropping-particle":"","family":"Torre","given":"L.","non-dropping-particle":"","parse-names":false,"suffix":""}],"container-title":"Journal of Polymers and the Environment","id":"ITEM-50","issue":"5","issued":{"date-parts":[["2018","5","1"]]},"page":"1891-1902","publisher":"Springer New York LLC","title":"Life Cycle Analysis of Extruded Films Based on Poly(lactic acid)/Cellulose Nanocrystal/Limonene: A Comparative Study with ATBC Plasticized PLA/OMMT Systems","type":"article-journal","volume":"26"},"uris":["http://www.mendeley.com/documents/?uuid=402278c8-1fe9-37cc-9ba5-02238f421e3c"]},{"id":"ITEM-51","itemData":{"DOI":"10.1016/J.SPC.2018.03.001","ISSN":"2352-5509","abstract":"Biomass is a promising feedstock for the production of sustainable biopolymers, which could offer a significant reduction of the adverse environmental impacts associated with conventional petroleum-based polymers. To further evaluate their potential, this study investigated the environmental impacts associated with the production of the newly proposed biopolymer polylimonene carbonate. Different feedstocks (citrus waste and microalgae) were selected and a conceptual process design from limonene oxidation to polymer synthesis was completed. Using life cycle assessment, the potential for energy integration and the contributions of individual process sections on the overall process environmental impacts were thoroughly analysed. The results showed, that sustainable polylimonene carbonate synthesis was limited by the use of tert-butyl hydroperoxide as the limonene oxidation agent and consequently, a more environmentally-friendly and energy-efficient limonene oxidation method should be developed. Based on the economic analysis, the polymer cost was estimated to range from $1.36 to $1.51 kg−1, comparable to the costs of petrol-based polystyrene ($1.2 to $1.6 kg−1). Moreover, this study found that both feedstock selection and the biowaste treatment method have significant effects on the process environmental impacts, and a carbon negative process was achieved when applying the waste biomass for electricity generation. Therefore, it was concluded that future process designs should combine polymer production with the co-generation of energy from waste biomass.","author":[{"dropping-particle":"","family":"Zhang","given":"Dongda","non-dropping-particle":"","parse-names":false,"suffix":""},{"dropping-particle":"","family":"Rio-Chanona","given":"Ehecatl Antonio","non-dropping-particle":"del","parse-names":false,"suffix":""},{"dropping-particle":"","family":"Wagner","given":"Jonathan L.","non-dropping-particle":"","parse-names":false,"suffix":""},{"dropping-particle":"","family":"Shah","given":"Nilay","non-dropping-particle":"","parse-names":false,"suffix":""}],"container-title":"Sustainable Production and Consumption","id":"ITEM-51","issued":{"date-parts":[["2018","4","1"]]},"page":"152-160","publisher":"Elsevier","title":"Life cycle assessments of bio-based sustainable polylimonene carbonate production processes","type":"article-journal","volume":"14"},"uris":["http://www.mendeley.com/documents/?uuid=94944ddd-1884-3738-b9b6-e17fdd63ec9b"]},{"id":"ITEM-52","itemData":{"DOI":"10.1007/S10924-018-1234-3/FIGURES/5","ISSN":"15662543","abstract":"Abstract: This work presents a new polyester binder based on 2,5-furandicarboxylic acid (FDCA) as precursors of polyurethane (PU) coatings. The new 100% bio-based structure is composed of four different monomers such as glycerine (Gly), 1,3-propanediol (1,3-PD), 2,5-furandicarboxylic acid (FDCA) and succinic acid (SA). The corresponding PU coating was obtained by crosslinking with a conventional polyisocyanate (Vestanat 1890/100). Evaluation of technological performances is present and benchmarked against partially bio-based (75% renewable carbon) polyester binder and fossil-based polyester binder, already developed in one of our previous work. The study showed a stiffer PU coating and a more hydrophilic character leading to better adhesion where a possible potential application may be interesting as an intermediate layer/primer in the field of metal coating (coil coating, automotive). Afterwards, the evaluation of the total impact of greenhouse gas emissions (GHG), the total non-renewable energy use (NREU) by the Life Cycle Assessment (LCA) for the new polyester binder are included on a cradle-to-gate approach, and considering an FDCA production process starting from sugar beet (primary data). The results showed a very noteworthy reduction in terms of GHG emissions (− 36 and − 79%) and a noticeable reduction impact in terms of NREU (− 38 and − 60%) compared to 75% bio-based and fossil-based polyester binders respectively. Moreover, a sensitivity analysis regarding sugar production from beet cultivation was developed through different LCA calculation methodologies. Those methodologies showed a not very significant difference between them. Graphical Abstract: [Figure not available: see fulltext.].","author":[{"dropping-particle":"","family":"García González","given":"María Nelly","non-dropping-particle":"","parse-names":false,"suffix":""},{"dropping-particle":"","family":"Börjesson","given":"Pål","non-dropping-particle":"","parse-names":false,"suffix":""},{"dropping-particle":"","family":"Levi","given":"Marinella","non-dropping-particle":"","parse-names":false,"suffix":""},{"dropping-particle":"","family":"Turri","given":"Stefano","non-dropping-particle":"","parse-names":false,"suffix":""}],"container-title":"Journal of Polymers and the Environment","id":"ITEM-52","issue":"9","issued":{"date-parts":[["2018","9","1"]]},"page":"3626-3637","publisher":"Springer New York LLC","title":"Development and Life Cycle Assessment of Polyester Binders Containing 2,5-Furandicarboxylic Acid and Their Polyurethane Coatings","type":"article-journal","volume":"26"},"uris":["http://www.mendeley.com/documents/?uuid=93a2766c-0b5f-3b31-88f4-47ad32a18e03"]},{"id":"ITEM-53","itemData":{"DOI":"10.1016/J.JCLEPRO.2016.11.152","ISSN":"0959-6526","abstract":"Currently, bio-based plastics are considered the most promising and environmentally friendly alternative to replace petroleum-based plastics to reduce their environmental impacts. The aim of this research work is to assess and compare the life cycle impact of three types of bio-based boxes (namely, polylactic acid from sugarcane, polylactic acid from sugarcane-starch blends and polybutylene succinate from sugarcane and corn) and petroleum-based boxes of polystyrene. The locations of the plantation stage are focused in 4 provinces, namely, Kanchanaburi, Sakaeo, Prachinburi, and Chonburi provinces, in Thailand. The total impact using the external environmental cost (unit: THB equivalent) is performed at two impact categories: carbon footprint and fresh water consumption. The results from this study indicate that polybutylene succinate reveals the lowest water footprint at 0.38 m3 H2O of all the bio-based boxes and presents the second lowest water deprivation at 0.008 m3 H2O equivalent and the lowest carbon footprint at −0.06 kg CO2 equivalent. The lowest water footprints for all bio-based boxes production chains are found in Kanchanaburi and Chonburi provinces because the highest sugarcane and corn yield were observed, respectively, whereas, the minimum of water deprivation for all bio-based boxes production chains are clearly observed in Sakaeo province because of the lowest amount of chemicals used during plantation stage. The total impact on carbon footprint decreased by 26–69% for the production of bio-based boxes because CO2 absorption from the photosynthetic reactions during the plantation stages were included. In conclusion, for bio-based boxes, the polybutylene succinate box showed the lowest total externality cost of 0.046 THB equivalent on production chain in Sakaeo province. This externality accounts for 64–74% of total cost for freshwater consumption but only accounts for 26–36% of total cost for carbon footprint. These results are beneficial to supporting the development for establishing bio-plastics industry in aspects of water used and carbon footprint. Therefore, the effective strategies for preparing a sufficient supply of irrigation system or efficient water management and appropriate performance from agrochemicals used for supporting the feedstocks production to bio-plastics industry production chains should be proposed.","author":[{"dropping-particle":"","family":"Cheroennet","given":"Nitchanan","non-dropping-particle":"","parse-names":false,"suffix":""},{"dropping-particle":"","family":"Pongpinyopap","given":"Shinatiphkorn","non-dropping-particle":"","parse-names":false,"suffix":""},{"dropping-particle":"","family":"Leejarkpai","given":"Thanawadee","non-dropping-particle":"","parse-names":false,"suffix":""},{"dropping-particle":"","family":"Suwanmanee","given":"Unchalee","non-dropping-particle":"","parse-names":false,"suffix":""}],"container-title":"Journal of Cleaner Production","id":"ITEM-53","issued":{"date-parts":[["2017","11","20"]]},"page":"987-1001","publisher":"Elsevier","title":"A trade-off between carbon and water impacts in bio-based box production chains in Thailand: A case study of PS, PLAS, PLAS/starch, and PBS","type":"article-journal","volume":"167"},"uris":["http://www.mendeley.com/documents/?uuid=4a71ce3f-f01b-3c65-8e84-35b6a84b9ab4"]},{"id":"ITEM-54","itemData":{"DOI":"10.1002/bbb.1849","ISSN":"1932104X","abstract":"Bio-based and bio-degradable plastics such as polybutylene succinate (PBS) have the potential to become sustainable alternatives to petrochemical-based plastics. Polybutylene succinate can be produced from bio-based succinic acid and 1,4-butanediol using first-generation (1G) or second-generation (2G) sugars. A cradle-to-grave environmental assessment was performed for PBS products in Europe to investigate the non-renewable energy use (NREU) and greenhouse gas (GHG) impacts. The products investigated are single-use trays and agricultural film, with incineration, industrial composting and degradation on agricultural land as end-of-life scenarios. Both end products manufactured from fully bio-based PBS and from partly bio-based PBS (made from bio-based succinic acid and fossil fuel-based 1,4 butanediol) were analysed. We examine corn (1G) as well as corn stover, wheat straw, miscanthus and hardwood as 2G feedstocks. For the cradle-to-grave system, 1G fully bio-based PBS plastic products were found to have environmental impacts comparable with their petrochemical incumbents, while 2G fully bio-based PBS plastic products allow to reduce NREU and GHG by around one third under the condition of avoidance of concentration of sugars and energy integration of the pretreatment process with monomer production. Without energy integration and with concentration of sugars (i.e., separate production), the impacts of 2G fully bio-based PBS products are approximately 15–20% lower than those of 1G fully bio-based PBS products. The environmental analysis of PBS products supports the value proposition related to PBS products while also pointing out areas requiring further research and development. © 2018 Society of Chemical Industry and John Wiley &amp; Sons, Ltd.","author":[{"dropping-particle":"","family":"Patel","given":"Martin K.","non-dropping-particle":"","parse-names":false,"suffix":""},{"dropping-particle":"","family":"Bechu","given":"Aude","non-dropping-particle":"","parse-names":false,"suffix":""},{"dropping-particle":"","family":"Villegas","given":"Juan David","non-dropping-particle":"","parse-names":false,"suffix":""},{"dropping-particle":"","family":"Bergez-Lacoste","given":"Manon","non-dropping-particle":"","parse-names":false,"suffix":""},{"dropping-particle":"","family":"Yeung","given":"Kenny","non-dropping-particle":"","parse-names":false,"suffix":""},{"dropping-particle":"","family":"Murphy","given":"Richard","non-dropping-particle":"","parse-names":false,"suffix":""},{"dropping-particle":"","family":"Woods","given":"Jeremy","non-dropping-particle":"","parse-names":false,"suffix":""},{"dropping-particle":"","family":"Mwabonje","given":"Onesmus N.","non-dropping-particle":"","parse-names":false,"suffix":""},{"dropping-particle":"","family":"Ni","given":"Yuanzhi","non-dropping-particle":"","parse-names":false,"suffix":""},{"dropping-particle":"","family":"Patel","given":"Akshay D.","non-dropping-particle":"","parse-names":false,"suffix":""},{"dropping-particle":"","family":"Gallagher","given":"Joe","non-dropping-particle":"","parse-names":false,"suffix":""},{"dropping-particle":"","family":"Bryant","given":"David","non-dropping-particle":"","parse-names":false,"suffix":""}],"container-title":"Biofuels, Bioproducts and Biorefining","id":"ITEM-54","issue":"3","issued":{"date-parts":[["2018","5","1"]]},"page":"426-441","publisher":"John Wiley and Sons Ltd","title":"Second-generation bio-based plastics are becoming a reality - Non-renewable energy and greenhouse gas (GHG) balance of succinic acid-based plastic end products made from lignocellulosic biomass","type":"article-journal","volume":"12"},"uris":["http://www.mendeley.com/documents/?uuid=e35a525c-c702-30d2-bbee-533759acf722"]},{"id":"ITEM-55","itemData":{"DOI":"10.1039/C9GC03055G","ISSN":"1463-9270","abstract":"There is currently an intensive development of sugar-based building blocks toward the production of renewable high-performance plastics. In this context, we report on the synthesis of a rigid diol with a spirocyclic structure via a one-step acid-catalyzed acetalation of fructose-sourced 5-hydroxymethylfurfural and pentaerythritol. Preliminary life cycle assessment (LCA) indicated that the spiro-diol produced 46% less CO2 emission than bio-based 1,3-propanediol. Polymerizations of the spiro-diol together with another sugar-based flexible 1,6-hexanediol for the production of polyesters and poly(urethane-urea)s were investigated, and reasonably high molecular weights were achieved when up to 20 and 60 mol% spiro-diol was used for polyesters and poly(urethane-urea)s, respectively. The glass transition temperatures (Tgs) of the polyesters and poly(urethane-urea)s significantly increased upon the incorporation of the rigid spirocyclic structure. On the other hand, it was observed that the spiro-diol was heat-sensitive, which could cause coloration and partial crosslinking when &gt;10% (with respect to dicarboxylate) was used for the polyester synthesis at high temperatures. The results indicated that the polymerization conditions have to be carefully controlled under these conditions. However, when the spiro-diol was used for the synthesis of polyurethanes at lower temperature, the side reactions were insignificant. This suggests that the new spiro-diol can be potentially suitable toward the production of sustainable rigid polyurethane materials like coatings or foams, as well as renewable polyesters after further optimization of the polymerization conditions.","author":[{"dropping-particle":"","family":"Warlin","given":"Niklas","non-dropping-particle":"","parse-names":false,"suffix":""},{"dropping-particle":"","family":"Garcia Gonzalez","given":"Maria Nelly","non-dropping-particle":"","parse-names":false,"suffix":""},{"dropping-particle":"","family":"Mankar","given":"Smita","non-dropping-particle":"","parse-names":false,"suffix":""},{"dropping-particle":"","family":"Valsange","given":"Nitin G.","non-dropping-particle":"","parse-names":false,"suffix":""},{"dropping-particle":"","family":"Sayed","given":"Mahmoud","non-dropping-particle":"","parse-names":false,"suffix":""},{"dropping-particle":"","family":"Pyo","given":"Sang Hyun","non-dropping-particle":"","parse-names":false,"suffix":""},{"dropping-particle":"","family":"Rehnberg","given":"Nicola","non-dropping-particle":"","parse-names":false,"suffix":""},{"dropping-particle":"","family":"Lundmark","given":"Stefan","non-dropping-particle":"","parse-names":false,"suffix":""},{"dropping-particle":"","family":"Hatti-Kaul","given":"Rajni","non-dropping-particle":"","parse-names":false,"suffix":""},{"dropping-particle":"","family":"Jannasch","given":"Patric","non-dropping-particle":"","parse-names":false,"suffix":""},{"dropping-particle":"","family":"Zhang","given":"Baozhong","non-dropping-particle":"","parse-names":false,"suffix":""}],"container-title":"Green Chemistry","id":"ITEM-55","issue":"24","issued":{"date-parts":[["2019","12","10"]]},"page":"6667-6684","publisher":"The Royal Society of Chemistry","title":"A rigid spirocyclic diol from fructose-based 5-hydroxymethylfurfural: synthesis, life-cycle assessment, and polymerization for renewable polyesters and poly(urethane-urea)s","type":"article-journal","volume":"21"},"uris":["http://www.mendeley.com/documents/?uuid=2791ebf8-138c-3baa-af4c-d2fedfd605ed"]},{"id":"ITEM-56","itemData":{"DOI":"10.1016/j.resconrec.2018.10.025","ISSN":"18790658","abstract":"There is a wide variability on the environmental analysis employing life cycle assessment (LCA) of bio-based polymers produced via fermentation especially in the case of poly(3-hydroxybutyrate) (PHB). The main aim of this study is the evaluation of greenhouse gas (GHG) emissions, non-renewable energy use (NREU), acidification potential (AP) and eutrophication potential (EP) of PHB production. These results have been compared with literature-cited studies and petroleum-derived counterparts. The results demonstrate that, apart from methodological issues and shortcomings inherent to the LCA methodology, various parameters (e.g. selection of raw materials, adopted allocation methodology) affect the variability observed in previous studies. It is also demonstrated that PHB production has definite and undisputed advantages over its petrochemical alternatives that are currently produced on a massive scale.","author":[{"dropping-particle":"","family":"Kookos","given":"Ioannis K.","non-dropping-particle":"","parse-names":false,"suffix":""},{"dropping-particle":"","family":"Koutinas","given":"Apostolis","non-dropping-particle":"","parse-names":false,"suffix":""},{"dropping-particle":"","family":"Vlysidis","given":"Anestis","non-dropping-particle":"","parse-names":false,"suffix":""}],"container-title":"Resources, Conservation and Recycling","id":"ITEM-56","issue":"October 2018","issued":{"date-parts":[["2019"]]},"note":"Bio-based polymer","page":"317-328","publisher":"Elsevier","title":"Life cycle assessment of bioprocessing schemes for poly(3-hydroxybutyrate) production using soybean oil and sucrose as carbon sources","type":"article-journal","volume":"141"},"uris":["http://www.mendeley.com/documents/?uuid=d4fe70cf-0190-4be2-9858-75fd98e1b036"]},{"id":"ITEM-57","itemData":{"DOI":"10.1021/ACSOMEGA.9B02025","ISSN":"24701343","abstract":"A methodological framework implementing laboratory activities and life cycle assessment is presented and applied to determine which parameters should be considered to develop biobased rigid polyure...","author":[{"dropping-particle":"","family":"Manzardo","given":"Alessandro","non-dropping-particle":"","parse-names":false,"suffix":""},{"dropping-particle":"","family":"Marson","given":"Alessandro","non-dropping-particle":"","parse-names":false,"suffix":""},{"dropping-particle":"","family":"Roso","given":"Martina","non-dropping-particle":"","parse-names":false,"suffix":""},{"dropping-particle":"","family":"Boaretti","given":"Carlo","non-dropping-particle":"","parse-names":false,"suffix":""},{"dropping-particle":"","family":"Modesti","given":"Michele","non-dropping-particle":"","parse-names":false,"suffix":""},{"dropping-particle":"","family":"Scipioni","given":"Antonio","non-dropping-particle":"","parse-names":false,"suffix":""},{"dropping-particle":"","family":"Lorenzetti","given":"Alessandra","non-dropping-particle":"","parse-names":false,"suffix":""}],"container-title":"ACS Omega","id":"ITEM-57","issue":"9","issued":{"date-parts":[["2019","8","27"]]},"page":"14114-14123","publisher":"American Chemical Society","title":"Life Cycle Assessment Framework To Support the Design of Biobased Rigid Polyurethane Foams","type":"article-journal","volume":"4"},"uris":["http://www.mendeley.com/documents/?uuid=933765a0-4f66-3350-80a9-003aa05c4235"]},{"id":"ITEM-58","itemData":{"DOI":"10.1021/ACSSUSCHEMENG.9B04930/SUPPL_FILE/SC9B04930_SI_001.PDF","ISSN":"21680485","abstract":"Bio-based rigid diols are key building blocks in the development and preparation of high-performance bioplastics with improved thermal and dimensional stabilities. Here, we report on the straightforward two-step synthesis of a diol with a spirocyclic acetal structure, starting from bio-based vanillin and pentaerythritol. According to a preliminary life cycle assessment (LCA), the greenhouse gas emissions of this bio-based diol are significantly lower than those of bio-based 1,3-propanediol. Copolymerization of the rigid spiro-diol with 1,6-hexanediol and dimethyl terephthalate by melt polymerization yielded a series of copolyesters, which showed improved glass transition temperature and thermal stability upon the incorporation of the spiroacetal units. The crystallinity and melting point of copolyesters decreased with increasing content of the spirocyclic backbone structures. The copolyester containing 10% of the new diol was semicrystalline, while those with 20 and 30% spiro-diol incorporated were completely amorphous. Moreover, dynamic mechanical analysis indicated that the copolyesters showed storage moduli comparable to Akestra, a commercial fossil-based high-performance polyester.","author":[{"dropping-particle":"V.","family":"Mankar","given":"Smita","non-dropping-particle":"","parse-names":false,"suffix":""},{"dropping-particle":"","family":"Garcia Gonzalez","given":"Maria Nelly","non-dropping-particle":"","parse-names":false,"suffix":""},{"dropping-particle":"","family":"Warlin","given":"Niklas","non-dropping-particle":"","parse-names":false,"suffix":""},{"dropping-particle":"","family":"Valsange","given":"Nitin G.","non-dropping-particle":"","parse-names":false,"suffix":""},{"dropping-particle":"","family":"Rehnberg","given":"Nicola","non-dropping-particle":"","parse-names":false,"suffix":""},{"dropping-particle":"","family":"Lundmark","given":"Stefan","non-dropping-particle":"","parse-names":false,"suffix":""},{"dropping-particle":"","family":"Jannasch","given":"Patric","non-dropping-particle":"","parse-names":false,"suffix":""},{"dropping-particle":"","family":"Zhang","given":"Baozhong","non-dropping-particle":"","parse-names":false,"suffix":""}],"container-title":"ACS Sustainable Chemistry and Engineering","id":"ITEM-58","issue":"23","issued":{"date-parts":[["2019","12","2"]]},"page":"19090-19103","publisher":"American Chemical Society","title":"Synthesis, Life Cycle Assessment, and Polymerization of a Vanillin-Based Spirocyclic Diol toward Polyesters with Increased Glass-Transition Temperature","type":"article-journal","volume":"7"},"uris":["http://www.mendeley.com/documents/?uuid=20f0d9ef-42cf-3a07-a8f8-f400bbe98e97"]},{"id":"ITEM-59","itemData":{"DOI":"10.1016/J.RESCONREC.2020.104750","ISSN":"0921-3449","abstract":"Used cooking oil (UCO) has received much attention as feedstock for the production of renewable fuels and bio-based materials. This study aims to assess the environmental impact of UCO-based polypropylene (PP) by a cradle-to-factory gate Life-Cycle Assessment (LCA). 16 impact categories were assessed. The results were interpreted with normalization and weighting steps. For several multi-output processes, different allocation procedures were scrutinized. On a normalized and weighted basis, the environmental impacts of UCO-based PP are dominated by climate change (28%), fossil resource use (23%) and water use (11%). The following environmental hotspots are identified: the polymerization process (38%), the production of hydrogen (21%), the production of LPG (18%) and the combustion of LPG (8%). Compared to petrochemical PP, cradle to factory gate impact reductions of 40–62% for climate change and 80–86% for fossil fuel resource use can be achieved by UCO-based PP, depending on the allocation approach chosen. For other impact categories, the environmental footprint of bio-based PP is strongly influenced by the choice of the allocation method.","author":[{"dropping-particle":"","family":"Moretti","given":"Christian","non-dropping-particle":"","parse-names":false,"suffix":""},{"dropping-particle":"","family":"Junginger","given":"Martin","non-dropping-particle":"","parse-names":false,"suffix":""},{"dropping-particle":"","family":"Shen","given":"Li","non-dropping-particle":"","parse-names":false,"suffix":""}],"container-title":"Resources, Conservation and Recycling","id":"ITEM-59","issued":{"date-parts":[["2020","6","1"]]},"page":"104750","publisher":"Elsevier","title":"Environmental life cycle assessment of polypropylene made from used cooking oil","type":"article-journal","volume":"157"},"uris":["http://www.mendeley.com/documents/?uuid=b2eb100e-67d9-3ac5-8c25-a106b3c45a88"]},{"id":"ITEM-60","itemData":{"DOI":"10.1016/J.JCLEPRO.2020.121403","ISSN":"0959-6526","abstract":"Vegetable oils offer a reliable chemical platform to synthesize polyols for polyurethane production to replace fully or partially polyurethane precursors that are derived from petrochemical resources. Rapeseed, a renewable feedstock widely available in Northern Europe, was used as a bio-based feedstock. In the present study, a cradle-to-gate Life Cycle Assessment for a pilot scale bio-based polyol production was carried out. Life Cycle Inventories were built on up-to-date regionalized inventory for rapeseed production and experimental data for polyol synthesis were obtained from a pilot scale (50 L) reactor. Bio-based polyols were compared with the petrochemical counterpart. Life Cycle Assessment was performed using SimaPro 9.0 and impacts were evaluated with ReCiPe Endpoint and Midpoint methods and Cumulative Energy Demand. The two developed rapeseed oil based polyols were analyzed with three different modelling approaches for the bio-based feedstock stage – system expansion, mass allocation and economic allocation. The results indicate that, compared to petrochemical polyols in all cases of allocation bio-based rapeseed oil polyols have a better environmental performance in 8 out of the 18 ReCiPe midpoint impact categories and lower Cumulative Energy Demand. However, results also showed that the choice of allocation in the bio-based feedstock production stage has a significant impact on the results.","author":[{"dropping-particle":"","family":"Fridrihsone","given":"Anda","non-dropping-particle":"","parse-names":false,"suffix":""},{"dropping-particle":"","family":"Romagnoli","given":"Francesco","non-dropping-particle":"","parse-names":false,"suffix":""},{"dropping-particle":"","family":"Kirsanovs","given":"Vladimirs","non-dropping-particle":"","parse-names":false,"suffix":""},{"dropping-particle":"","family":"Cabulis","given":"Ugis","non-dropping-particle":"","parse-names":false,"suffix":""}],"container-title":"Journal of Cleaner Production","id":"ITEM-60","issued":{"date-parts":[["2020","9","1"]]},"page":"121403","publisher":"Elsevier","title":"Life Cycle Assessment of vegetable oil based polyols for polyurethane production","type":"article-journal","volume":"266"},"uris":["http://www.mendeley.com/documents/?uuid=0d6246e9-117d-37ae-9668-b249f5bd4234"]},{"id":"ITEM-61","itemData":{"DOI":"10.1016/J.SCITOTENV.2017.04.087","ISSN":"0048-9697","PMID":"28448939","abstract":"This study evaluates the environmental impacts of biorefinery products using consequential (CLCA) and attributional (ALCA) life cycle assessment (LCA) approaches. Within ALCA, economic allocation method was used to distribute impacts among the main products and the coproducts, whereas within the CLCA system expansion was adopted to avoid allocation. The study seeks to answer the questions (i) what is the environmental impacts of process integration?, and (ii) do CLCA and ALCA lead to different conclusions when applied to biorefinery?. Three biorefinery systems were evaluated and compared: a standalone system producing bioethanol from winter wheat-straw (system A), a standalone system producing biobased lactic acid from alfalfa (system B), and an integrated biorefinery system (system C) combining the two standalone systems and producing both bioethanol and lactic acid. The synergy of the integration was the exchange of useful energy necessary for biomass processing in the two standalone systems. The systems were compared against a common reference flow: “1 MJEtOH + 1 kgLA”, which was set on the basis of products delivered by the system C. Function of the reference flow was to provide service of both fuel (bioethanol) at 99.9% concentration (wt. basis) and biochemical (biobased lactic acid) in food industries at 90% purity; both products delivered at biorefinery gate. The environmental impacts of interest were global warming potential (GWP100), eutrophication potential (EP), non-renewable energy (NRE) use and the agricultural land occupation (ALO). Regardless of the LCA approach adopted, system C performed better in most of the impact categories than both standalone systems. The process wise contribution to the obtained environmental impacts also showed similar impact pattern in both approaches. The study also highlighted that the recirculation of intermediate materials, e.g. C5 sugar to boost bioethanol yield and that the use of residual streams in the energy conversion were beneficial for optimizing the system performance.","author":[{"dropping-particle":"","family":"Parajuli","given":"Ranjan","non-dropping-particle":"","parse-names":false,"suffix":""},{"dropping-particle":"","family":"Knudsen","given":"Marie Trydeman","non-dropping-particle":"","parse-names":false,"suffix":""},{"dropping-particle":"","family":"Birkved","given":"Morten","non-dropping-particle":"","parse-names":false,"suffix":""},{"dropping-particle":"","family":"Djomo","given":"Sylvestre Njakou","non-dropping-particle":"","parse-names":false,"suffix":""},{"dropping-particle":"","family":"Corona","given":"Andrea","non-dropping-particle":"","parse-names":false,"suffix":""},{"dropping-particle":"","family":"Dalgaard","given":"Tommy","non-dropping-particle":"","parse-names":false,"suffix":""}],"container-title":"Science of The Total Environment","id":"ITEM-61","issued":{"date-parts":[["2017","11","15"]]},"page":"497-512","publisher":"Elsevier","title":"Environmental impacts of producing bioethanol and biobased lactic acid from standalone and integrated biorefineries using a consequential and an attributional life cycle assessment approach","type":"article-journal","volume":"598"},"uris":["http://www.mendeley.com/documents/?uuid=a45d7498-522c-3d28-aaea-a8353736c532"]},{"id":"ITEM-62","itemData":{"DOI":"10.1002/BBB.1893","ISSN":"1932-1031","abstract":"New integrated biorefinery (IBR) concepts are being investigated to co-produce hydrocarbon fuels and high-value bio-based chemicals to improve the economic viability of IBRs, to enhance biomass resource utilization efficiencies, and to maximize potential greenhouse gas (GHG) emission reductions. Unlike fuel-only biorefineries, IBRs may co-produce a significant amount of bio-based chemicals, whose emission implications for specific biorefinery products and the biorefinery as a whole need to be evaluated. We discuss this in principle and apply three sets of co-product handling methods to conduct life-cycle analysis (LCA) of modeled IBRs with co-production of two bioproduct examples – succinic acid and adipic acid – alongside a renewable diesel blendstock fuel product. The LCA results for the specific co-product handling methods that were examined shed light on potential artifacts of product-specific LCA with selected co-product methods. We discuss the advantages and limitations of each method and conclude that (i) a system-level or ‘black-box’ LCA allocation method is too simplistic to reflect appropriately the GHG burdens of distinctly different processing trains for fuels and chemicals in the IBR context, and (ii) the displacement method is the only co-product handling method that accounts fully for the emission effects of both the fuel product and the non-fuel bio-based co-products in the IBRs within the context of the existing fuel-focused GHG regulatory framework. Alternatively, biorefinery system-level LCA combines benefits of individual products to offer a complete picture. This system-level LCA approach offers a holistic LCA without somewhat arbitrary decisions either on an allocation basis or by the selection of an evaluation metric based on specific products. © 2018 Society of Chemical Industry and John Wiley &amp; Sons, Ltd.","author":[{"dropping-particle":"","family":"Cai","given":"Hao","non-dropping-particle":"","parse-names":false,"suffix":""},{"dropping-particle":"","family":"Han","given":"Jeongwoo","non-dropping-particle":"","parse-names":false,"suffix":""},{"dropping-particle":"","family":"Wang","given":"Michael","non-dropping-particle":"","parse-names":false,"suffix":""},{"dropping-particle":"","family":"Davis","given":"Ryan","non-dropping-particle":"","parse-names":false,"suffix":""},{"dropping-particle":"","family":"Biddy","given":"Mary","non-dropping-particle":"","parse-names":false,"suffix":""},{"dropping-particle":"","family":"Tan","given":"Eric","non-dropping-particle":"","parse-names":false,"suffix":""}],"container-title":"Biofuels, Bioproducts and Biorefining","id":"ITEM-62","issue":"5","issued":{"date-parts":[["2018","9","1"]]},"page":"815-833","publisher":"John Wiley &amp; Sons, Ltd","title":"Life-cycle analysis of integrated biorefineries with co-production of biofuels and bio-based chemicals: co-product handling methods and implications","type":"article-journal","volume":"12"},"uris":["http://www.mendeley.com/documents/?uuid=37df4062-a014-33b3-b679-273d51c3d66f"]},{"id":"ITEM-63","itemData":{"DOI":"10.1016/J.JCLEPRO.2019.05.115","ISSN":"0959-6526","abstract":"The chemical industry strives for the development of bio-based alternatives to prepare for the transition towards a sustainable biobasedeconomy. Key in this transition is ‘safe and sustainable by design’. This entails that safety and sustainability must be taken into account at the earliest possible development stages. A remaining challenge is how to assess the sustainability and safety of a new production process while it is not yet established. Assessment methods have been developed for this purpose but they do not seem to be commonly used in Research and Development (R&amp;D) departments. The aim of this paper is to review and evaluate the available early-stage assessment methods (ESM) and ex-ante life cycle assessment (LCA). Using the case of lactic acid in a retrospective study, its different development stages were anticipated. The outcomes of implementing the selected ESMs and ex-ante LCA at the different development stages of lactic acid were compared with those of a full LCA of the real production at commercial scale. Key findings are that 1) many ESMs are often not fully or clearly described and the databases suggested are outdated; 2) since most of the methods are designed to assess chemicals in general, not specifically for bio-based chemicals, the relevant environmental themes to reflect the characteristics of bio-based chemicals are often missing; 3) in terms of toxicity impacts, the reviewed methods are often crude and not accurate in the coverage of toxicity aspects. Ex-ante LCA could play a more important role during the process design R&amp;D phase. However, ex-ante LCA should be complemented with accessible methods to evaluate the potential toxicity impacts at the early development stage to ensure safe by design.","author":[{"dropping-particle":"","family":"Fernandez-Dacosta","given":"Cora","non-dropping-particle":"","parse-names":false,"suffix":""},{"dropping-particle":"","family":"Wassenaar","given":"Pim N.H.","non-dropping-particle":"","parse-names":false,"suffix":""},{"dropping-particle":"","family":"Dencic","given":"Ivana","non-dropping-particle":"","parse-names":false,"suffix":""},{"dropping-particle":"","family":"Zijp","given":"Michiel C.","non-dropping-particle":"","parse-names":false,"suffix":""},{"dropping-particle":"","family":"Morao","given":"Ana","non-dropping-particle":"","parse-names":false,"suffix":""},{"dropping-particle":"","family":"Heugens","given":"Evelyn H.W.","non-dropping-particle":"","parse-names":false,"suffix":""},{"dropping-particle":"","family":"Shen","given":"Li","non-dropping-particle":"","parse-names":false,"suffix":""}],"container-title":"Journal of Cleaner Production","id":"ITEM-63","issued":{"date-parts":[["2019","9","1"]]},"page":"137-149","publisher":"Elsevier","title":"Can we assess innovative bio-based chemicals in their early development stage? A comparison between early-stage and life cycle assessments","type":"article-journal","volume":"230"},"uris":["http://www.mendeley.com/documents/?uuid=4fdf4171-d116-312e-832f-bff23c360f99"]},{"id":"ITEM-64","itemData":{"DOI":"10.17265/2162-5263/2017.03.002","abstract":"In this paper, the analysis of the environmental impacts of a biopolymer based on starch is presented. These impacts were calculated from a cradle to gate LCA (Life Cycle Assessment), based on UNEEN ISO 14040: 2006 and UNEEN ISO 14044, using as functional unit 1 kg of produced biomaterial. The impact categories analyzed were global warming, ozone depletion, acidification and eutrophication. The results indicate that the electricity causes the highest impacts in the global warming and ozone depletion categories, but compared to synthetic polymers, the emissions are low. Finally, in the case of eutrophication, the impacts are similar to other biopolymers but higher in comparison with petroleum-based polymers like HDPE (High Density Polyethylene), LDPE (Low Density Polyethylene), PP (Polypropylene), PS (Polystyrene) and PET (Polyethylene Terephthalate).","author":[{"dropping-particle":"","family":"Mercado","given":"Giovanna","non-dropping-particle":"","parse-names":false,"suffix":""},{"dropping-particle":"","family":"Dominguez","given":"Martha","non-dropping-particle":"","parse-names":false,"suffix":""},{"dropping-particle":"","family":"Herrera","given":"Israel","non-dropping-particle":"","parse-names":false,"suffix":""},{"dropping-particle":"","family":"Melgoza","given":"Rosa María","non-dropping-particle":"","parse-names":false,"suffix":""}],"container-title":"Journal of Environmental Science and Engineering B","id":"ITEM-64","issued":{"date-parts":[["2017"]]},"page":"121-126","title":"Are Polymers Toxic? Case Study: Environmental Impact of a Biopolymer","type":"article-journal","volume":"6"},"uris":["http://www.mendeley.com/documents/?uuid=2b97b70d-3fbf-3cef-ac0d-ca9d5e0dc799"]},{"id":"ITEM-65","itemData":{"DOI":"10.1002/MABI.200400023","ISSN":"1616-5195","PMID":"15468247","abstract":"Cargill Dow's polylactide polymer is a biodegradable polymer made from renewable resources and can be used in a range of packaging, film, and fiber applications. Cargill Dow is committed to the fundamentals of sustainability to build a sustainable system for the production, use, reuse, and disposal of PLA. This Essay gives an overview of Cargill Dow's program to help PLA meet the criteria of the \"ideal\" sustainable material.","author":[{"dropping-particle":"","family":"Vink","given":"Erwin T.H.","non-dropping-particle":"","parse-names":false,"suffix":""},{"dropping-particle":"","family":"Rábago","given":"Karl R.","non-dropping-particle":"","parse-names":false,"suffix":""},{"dropping-particle":"","family":"Glassner","given":"David A.","non-dropping-particle":"","parse-names":false,"suffix":""},{"dropping-particle":"","family":"Springs","given":"Bob","non-dropping-particle":"","parse-names":false,"suffix":""},{"dropping-particle":"","family":"O'Connor","given":"Ryan P.","non-dropping-particle":"","parse-names":false,"suffix":""},{"dropping-particle":"","family":"Kolstad","given":"Jeff","non-dropping-particle":"","parse-names":false,"suffix":""},{"dropping-particle":"","family":"Gruber","given":"Patrick R.","non-dropping-particle":"","parse-names":false,"suffix":""}],"container-title":"Macromolecular Bioscience","id":"ITEM-65","issue":"6","issued":{"date-parts":[["2004","6","25"]]},"page":"551-564","publisher":"John Wiley &amp; Sons, Ltd","title":"The Sustainability of NatureWorks™ Polylactide Polymers and Ingeo™ Polylactide Fibers: an Update of the Future","type":"article-journal","volume":"4"},"uris":["http://www.mendeley.com/documents/?uuid=6b59cd21-c7d7-3dcb-b757-c57d6db4ebcc"]},{"id":"ITEM-66","itemData":{"DOI":"10.1016/J.JBIOTEC.2007.02.012","ISSN":"0168-1656","PMID":"17400318","abstract":"Polymers based on olefins have wide commercial applicability. However, they are made from non-renewable resources and are characterised by difficulty in disposal where recycle and re-use is not feasible. Poly-β-hydroxybutyric acid (PHB) provides one example of a polymer made from renewable resources. Before motivating its widespread use, the advantages of a renewable polymer must be weighed against the environmental aspects of its production. Previous studies relating the environmental impacts of petroleum-based and bio-plastics have centred on the impact categories of global warming and fossil fuel depletion. Cradle-to-grave studies report equivalent or reduced global warming impacts, in comparison to equivalent polyolefin processes. This stems from a perceived CO2 neutral status of the renewable resource. Indeed, no previous work has reported the results of a life cycle assessment (LCA) giving the environmental impacts in all major categories. This study investigates a cradle-to-gate LCA of PHB production taking into account net CO2 generation and all major impact categories. It compares the findings with similar studies of polypropylene (PP) and polyethylene (PE). It is found that, in all of the life cycle categories, PHB is superior to PP. Energy requirements are slightly lower than previously observed and significantly lower than those for polyolefin production. PE impacts are lower than PHB values in acidification and eutrophication. © 2007 Elsevier B.V. All rights reserved.","author":[{"dropping-particle":"","family":"Harding","given":"K. G.","non-dropping-particle":"","parse-names":false,"suffix":""},{"dropping-particle":"","family":"Dennis","given":"J. S.","non-dropping-particle":"","parse-names":false,"suffix":""},{"dropping-particle":"","family":"Blottnitz","given":"H.","non-dropping-particle":"von","parse-names":false,"suffix":""},{"dropping-particle":"","family":"Harrison","given":"S. T.L.","non-dropping-particle":"","parse-names":false,"suffix":""}],"container-title":"Journal of Biotechnology","id":"ITEM-66","issue":"1","issued":{"date-parts":[["2007","5","31"]]},"page":"57-66","publisher":"Elsevier","title":"Environmental analysis of plastic production processes: Comparing petroleum-based polypropylene and polyethylene with biologically-based poly-β-hydroxybutyric acid using life cycle analysis","type":"article-journal","volume":"130"},"uris":["http://www.mendeley.com/documents/?uuid=f4c62487-3074-308d-8c84-b1c171bc8bcb"]},{"id":"ITEM-67","itemData":{"DOI":"10.1016/j.biortech.2020.122946","ISSN":"18732976","abstract":"Vine shoots are the viticulture residues generated in high quantities after the grapevine pruning. They are lignocellulosic material poorly exploited as feedstock. These wastes are often dumped in the agriculture fields or burnt. Due to their availability and relatively low price, vine shoots are considered as potential feedstock for biochemical conversion into value-added products. In this work, two biorefinery scenarios using vine shoots as feedstock to co-produce chemicals are assessed from an environmental point of view: production of lactic acid, and co-production of lactic acid and furfural. A CHP area was considered to be annexed to the plants to produce heat and electricity for internal use. The Aspen Plus and SimaPro commercial software were used to perform the LCA of the selected scenarios. The assessed scenarios demonstrate significant reductions in climate change, fossil fuel depletion, freshwater ecotoxicity and eutrophication and human toxicity impacts compared to their counterfactual systems.","author":[{"dropping-particle":"","family":"Pachón","given":"Elia Ruiz","non-dropping-particle":"","parse-names":false,"suffix":""},{"dropping-particle":"","family":"Mandade","given":"Prasad","non-dropping-particle":"","parse-names":false,"suffix":""},{"dropping-particle":"","family":"Gnansounou","given":"Edgard","non-dropping-particle":"","parse-names":false,"suffix":""}],"container-title":"Bioresource Technology","id":"ITEM-67","issued":{"date-parts":[["2020","5","1"]]},"page":"122946","publisher":"Elsevier Ltd","title":"Conversion of vine shoots into bioethanol and chemicals: Prospective LCA of biorefinery concept","type":"article-journal","volume":"303"},"uris":["http://www.mendeley.com/documents/?uuid=cf68f3ee-5846-338e-980b-7de9d5d955d1"]},{"id":"ITEM-68","itemData":{"DOI":"10.1002/BBB.2052","ISSN":"1932-1031","abstract":"The efficient use of lignocellulosic biomass for the production of advanced fuels and bio-based materials has become increasingly relevant. In the EU, regulatory developments are stimulating the mobilization and production of bio-based chemicals / materials and biofuels from lignocellulosic biomass. We used an attributional life-cycle assessment approach based on region-specific characteristics to determine the greenhouse gas emissions (GHG) performance of different supply-chain configurations with internationally sourced lignocellulosic biomass (stem wood, forest residues, sawmill residues, and sugarcane bagasse) from the USA, the Baltic States (BS), and Brazil (BR) for the simultaneous production of lactide and ethanol in a biorefinery located in the Netherlands (NL). The results are compared with a biorefinery that uses locally cultivated sugar beets. We also compared GHG emissions savings from the supply-chain configurations with the minimum GHG saving requirements in the revised Renewable Energy Directive (RED II) and relevant fossil-based counterparts for bio-based materials. The GHG emissions ‘from cradle to factory gate’ vary between 692 g CO2eq/kglactide (sawmill residues pellets from the BS) and 1002 g CO2eq/kglactide (sawmill chips from the USA) for lactide and between 15 g CO2eq/MJethanol (sawmill residues pellets from the BS) and 28 g CO2eq/MJethanol (bagasse pellets from BR) for ethanol. Upstream GHG emissions from the conversion routes have a relatively small impact compared with biomass conversion to lactide and ethanol. The use of woody biomass yields better GHG emissions performance for the conversion system than sugarcane bagasse or sugar beets as result of the higher lignin content that is used to generate electricity and heat internally for the system. Only the sugar beet from the NL production route is able to comply with RED II GHG savings criteria (65% by 2021). The GHG savings from polylactide acid (a derivate of lactic acid) are high and vary depending on choice of fossil-based counterpart, with the highest savings reported when compared to polystyrene (PS). These high savings are mostly attributed to the negative emission credit from the embedded carbon in the materials. Several improvement options along the conversion routes were explored. Efficient feedstock supply chains (including pelletization and large ocean vessels) also allow for long-distance transportation of biomass and conversion in large-scale biorefineries close …","author":[{"dropping-particle":"","family":"Vera","given":"Ivan","non-dropping-particle":"","parse-names":false,"suffix":""},{"dropping-particle":"","family":"Hoefnagels","given":"Ric","non-dropping-particle":"","parse-names":false,"suffix":""},{"dropping-particle":"","family":"Kooij","given":"Aldert","non-dropping-particle":"van der","parse-names":false,"suffix":""},{"dropping-particle":"","family":"Moretti","given":"Christian","non-dropping-particle":"","parse-names":false,"suffix":""},{"dropping-particle":"","family":"Junginger","given":"Martin","non-dropping-particle":"","parse-names":false,"suffix":""}],"container-title":"Biofuels, Bioproducts and Biorefining","id":"ITEM-68","issue":"2","issued":{"date-parts":[["2020","3","1"]]},"page":"198-224","publisher":"John Wiley &amp; Sons, Ltd","title":"A carbon footprint assessment of multi-output biorefineries with international biomass supply: a case study for the Netherlands","type":"article-journal","volume":"14"},"uris":["http://www.mendeley.com/documents/?uuid=6fa14c07-7759-3e97-948a-04e731230585"]},{"id":"ITEM-69","itemData":{"DOI":"10.1016/J.JCLEPRO.2006.05.036","ISSN":"0959-6526","abstract":"Replacing glass fibers with natural fibers in the automobile industry can yield economic, environmental and social benefits. This article evaluates the prospective environmental impacts of automobile applications of curauá fiber (Ananas erectifolius), which nearly equates the physical properties of glass fibers. The study identified economic and social advantages of applying curauá fiber composites in car parts. Besides costing 50% less than fiber glass, the use of curauá fibers can promote regional development in the Amazon region. In order to realize significant environmental benefits, however, the curauá-based composites would have to be lighter than their glass fiber-based counterparts. © 2006 Elsevier Ltd. All rights reserved.","author":[{"dropping-particle":"","family":"Zah","given":"R.","non-dropping-particle":"","parse-names":false,"suffix":""},{"dropping-particle":"","family":"Hischier","given":"R.","non-dropping-particle":"","parse-names":false,"suffix":""},{"dropping-particle":"","family":"Leão","given":"A. L.","non-dropping-particle":"","parse-names":false,"suffix":""},{"dropping-particle":"","family":"Braun","given":"I.","non-dropping-particle":"","parse-names":false,"suffix":""}],"container-title":"Journal of Cleaner Production","id":"ITEM-69","issue":"11-12","issued":{"date-parts":[["2007","1","1"]]},"page":"1032-1040","publisher":"Elsevier","title":"Curauá fibers in the automobile industry – a sustainability assessment","type":"article-journal","volume":"15"},"uris":["http://www.mendeley.com/documents/?uuid=cec2701d-28bb-3053-8519-e5d0ba2d7028"]},{"id":"ITEM-70","itemData":{"DOI":"10.1166/jbmb.2008.207","ISBN":"144.118.30.27","abstract":"This study investigates the environmental performance of kenaf fiber reinforced biocomposite (poly-hydroxybutyrate/kenaf fiber) via life cycle assessment and compares its environmental performance to that of glass fiber reinforced composite (polypropylene/glass fiber). The system boundary in the analysis covers the entire life cycle of kenaf fiber reinforced biocomposite from cradle to grave. Two waste management scenarios are included in the analysis to determine the environmental effects due to waste management scenarios: landfill and composting. Using kenaf fiber reinforced biocom-posite as a raw material for automobile parts instead of glass fiber reinforced composite can reduce nonrenewable energy consumption by 23-24% and greenhouse gas emissions by 6-16%. However, the kenaf fiber reinforced biocomposite product system produces more local environmental impacts such as photochemical smog formation, acidification and eutrophication than the glass fiber reinforced composite product system because of nutrient losses to the environment during biomass production. Among the environmental impacts considered in this study, only greenhouse gas emissions associated with the kenaf fiber reinforced biocomposite product system are significantly affected by the waste management scenarios. The composting scenario produces less greenhouse gas emissions than the landfill scenario because some of the carbon in kenaf fiber reinforced biocomposite is sequestered in soil as soil organic carbon when compost made from kenaf fiber reinforced bio-composite is applied to the land. The environmentally sensitive sub-processes for nonrenewable energy consumption and greenhouse gas emissions are polyhydroxybutyrate manufacturing, injection molding and kenaf fiber production processes. Polyhydroxybutyrate manufacturing and injection molding are energy intensive processes. The sodium hydroxide solution used in the fiber surface treatment is the primary environmentally sensitive parameter in kenaf fiber production process in terms of nonrenewable energy consumption and greenhouse gas emissions.","author":[{"dropping-particle":"","family":"Kim","given":"Seungdo","non-dropping-particle":"","parse-names":false,"suffix":""},{"dropping-particle":"","family":"Dale","given":"Bruce E","non-dropping-particle":"","parse-names":false,"suffix":""},{"dropping-particle":"","family":"Drzal","given":"Lawrence T","non-dropping-particle":"","parse-names":false,"suffix":""},{"dropping-particle":"","family":"Misra","given":"Manjusri","non-dropping-particle":"","parse-names":false,"suffix":""}],"container-title":"Journal of Biobased Materials and Bioenergy","id":"ITEM-70","issued":{"date-parts":[["2008"]]},"page":"85-93","title":"Life Cycle Assessment of Kenaf Fiber Reinforced Biocomposite","type":"article-journal","volume":"2"},"uris":["http://www.mendeley.com/documents/?uuid=130ca3a9-ca99-3620-a0a9-08f16bbbd22e"]},{"id":"ITEM-71","itemData":{"DOI":"10.1016/J.JCLEPRO.2012.05.033","ISSN":"0959-6526","abstract":"Cellulose nanowhiskers refer to elongated, single crystalline, rod-like particles that have at least 1 nmsize dimension. Vegetal fibers are an important source of cellulose for the extraction of nanowhiskers that can be used to reinforce the mechanical properties of different polymers. The present study contributes to the environmental performance of cellulose nanowhiskers production processes at their development stage. Thus, particular environmental aspects and related impacts of two cellulose nanowhiskers product systems are evaluated: nanowhiskers extracted from unripe coconut fibers (EUC system) and from white cotton fibers (EC system). The product systems encompassed fiber, electricity, and chemical production processes. All aspects were measured considering the production of 1 g of nanowhiskers. Life cycle inventory analysis was performed while considering the following environmental aspects: energy, water and emissions present in liquid effluents (chemical oxygen demand (COD), biological oxygen demand (BOD), total nitrogen, nitrate, total phosphorus, phenols, furfural, and hydroxymethylfurfural (HMF)). Life cycle impact was also assessed for climate change, water depletion, eutrophication, and human toxicity impact categories. The comparison between the EUC and EC systems showed that nanowhiskers produced in the EC system required less energy and water, emitted less pollutants, and contributed less to climate change, human toxicity, and eutrophication than those produced in the EUC system. Further research to improve the environmental performance of these systems-before scaling up the results from the laboratory to industry-shall focus on improving yield efficiency, reducing energy and water use during the extraction of nanowhiskers, and recovering substances from effluents possessing market value. © 2012 Elsevier Ltd. All rights reserved.","author":[{"dropping-particle":"","family":"Figueirêdo","given":"Maria Cléa Brito","non-dropping-particle":"De","parse-names":false,"suffix":""},{"dropping-particle":"","family":"Freitas Rosa","given":"Morsyleide","non-dropping-particle":"De","parse-names":false,"suffix":""},{"dropping-particle":"","family":"Lie Ugaya","given":"Cássia Maria","non-dropping-particle":"","parse-names":false,"suffix":""},{"dropping-particle":"","family":"Souza Filho","given":"Men De Sá Moreira","non-dropping-particle":"De","parse-names":false,"suffix":""},{"dropping-particle":"","family":"Silva Braid","given":"Ana Cláudia Carneiro","non-dropping-particle":"Da","parse-names":false,"suffix":""},{"dropping-particle":"","family":"Melo","given":"Luiz Flávio Luciano","non-dropping-particle":"De","parse-names":false,"suffix":""}],"container-title":"Journal of Cleaner Production","id":"ITEM-71","issued":{"date-parts":[["2012","11","1"]]},"page":"130-139","publisher":"Elsevier","title":"Life cycle assessment of cellulose nanowhiskers","type":"article-journal","volume":"35"},"uris":["http://www.mendeley.com/documents/?uuid=f73491cc-c59b-3876-9f42-2adaba6475b4"]},{"id":"ITEM-72","itemData":{"DOI":"10.1021/SC4000225/SUPPL_FILE/SC4000225_SI_001.PDF","ISSN":"21680485","abstract":"Nanocellulose is a nascent and promising material with many exceptional properties and a broad spectrum of potential applications. Because of the unique and functional materials that can be created using nanocellulose, pilot-scale development for commercialization has begun. Thus a thorough understanding of its environmental impact, covering the whole life cycle of nanocellulose, becomes the foundation for its long-term sustainable success. In this current study, four comparable lab scale nanocellulose fabrication routes were evaluated through a cradle-to-gate life cycle assessment (LCA) adopting the Eco-Indicator 99 method. The results indicated that, for the chemical-mechanical fabrication routes, the majority of the environmental impact of nanocellulose fabrication is dependent upon both the chemical modification and mechanical treatment route chosen. For sonication, the mechanical treatment overshadows that from the chemical modifications. Adapting the best practice based on unit mass production was 2,2,6,6-tetramethylpiperidine-1-oxyl (TEMPO) oxidation followed by homogenization, as TEMPO oxidation resulted in a lower impact than carboxymethylation. Even though the fabrication process of nanocellulose presents a large environmental footprint markup relative to its raw material extraction process (kraft pulping), it still exhibits prominent environmental advantages over other nanomaterials like carbon nanotubes. © 2013 American Chemical Society.","author":[{"dropping-particle":"","family":"Li","given":"Qingqing","non-dropping-particle":"","parse-names":false,"suffix":""},{"dropping-particle":"","family":"McGinnis","given":"Sean","non-dropping-particle":"","parse-names":false,"suffix":""},{"dropping-particle":"","family":"Sydnor","given":"Cutter","non-dropping-particle":"","parse-names":false,"suffix":""},{"dropping-particle":"","family":"Wong","given":"Anthony","non-dropping-particle":"","parse-names":false,"suffix":""},{"dropping-particle":"","family":"Renneckar","given":"Scott","non-dropping-particle":"","parse-names":false,"suffix":""}],"container-title":"ACS Sustainable Chemistry and Engineering","id":"ITEM-72","issue":"8","issued":{"date-parts":[["2013","8","5"]]},"page":"919-928","publisher":"American Chemical Society","title":"Nanocellulose life cycle assessment","type":"article-journal","volume":"1"},"uris":["http://www.mendeley.com/documents/?uuid=b91ad71f-a0b5-3325-b459-c825d18c7709"]},{"id":"ITEM-73","itemData":{"DOI":"10.1016/J.RESCONREC.2015.07.010","ISSN":"0921-3449","abstract":"Global production and consumption of textiles is increasing and as a result putting pressure on the environment. In the EU-25 countries for example, 2-10% of environmental impacts are associated with clothing consumption, with washing during the use phase as one of the most significant contributors. Antibacterial textiles, which prevent undesirable odours, may reduce the number of washing cycles, thus offering an opportunity to reduce environmental impacts. This article assess to what extent different antibacterial T-shirts offer opportunities. Life cycle assessment (LCA) is used to assist the producer in making business decisions to create value during product development process. To this end, we conducted an LCA for an antibacterial T-shirt made in Europe from bio-based man-made cellulose fibres (modal). The antibacterial property is obtained by silver nanoparticles that are produced with colloidal techniques such as the sol-gel process and in-situ formation. It was found that the T-shirt made of 50% antibacterial fibres with the in-situ process (50AB in-situ) caused 15-20% lower cradle-to-gate CO&lt;inf&gt;2&lt;/inf&gt; emissions than commercial antibacterial T-shirts. The cradle-to-grave comparison with non-antibacterial modal T-shirts showed that the 50AB in-situ T-shirt exhibited better environmental performance, resulting in 20-30% lower impacts in key categories such as climate change, freshwater toxicity and eutrophication. LCA demonstrated value creation opportunities such as lower environmental impacts, lower costs and risks. Moreover, the product's environmental performance can be transparently communicated to customers, which helps differentiating with competing products in the market, thus offering the producer a competitive advantage.","author":[{"dropping-particle":"","family":"Manda","given":"B. M.Krishna","non-dropping-particle":"","parse-names":false,"suffix":""},{"dropping-particle":"","family":"Worrell","given":"Ernst","non-dropping-particle":"","parse-names":false,"suffix":""},{"dropping-particle":"","family":"Patel","given":"Martin K.","non-dropping-particle":"","parse-names":false,"suffix":""}],"container-title":"Resources, Conservation and Recycling","id":"ITEM-73","issued":{"date-parts":[["2015","10","1"]]},"page":"47-57","publisher":"Elsevier","title":"Prospective life cycle assessment of an antibacterial T-shirt and supporting business decisions to create value","type":"article-journal","volume":"103"},"uris":["http://www.mendeley.com/documents/?uuid=0666613a-2e76-38a8-89c8-e6abd216dabd"]},{"id":"ITEM-74","itemData":{"DOI":"10.1021/ACSSUSCHEMENG.5B00209/SUPPL_FILE/SC5B00209_SI_001.PDF","ISSN":"21680485","abstract":"A new technology for the production of cellulose nanofibers from vegetable food waste has been developed. The fibers are liberated enzymatically, given a functionalized coating and oriented using spinning techniques. We performed a laboratory-scale life cycle assessment (LCA) to assess the various routes of the entire production process from an environmental perspective. The results indicate that the electrospinning process has a higher impact than the alternative wet spinning process under the conditions described. Furthermore, to improve the liberation process of the microfibrillated cellulose, the enzymatic treatment step requires development; this could be through optimization of energy use in the heating process, mainly by reducing heat loss and water use. A comparative LCA with the results of other published studies, using different starting materials and chemical processes to obtain nanocellulose, provides a deeper understanding of our processes. From this comparison, we conclude that our technology has the potential to become a competitive alternative, outperforming other nanocellulose technologies from an environmental perspective.","author":[{"dropping-particle":"","family":"Piccinno","given":"Fabiano","non-dropping-particle":"","parse-names":false,"suffix":""},{"dropping-particle":"","family":"Hischier","given":"Roland","non-dropping-particle":"","parse-names":false,"suffix":""},{"dropping-particle":"","family":"Seeger","given":"Stefan","non-dropping-particle":"","parse-names":false,"suffix":""},{"dropping-particle":"","family":"Som","given":"Claudia","non-dropping-particle":"","parse-names":false,"suffix":""}],"container-title":"ACS Sustainable Chemistry and Engineering","id":"ITEM-74","issue":"6","issued":{"date-parts":[["2015","6","1"]]},"page":"1047-1055","publisher":"American Chemical Society","title":"Life cycle assessment of a new technology to extract, functionalize and orient cellulose nanofibers from food waste","type":"article-journal","volume":"3"},"uris":["http://www.mendeley.com/documents/?uuid=aa1cd927-1d84-38b4-8ab3-9b49af47cd47"]},{"id":"ITEM-75","itemData":{"DOI":"10.1016/J.COMPSCITECH.2015.08.024","ISSN":"0266-3538","abstract":"The research and development of nanocellulose-reinforced polymer composites have dramatically increased in recent years due to the possibility of exploiting the high tensile stiffness and strength of nanocellulose. In the work, the environmental impact of bacterial cellulose (BC)- and nanofibrillated cellulose (NFC)-reinforced epoxy composites were evaluated using life cycle assessment (LCA). Neat polylactide (PLA) and 30 wt.-% randomly oriented glass fibre-reinforced polypropylene (GF/PP) composites were used as benchmark materials for comparison. Our cradle-to-gate LCA showed that BC- and NFC-reinforced epoxy composites have higher global warming potential (GWP) and abiotic depletion potential of fossil fuels (ADf) compared to neat PLA and GF/PP even though the specific tensile moduli of the nanocellulose-reinforced epoxy composites were higher than neat PLA and GF/PP. However, when the use phase and the end-of-life of nanocellulose-reinforced epoxy composites were considered, the \"green credentials\" of nanocellulose-reinforced epoxy composites were comparable to that of neat PLA and GF/PP composites. Our life cycle scenario analysis further showed that the cradle-to-grave GWP and ADf of BC- and NFC-reinforced epoxy composites could be lower than neat PLA when the composites contains more than 60 vol.-% nanocellulose. This suggests that nanocellulose-reinforced epoxy composites with high nanocellulose loading is desirable to produce materials with \"greener credentials\" than the best performing commercially available bio-derived polymers.","author":[{"dropping-particle":"","family":"Hervy","given":"Martin","non-dropping-particle":"","parse-names":false,"suffix":""},{"dropping-particle":"","family":"Evangelisti","given":"Sara","non-dropping-particle":"","parse-names":false,"suffix":""},{"dropping-particle":"","family":"Lettieri","given":"Paola","non-dropping-particle":"","parse-names":false,"suffix":""},{"dropping-particle":"","family":"Lee","given":"Koon Yang","non-dropping-particle":"","parse-names":false,"suffix":""}],"container-title":"Composites Science and Technology","id":"ITEM-75","issued":{"date-parts":[["2015","10","30"]]},"page":"154-162","publisher":"Elsevier","title":"Life cycle assessment of nanocellulose-reinforced advanced fibre composites","type":"article-journal","volume":"118"},"uris":["http://www.mendeley.com/documents/?uuid=2442cda5-956f-3a60-bfa1-7a7bb7d36776"]},{"id":"ITEM-76","itemData":{"DOI":"10.1007/S11367-008-0004-1/TABLES/3","ISSN":"09483349","abstract":"Background, aim, and scope: Using renewable feedstock and introducing biocatalysts in the chemical industry have been suggested as the key strategies to reduce the environmental impact of chemicals. The Swedish interdisciplinary research program \"Speciality Chemicals from Renewable Resources- Greenchem\" is aiming to develop these strategies. One target group of chemicals for Greenchem are wax esters which can be used in wood coatings to replace paraffin wax made from fossil crude oil. The aim of this study was to conduct a life cycle assessment of wax esters based on rapeseed oil produced by biocatalysts (enzymes). The scope was to compare the environmental performance of wax esters with paraffin wax produced by conventional methods. Materials and methods: The study has a cradle-to-gate perspective and the functional unit is \"1-kg wax product ready to use in a wood coating product.\" Extensive data collection and calculations have been performed for the wax esters, whereas existing life cycle inventory data have been used for the paraffin wax. Results: The energy input into the wax ester production is about one third of the energy input in paraffin wax production. However, the wax ester has a higher contribution to the global warming potential (GWP) due to high emissions of nitrous oxide from rapeseed cultivation. Referring to a cradle-to-grave perspective, including waste incineration, the contribution to the GWP will, however, be 3.5 times higher from paraffin wax. Wax ester makes a higher contribution to the acidification and eutrophication potential, due to emissions from soil from rapeseed cultivation, but five times lower contribution to the photochemical ozone creation potential. From a land-use perspective and a global warming point of view, it is more efficient to produce paraffin wax and grow high-yielding, short-rotation coppice (Salix) to replace fuel oil than it is to grow rapeseed for wax ester production. Discussion: Overall, this study shows the importance of studying the environmental performance of a product not only from a gate-to-gate perspective but, instead, considering the environmental performance from cradle-to-gate. The biocatalytic production of the wax ester consumes less energy than the conventional chemical method, but the raw material step, cultivation of rapeseed contributes much to both acidification and eutrophication. When the waste treatment step is included, the contribution to GWP, however, for paraffin wax will be 3…","author":[{"dropping-particle":"","family":"Tufvesson","given":"Linda M.","non-dropping-particle":"","parse-names":false,"suffix":""},{"dropping-particle":"","family":"Börjesson","given":"Pål","non-dropping-particle":"","parse-names":false,"suffix":""}],"container-title":"International Journal of Life Cycle Assessment","id":"ITEM-76","issue":"4","issued":{"date-parts":[["2008","6","17"]]},"page":"328-338","publisher":"Springer","title":"Wax production from renewable feedstock using biocatalysts instead of fossil feedstock and conventional methods","type":"article-journal","volume":"13"},"uris":["http://www.mendeley.com/documents/?uuid=e6f0e62e-d716-30e4-b4fc-84554643916a"]},{"id":"ITEM-77","itemData":{"DOI":"10.1007/S11367-012-0503-Y/FIGURES/3","ISSN":"16147502","abstract":"Purpose: Lignin is a by-product of wood pulping that is normally used as fuel on-site (black liquor), but also has some applications in the field of new biomaterials. This study focuses on the life cycle inventory of lignin originating from the kraft pulping process, for polymer applications. The system boundary includes lignin precipitation from black liquor, washing, and drying, but excludes subsequent application-specific compatibilization modifications. Lignin transportation is considered to rely exclusively on trucking. Methods: This work is based on the ecoinvent v2.2 database and the IMPACT 2002+ impact assessment method. Special attention is given to the net effect of lignin precipitation on the mass and energy balances of the kraft process. Because the kraft black liquor supply will far exceed the demand for non-fuel uses for the foreseeable future, it is considered appropriate to use either the marginal variation method of physical allocation or a system boundary expansion. Consequently, the system boundary includes natural gas as a substitute fuel (when applicable) but excludes wood harvesting and the pulping process. Results and discussion: The main impacts of kraft lignin come from the natural gas subsystem (fuel substitution and drying) despite a significantly cleaner combustion than for black liquor. Other significant contributors include the production of carbon dioxide for precipitation, sulfuric acid for washing, and sodium hydroxide to make up for sodium losses, all of which have some improvement potential. Conclusions: The environmental profile of kraft lignin tends to be preferable to synthetic organic compounds of similar molecular complexity because its initial transformation chain is relatively energy efficient. It is thus an environmentally sound choice for polymer applications as long as near-unity substitution ratios can be achieved without requiring compatibilization modifications that are too environmentally intensive and without affecting other stages of the product life cycle. In particular, the end-of-life performance depends on long-term lignin sequestration. © 2012 Springer-Verlag Berlin Heidelberg.","author":[{"dropping-particle":"","family":"Bernier","given":"Etienne","non-dropping-particle":"","parse-names":false,"suffix":""},{"dropping-particle":"","family":"Lavigne","given":"Chantal","non-dropping-particle":"","parse-names":false,"suffix":""},{"dropping-particle":"","family":"Robidoux","given":"Pierre Yves","non-dropping-particle":"","parse-names":false,"suffix":""}],"container-title":"International Journal of Life Cycle Assessment","id":"ITEM-77","issue":"2","issued":{"date-parts":[["2013","2","1"]]},"page":"520-528","publisher":"Springer Verlag","title":"Life cycle assessment of kraft lignin for polymer applications","type":"article-journal","volume":"18"},"uris":["http://www.mendeley.com/documents/?uuid=3f3705df-1e50-3a24-b8ee-bbee28d54fe0"]},{"id":"ITEM-78","itemData":{"DOI":"10.1002/BBB.1406","ISSN":"1932-1031","abstract":"This article presents a life cycle assessment (LCA) on wheat gluten materials. Two objectives form the motivation for this paper. First, the study provides an assessment of the environmental impact of wheat gluten powder production. The aim of this contribution is to provide a base assessment which can feed into the evaluation of any future wheat-gluten-based product. Second, the study evaluates wheat-gluten-based packaging film and compares it with low density polyethylene (LDPE) and polylactide (PLA) packaging film over the life cycle of these products. Scenarios including extrusion and casting for film production, incineration with energy recovery, and composting for end-of-life treatments are evaluated. Such comparison offers insight in environmental benefits of wheat gluten over conventional plastic film as well as its bio-based alternative and identifies its optimal production and disposal methods. For wheat gluten production, the LCA results show that the impacts of the wheat cultivation and gluten drying phase are dominant in the majority of the 18 impact categories in the ReCiPe midpoint assessment method. The LCA results also exhibit that the scenario with wheat gluten film produced by extrusion and incinerated to recover embodied energy is favorable from environmental perspective. It offers great benefits in climate change and fossil depletion over LDPE film and in 14 impact categories over PLA film. Although wheat gluten film suffers from common problems for bio-based materials (e.g. land occupation), the overall environmental performance indicates that wheat gluten provides a promising source for bio-based polymer production. © 2013 Society of Chemical Industry and John Wiley &amp; Sons, Ltd.","author":[{"dropping-particle":"","family":"Deng","given":"Yelin","non-dropping-particle":"","parse-names":false,"suffix":""},{"dropping-particle":"","family":"Achten","given":"Wouter M.J.","non-dropping-particle":"","parse-names":false,"suffix":""},{"dropping-particle":"","family":"Acker","given":"Karel","non-dropping-particle":"Van","parse-names":false,"suffix":""},{"dropping-particle":"","family":"Duflou","given":"Joost R.","non-dropping-particle":"","parse-names":false,"suffix":""}],"container-title":"Biofuels, Bioproducts and Biorefining","id":"ITEM-78","issue":"4","issued":{"date-parts":[["2013","7","1"]]},"page":"429-458","publisher":"John Wiley &amp; Sons, Ltd","title":"Life cycle assessment of wheat gluten powder and derived packaging film","type":"article-journal","volume":"7"},"uris":["http://www.mendeley.com/documents/?uuid=9bb4a3e7-6ebf-3a11-8a4f-b12c04648f59"]},{"id":"ITEM-79","itemData":{"DOI":"10.1016/J.JCLEPRO.2013.07.026","ISSN":"0959-6526","abstract":"Thermoformed trays made from biobased materials were prepared from agricultural waste (seeds or tubers), plasticizer and polypropylene (PP). A talc-filled PP thermoformed tray was used for comparison. The carbon footprint of the thermoformed trays was calculated according to PAS 2050. System boundaries were established according to a business-to-business approach, based on data collected regarding the raw material production, transportation and processing. Biobased trays yield a lower carbon footprint than talc-filled polypropylene trays as a result of renewable resource input, a lower processing temperature and shorter thermoforming cycle. The carbon footprint reduction could be achieved through optimization of the thermoforming process and the use of low-footprint raw materials. © 2013 Elsevier Ltd. All rights reserved.","author":[{"dropping-particle":"","family":"Pang","given":"Ming Meng","non-dropping-particle":"","parse-names":false,"suffix":""},{"dropping-particle":"","family":"Pun","given":"Meng Yan","non-dropping-particle":"","parse-names":false,"suffix":""},{"dropping-particle":"","family":"Chow","given":"Wen Shyang","non-dropping-particle":"","parse-names":false,"suffix":""},{"dropping-particle":"","family":"Ishak","given":"Zainal Arifin Mohd","non-dropping-particle":"","parse-names":false,"suffix":""}],"container-title":"Journal of Cleaner Production","id":"ITEM-79","issued":{"date-parts":[["2014","2","1"]]},"page":"602-608","publisher":"Elsevier","title":"Carbon footprint calculation for thermoformed starch-filled polypropylene biobased materials","type":"article-journal","volume":"64"},"uris":["http://www.mendeley.com/documents/?uuid=48f428e0-b7bb-3b7f-adb8-cb137ed0da11"]},{"id":"ITEM-80","itemData":{"DOI":"10.3390/MA12182987","ISSN":"19961944","abstract":"Interest in intrinsically low-energy construction materials is becoming mainstream, and bio-based materials form a key part of that group of materials. The goal of this study was to analyse the environmental impact of applying a sol-gel coating on hemp shiv, in order to improve the durability of this innovative bio-based material, using a regionalised LCA model, taking into account regional specific peculiarities. This study analysed the environmental performance of using bio-based materials in the building envelope compared with traditional synthetic construction materials, and compared the impact of a regionalised approach with a global approach. The carbon footprint of treated hemp shiv in a wall with a U-value of 0.15 W/m2.K was compared to untreated hempcrete and a reference cavity wall with the same U-value. Considering the environmental damage caused by the production of hemp shiv, nitrogen fertiliser was the hotspot. The LCA results showed that, using innovative bio-based materials in construction, treated hemp shiv with sol-gel can decrease the carbon footprint of a building envelope through carbon sequestration. Using the more accurate site-specific information in life cycle inventory and impact assessment methods will result in more consistent and site-appropriate environmental results for decision-making.","author":[{"dropping-particle":"","family":"Heidari","given":"Mohammad Davoud","non-dropping-particle":"","parse-names":false,"suffix":""},{"dropping-particle":"","family":"Lawrence","given":"Michael","non-dropping-particle":"","parse-names":false,"suffix":""},{"dropping-particle":"","family":"Blanchet","given":"Pierre","non-dropping-particle":"","parse-names":false,"suffix":""},{"dropping-particle":"","family":"Amor","given":"Ben","non-dropping-particle":"","parse-names":false,"suffix":""}],"container-title":"Materials 2019, Vol. 12, Page 2987","id":"ITEM-80","issue":"18","issued":{"date-parts":[["2019","9","15"]]},"page":"2987","publisher":"Multidisciplinary Digital Publishing Institute","title":"Regionalised Life Cycle Assessment of Bio-Based Materials in Construction; the Case of Hemp Shiv Treated with Sol-Gel Coatings","type":"article-journal","volume":"12"},"uris":["http://www.mendeley.com/documents/?uuid=73ac1cdc-942d-30a4-9553-e5100e1f63c3"]},{"id":"ITEM-81","itemData":{"DOI":"10.1002/JCTB.5980","ISSN":"1097-4660","abstract":"BACKGROUND: Olive mill wastewaters (OMWs) represent a major environmental concern due to their high organic load and phytotoxic activity. The selective recovery of phenolic compounds (PCs) from OMW is promising, thanks to the antioxidant and antimicrobial properties of PCs. The goal of this work was to perform a life cycle assessment (LCA) and cost–benefit analysis (CBA) of a full-scale process of PC adsorption/desorption on resin Amberlite XAD16N. The industrial process was designed on the basis of laboratory tests aimed at performing a preliminary process optimization. RESULTS: Adsorption tests were conducted at different velocities in a 1.8-m column packed with XAD16N. The optimal superficial velocity and retention time (2.78 m h–1 and 0.56 h) allowed the attainment of satisfactory performances in terms of resin operating capacity (0.46), PC adsorption yield (0.92), PC mass fraction in the sorbed product (0.50 gPC/gVS) and specific antioxidant activity (3–6 gascorbic acid/gPC). Six consecutive adsorption/desorption cycles, operated with the same resin load, resulted in stable process performances. The LCA indicated that the environmental impact of the process could be decreased markedly through the addition of an anaerobic digestion step for the production of irrigation-quality water and fertilizers from the dephenolized OMW. The PC market price required for the generation of a positive business case resulted relatively low (€1.7–13.5 kgPC–1). CONCLUSION: The results indicate that the proposed PC adsorption/desorption technology, if integrated with an anaerobic digestion step, represents a promising solution for the treatment and valorization of OMW, a major agro-industrial waste in Mediterranean countries. © 2019 Society of Chemical Industry.","author":[{"dropping-particle":"","family":"Frascari","given":"Dario","non-dropping-particle":"","parse-names":false,"suffix":""},{"dropping-particle":"","family":"Molina Bacca","given":"Aurora Esther","non-dropping-particle":"","parse-names":false,"suffix":""},{"dropping-particle":"","family":"Wardenaar","given":"Tjerk","non-dropping-particle":"","parse-names":false,"suffix":""},{"dropping-particle":"","family":"Oertlé","given":"Emmanuel","non-dropping-particle":"","parse-names":false,"suffix":""},{"dropping-particle":"","family":"Pinelli","given":"Davide","non-dropping-particle":"","parse-names":false,"suffix":""}],"container-title":"Journal of Chemical Technology &amp; Biotechnology","id":"ITEM-81","issue":"6","issued":{"date-parts":[["2019","6","1"]]},"page":"1968-1981","publisher":"John Wiley &amp; Sons, Ltd","title":"Continuous flow adsorption of phenolic compounds from olive mill wastewater with resin XAD16N: life cycle assessment, cost–benefit analysis and process optimization","type":"article-journal","volume":"94"},"uris":["http://www.mendeley.com/documents/?uuid=3aa33273-c5fe-39fe-a163-2e777f995e9d"]},{"id":"ITEM-82","itemData":{"DOI":"10.3390/MOLECULES25122797","ISSN":"14203049","PMID":"32560446","abstract":"Biocomposites can be both environmentally and economically beneficial: during their life cycle they generally use and generate less petroleum-based carbon, and when produced from the byproduct of another industry or recycled back to the manufacturing process, they will bring additional economic benefits through contributing to a circular economy. Here we investigate and compare the environmental performance of a biocomposite composed of a soybean oil-based resin (epoxidized sucrose soyate) and flax-based reinforcement using life cycle assessment (LCA) methodology. We evaluate the main environmental impacts that are generated during the production of the bio-based resin used in the biocomposite, as well as the biocomposite itself. We compare the life cycle impacts of the proposed biocomposite to a functionally similar petroleum-based resin and flax fiber reinforced composite, to identify tradeoffs between the environmental performance of the two products. We demonstrate that the bio-based resin (epoxidized sucrose soyate) compared to a conventional (bisphenol A-based) resin shows lower negative environmental impacts in most studied categories. When comparing the biocomposite to the fossil fuel derived composite, it is demonstrated that using epoxidized sucrose soyate versus a bisphenol A (BPA)-based epoxy resin can improve the environmental performance of the composite in most categories except eutrophication and ozone layer depletion. For future designs, considering an alternative cross-linker to facilitate the bond between the bio-based resin and the flax fiber, may help improve the overall environmental performance of the biocomposite. An uncertainty analysis was also performed to evaluate the effect of variation in LCA model inputs on the environmental results for both the biocomposite and composite. The findings show a better overall carbon footprint for the biocomposite compared to the BPA-based composite at almost all times, demonstrating a good potential for marketability especially in the presence of incentives or regulations that address reducing the carbon intensity of products. This analysis allowed us to pinpoint hotspots in the biocomposite&amp;rsquo;s supply chain and recommend future modifications to improve the product&amp;rsquo;s sustainability.","author":[{"dropping-particle":"","family":"Ghasemi","given":"Shokoofeh","non-dropping-particle":"","parse-names":false,"suffix":""},{"dropping-particle":"","family":"Sibi","given":"Mukund P.","non-dropping-particle":"","parse-names":false,"suffix":""},{"dropping-particle":"","family":"Ulven","given":"Chad A.","non-dropping-particle":"","parse-names":false,"suffix":""},{"dropping-particle":"","family":"Webster","given":"Dean C.","non-dropping-particle":"","parse-names":false,"suffix":""},{"dropping-particle":"","family":"Pourhashem","given":"Ghasideh","non-dropping-particle":"","parse-names":false,"suffix":""}],"container-title":"Molecules 2020, Vol. 25, Page 2797","id":"ITEM-82","issue":"12","issued":{"date-parts":[["2020","6","17"]]},"page":"2797","publisher":"Multidisciplinary Digital Publishing Institute","title":"A Preliminary Environmental Assessment of Epoxidized Sucrose Soyate (ESS)-Based Biocomposite","type":"article-journal","volume":"25"},"uris":["http://www.mendeley.com/documents/?uuid=596e8519-2fd8-3844-a968-c79e6a5f22a0"]},{"id":"ITEM-83","itemData":{"DOI":"10.1039/C9GC00607A","ISSN":"14639270","abstract":"Highly efficient macroalgae based chemical factories and environmental protection have been comprehensively studied for the first time to displace fossil resources to mitigate climate change impact. Wild macroalgae by (bio)phytoremediation and residual macroalgae by biosorption can be used to treat wastewaters, marine environment, soil and sludge. Cultured macroalgae can be processed through drying, milling, grinding, suspension in deionised water and filtration extracting sap of heavy metals; centrifugation of solids recovering nutrients; ion exchange resins of supernatants separating protein and polysaccharides; dialysis purifying protein from salts and pretreatment of polysaccharides producing a sugar platform. Protein profiling shows the presence of the essential amino acids as well as others as food additive, flavour enhancer and pharmaceutical ingredient. Sugars can be converted into a chemical: Levulinic acid by controlled acid hydrolysis; 2,5-furandicarboxylic acid by heterogeneous catalytic reaction; succinic acid by tricarboxylic acid cycle; lactic acid by fermentation, with 3-5 times market value than bioethanol. Protein, sugar based chemical and inorganics give the highest to the lowest climate change impact savings of 12, 3 and 1 kg CO2 equivalent per kg product. Their cost of production is estimated at $2010 t-1, significantly lower than their market prices, making the integrated marine biorefinery system economically more attractive than lignocellulosic terrestrial biorefinery systems. Social life cycle assessment indicates that the highest to the lowest avoided social impacts will be from the displacements of animal based protein, sugars and minerals, in Indonesia, China and Philippines (producing 27 million tonnes per annum, 93% of global production).","author":[{"dropping-particle":"","family":"Sadhukhan","given":"Jhuma","non-dropping-particle":"","parse-names":false,"suffix":""},{"dropping-particle":"","family":"Gadkari","given":"Siddharth","non-dropping-particle":"","parse-names":false,"suffix":""},{"dropping-particle":"","family":"Martinez-Hernandez","given":"Elias","non-dropping-particle":"","parse-names":false,"suffix":""},{"dropping-particle":"","family":"Ng","given":"Kok Siew","non-dropping-particle":"","parse-names":false,"suffix":""},{"dropping-particle":"","family":"Shemfe","given":"Mobolaji","non-dropping-particle":"","parse-names":false,"suffix":""},{"dropping-particle":"","family":"Torres-Garcia","given":"Enelio","non-dropping-particle":"","parse-names":false,"suffix":""},{"dropping-particle":"","family":"Lynch","given":"Jim","non-dropping-particle":"","parse-names":false,"suffix":""}],"container-title":"Green Chemistry","id":"ITEM-83","issue":"10","issued":{"date-parts":[["2019","5","20"]]},"page":"2635-2655","publisher":"Royal Society of Chemistry","title":"Novel macroalgae (seaweed) biorefinery systems for integrated chemical, protein, salt, nutrient and mineral extractions and environmental protection by green synthesis and life cycle sustainability assessments","type":"article-journal","volume":"21"},"uris":["http://www.mendeley.com/documents/?uuid=c6710cef-21cc-38f3-a1b3-8aef31339f4e"]},{"id":"ITEM-84","itemData":{"DOI":"10.1021/IE5037287/SUPPL_FILE/IE5037287_SI_001.PDF","ISSN":"15205045","abstract":"A general framework implementing process design, simulation, heat integration, and life cycle assessment (LCA) is illustrated to develop a sustainable route, which is particularly exploited to evaluate the environmental impacts of the p-xylene production from both generation biomass feedstocks. Noticeably, the lignocellulose-based p-xylene is comparable with the petroleum-based p-xylene, while the starch-based p-xylene appears less environmentally friendly. In the latter case, the cultivation and processing of maize starch and heating requirements dominate total environmental impacts. The main contributions for the lignocellulose-based p-xylene arise from the cultivation of biomass and the large requirements of nonrenewable chemicals (i.e., the makeup solvent (THF) and ethylene). Sensitivity analysis indicates that high selectivity is also favored to achieve better environmental performance, while the impacts of conversion are negligible and discovers a large variance from different biomass feedstocks. The uncertainties caused by the assumptions and developing technologies are assessed by uncertainty analysis.","author":[{"dropping-particle":"","family":"Lin","given":"Zhaojia","non-dropping-particle":"","parse-names":false,"suffix":""},{"dropping-particle":"","family":"Nikolakis","given":"Vladimiros","non-dropping-particle":"","parse-names":false,"suffix":""},{"dropping-particle":"","family":"Ierapetritou","given":"Marianthi","non-dropping-particle":"","parse-names":false,"suffix":""}],"container-title":"Industrial and Engineering Chemistry Research","id":"ITEM-84","issue":"8","issued":{"date-parts":[["2015","3","4"]]},"page":"2366-2378","publisher":"American Chemical Society","title":"Life cycle assessment of biobased p -xylene production","type":"article-journal","volume":"54"},"uris":["http://www.mendeley.com/documents/?uuid=58501eea-fac3-3695-b352-7e567c2ec6f5"]},{"id":"ITEM-85","itemData":{"DOI":"10.1039/C5GC01549A","ISSN":"1463-9270","abstract":"Hexamethylenediamine (HMDA) is one of the key intermediates in the preparation of nylon 6-6 by polycondensation with adipic acid. Currently, the most used commercial process for HMDA manufacture proceeds via the hydrogenation of adiponitrile in ammonia, which is in turn produced by the hydrocyanation of butadiene. In this paper, we explore three alternative bio-based paths for HMDA production starting from high fructose syrup made from maize and potato-derived starch and using 5-(hydroxymethyl)furfural (HMF) as intermediate building block. Different routes have been compared using a combined economic and life-cycle assessment study including a sensitivity analysis on potential key parameters. Overall, our study reflects a higher economic benefit and a lower environmental impact of the benchmark fossil-based route. As for the environmental impact, the most advantageous of the three bio-based routes could present benefits in terms of CO2 footprint when the carbon sink is taken into account, but at the expense of a higher impact on terrestrial, marine and freshwater eutrophication. Possible process improvements to make bio-based routes affordable for HMDA production are proposed as an attempt to draw general rules for process eco-design.","author":[{"dropping-particle":"","family":"Dros","given":"A. B.","non-dropping-particle":"","parse-names":false,"suffix":""},{"dropping-particle":"","family":"Larue","given":"O.","non-dropping-particle":"","parse-names":false,"suffix":""},{"dropping-particle":"","family":"Reimond","given":"A.","non-dropping-particle":"","parse-names":false,"suffix":""},{"dropping-particle":"","family":"Campo","given":"F.","non-dropping-particle":"De","parse-names":false,"suffix":""},{"dropping-particle":"","family":"Pera-Titus","given":"M.","non-dropping-particle":"","parse-names":false,"suffix":""}],"container-title":"Green Chemistry","id":"ITEM-85","issue":"10","issued":{"date-parts":[["2015","10","2"]]},"page":"4760-4772","publisher":"The Royal Society of Chemistry","title":"Hexamethylenediamine (HMDA) from fossil- vs. bio-based routes: an economic and life cycle assessment comparative study","type":"article-journal","volume":"17"},"uris":["http://www.mendeley.com/documents/?uuid=1d99140f-6e95-3932-8045-9edbfc42584e"]},{"id":"ITEM-86","itemData":{"DOI":"10.1007/S11367-015-0855-1/FIGURES/6","ISSN":"16147502","abstract":"Purpose: To reduce its environmental impact, the chemical industry is investigating the biomass-based production of chemicals such as ethylene, including fermentation and gasification conversion processes. However, a comprehensive study that compares the environmental impact of these biomass routes is missing. This study assesses and compares a wood gasification with a wood fermentation route to ethylene in Sweden, as well as compares it with the commercialized sugarcane and fossil oil alternatives. Methods: The study followed the methodology of life cycle assessment. A cradle-to-gate perspective for the production of 50,000 t ethylene/year was applied, and the following impact categories were investigated: global warming (GWP), acidification (ACP), photochemical ozone creation (POCP), and eutrophication (EP). Results and discussion: Biomass acquisition including transport to the gasification plant was the major cause of the gasification route’s GWP and POCP, suggesting improvements with regard to fuel source and machine efficiency. NOx emissions from the gasification process had the main share on the ACP and EP. The comparison of the gasification with a wood and a sugarcane fermentation route showed a lower impact for the gasification route. Among other things, this is caused by high emissions from transport and cultivation for the sugarcane route and high emissions from enzyme and ethanol production for the wood fermentation route. The results were less distinct for a comparison of the gasification with a fossil-based route. Fossil-based ethylene production was found to be preferable for the ACP and the EP, but less preferable for the GWP and POCP. However, it needs to be considered that the fossil route has been optimized for decades and is still ahead of the gasification and other biomass routes. Conclusions: The study shows that a gasification-based production of ethylene could outperform a fermentation-based one; however, further investigations are recommended, given the state of development of the investigated biomass routes. Moreover, based on the limited availability of biomass, further investigations into economical and ecological restrictions are of importance.","author":[{"dropping-particle":"","family":"Liptow","given":"Christin","non-dropping-particle":"","parse-names":false,"suffix":""},{"dropping-particle":"","family":"Tillman","given":"Anne Marie","non-dropping-particle":"","parse-names":false,"suffix":""},{"dropping-particle":"","family":"Janssen","given":"Matty","non-dropping-particle":"","parse-names":false,"suffix":""}],"container-title":"International Journal of Life Cycle Assessment","id":"ITEM-86","issue":"5","issued":{"date-parts":[["2015","5","1"]]},"page":"632-644","publisher":"Springer Verlag","title":"Life cycle assessment of biomass-based ethylene production in Sweden — is gasification or fermentation the environmentally preferable route?","type":"article-journal","volume":"20"},"uris":["http://www.mendeley.com/documents/?uuid=08d62b92-f256-3303-aed6-3861d3c01156"]},{"id":"ITEM-87","itemData":{"DOI":"10.1039/c5gc02065d","ISSN":"14639270","abstract":"This article discusses the environmental sustainability of bio-based or green chemicals and highlights various factors determining their \"level of greenness\". Life cycle assessment was introduced as a system-wide approach that considers all processes from the extraction of natural resources to various bio-conversion steps that lead to the final product. Three bio-chemicals were selected in the investigation: methanol, formic acid, and acetone. The results suggest that the environmental benefits anticipated from renewable resources to produce green chemicals should be reviewed on a case by case basis. Sensitivity analysis was carried out to demonstrate that a 10% increase in biomass output and its availability (per unit land area) results in more CO2 savings than a 10% increased yield in the bio-conversion methods. More importantly, land use change may have a dramatic influence on the total CO2 emissions for lignocellulose utilization.","author":[{"dropping-particle":"","family":"Khoo","given":"H. H.","non-dropping-particle":"","parse-names":false,"suffix":""},{"dropping-particle":"","family":"Ee","given":"W. L.","non-dropping-particle":"","parse-names":false,"suffix":""},{"dropping-particle":"","family":"Isoni","given":"Valerio","non-dropping-particle":"","parse-names":false,"suffix":""}],"container-title":"Green Chemistry","id":"ITEM-87","issue":"7","issued":{"date-parts":[["2016"]]},"page":"1912-1922","publisher":"Royal Society of Chemistry","title":"Bio-chemicals from lignocellulose feedstock: Sustainability, LCA and the green conundrum","type":"article-journal","volume":"18"},"uris":["http://www.mendeley.com/documents/?uuid=0321a52d-7ad0-3ca9-8464-b925ea159ecb"]},{"id":"ITEM-88","itemData":{"DOI":"10.3390/MA9070563","ISSN":"19961944","abstract":"The bio-based industrial sector has been recognized by the European Union as a priority area toward sustainability, however, the environmental profile of bio-based products needs to be further addressed. This study investigated, through the Life Cycle Assessment (LCA) approach, the environmental performance of bio-based 1,4-butanediol (BDO) produced via direct fermentation of sugars from wheat straw, within a hypothetical regional biorefinery (Campania Region, Southern Italy). The aim was: (i) to identify the hotspots along the production chain; and (ii) to assess the potential environmental benefits of this bio-based polymer versus the reference conventional product (fossil-based BDO). Results identified the prevailing contribution to the total environmental load of bio-based BDO in the feedstock production and in the heat requirement at the biorefinery plant. The modeled industrial bio-based BDO supply chain, showed a general reduction of the environmental impacts compared to the fossil-based BDO. The lowest benefits were gained in terms of acidification and eutrophication, due to the environmental load of the crop phase for feedstock cultivation.","author":[{"dropping-particle":"","family":"Forte","given":"Annachiara","non-dropping-particle":"","parse-names":false,"suffix":""},{"dropping-particle":"","family":"Zucaro","given":"Amalia","non-dropping-particle":"","parse-names":false,"suffix":""},{"dropping-particle":"","family":"Basosi","given":"Riccardo","non-dropping-particle":"","parse-names":false,"suffix":""},{"dropping-particle":"","family":"Fierro","given":"Angelo","non-dropping-particle":"","parse-names":false,"suffix":""}],"container-title":"Materials 2016, Vol. 9, Page 563","id":"ITEM-88","issue":"7","issued":{"date-parts":[["2016","7","12"]]},"page":"563","publisher":"Multidisciplinary Digital Publishing Institute","title":"LCA of 1,4-Butanediol Produced via Direct Fermentation of Sugars from Wheat Straw Feedstock within a Territorial Biorefinery","type":"article-journal","volume":"9"},"uris":["http://www.mendeley.com/documents/?uuid=8982a48e-6c6f-322f-a346-92d8ef1ddf6e"]},{"id":"ITEM-89","itemData":{"DOI":"10.1021/ACSSUSCHEMENG.5B00550","abstract":"Lignin is the second most abundant natural polymer on Earth. The aromatic structure of lignin makes it a promising platform for biobased chemicals. Catalytic depolymerization of lignin has been dem...","author":[{"dropping-particle":"","family":"Montazeri","given":"Mahdokht","non-dropping-particle":"","parse-names":false,"suffix":""},{"dropping-particle":"","family":"Eckelman","given":"Matthew J.","non-dropping-particle":"","parse-names":false,"suffix":""}],"container-title":"ACS Sustainable Chemistry and Engineering","id":"ITEM-89","issue":"3","issued":{"date-parts":[["2016","3","7"]]},"page":"708-718","publisher":"American Chemical Society","title":"Life Cycle Assessment of Catechols from Lignin Depolymerization","type":"article-journal","volume":"4"},"uris":["http://www.mendeley.com/documents/?uuid=874ed79c-50db-3945-9c38-e42c18ddc3b8"]},{"id":"ITEM-90","itemData":{"DOI":"10.1016/j.ces.2016.12.054","ISSN":"00092509","abstract":"Lignocellulosic Lactic acid (LA) production is considered for the diversification and value addition to an existing sugar industry by annexing a biorefinery using lignocellulosic residues, sugarcane bagasse and leaves (SCBL). In biorefinery, the hemicellulose (C5sugars) and cellulose (C6sugars), resulting from lignocellulosic matrix fractionation, can be converted into building block chemicals and fuels by biotechnological or chemical pathways. To co-produce LA with other fuels and chemicals from SCBL, it is important to determine whether LA production from C5or C6sugars should be preferred, based on economic viability and environmental impacts. In this paper we developed six process scenarios for LA production from either the hemicellulose liquid fraction and cellu-lignin solid fractions of SCBL after steam explosion pretreatment, based on 200 tonne/day of SCBL feed. The lignocellulose fraction not used for LA production will be used for integrated production of other marketable products in a biorefinery. Scenarios S1, S3, &amp; S5 use the hemicellulose liquid fraction as feed for LA production, while scenarios S2, S4, &amp; S6 use the cellu-lignin solid fraction. Two scenarios, S1 &amp; S2, use Ca(OH)2as neutralizer in fermentation, resulting in co-production of gypsum as solid waste, scenarios S3 and S4 use an isolated acid-tolerant thermophilic bacteria, Bacillus coagulans isolates for fermentation, thus avoiding the need for neutralization, while Scenarios S5 and S6 use Mg(OH)2as neutralizer in fermentation, with recycling of Mg(OH)2. LA was separated and purified from the fermentation broth by reactive distillation. The six process scenarios were modeled and simulated by Aspen Plus® with the resulting mass &amp; energy balance and equipment-sizing used as inputs to economic analysis and environmental impact assessment. Standard life cycle assessment (LCA) method is used in SimaPro® for environmental impact quantification. Cellulose based processes have larger LA production rates than the hemicellulose based processes, for the same flow rate of SCBL, which impacts on their total capital investment (TCI), operating cost (OPEX) and revenues for the same process technology. Increases of 7.08%, 58.13%, 12.04% and 60% in TCI, revenue, OPEX and LA production rates, respectively were observed in moving from S1 to S2. Similar increases of 10.88%, 86.52%, 18.52% and 91.07% in TCI, revenue, OPEX and LA production respectively in moving from S3 to S4. An increment of 10.08%,…","author":[{"dropping-particle":"","family":"Gezae Daful","given":"Asfaw","non-dropping-particle":"","parse-names":false,"suffix":""},{"dropping-particle":"","family":"Görgens","given":"Johann F.","non-dropping-particle":"","parse-names":false,"suffix":""}],"container-title":"Chemical Engineering Science","id":"ITEM-90","issued":{"date-parts":[["2017","4","27"]]},"page":"53-65","publisher":"Elsevier Ltd","title":"Techno-economic analysis and environmental impact assessment of lignocellulosic lactic acid production","type":"article-journal","volume":"162"},"uris":["http://www.mendeley.com/documents/?uuid=3e8a77c3-cab3-38b8-ae9e-94a0a8f7e458"]},{"id":"ITEM-91","itemData":{"DOI":"10.1016/J.JCLEPRO.2016.08.104","ISSN":"0959-6526","abstract":"Bio-succinic acid (bio-SAC) is a promising industrial alternative to the currently used petroleum counterparts. This is mainly due to its energy and environmental performances, which were both, assessed using a cradle-to-gate LCA approach. The foreground data used in this LCA were based on real production data from a facility in Louisiana, USA that uses a non-food crop feedstock. Results indicate that electricity use and heat generation were identified to have the biggest impact on the energy and environmental performances of bio-SAC and to have the highest improvements potential. In addition, bio-SAC has lower GWP and non-ren CED values in comparison to petroleum-based SAC by 385% and 1045%, respectively. Scenario analyses indicate that using an energy intensive feedstock (e.g., dextrose) instead of sorghum will have an adverse impact on bio-SAC GWP and non-ren CED.","author":[{"dropping-particle":"","family":"Moussa","given":"Hassan I.","non-dropping-particle":"","parse-names":false,"suffix":""},{"dropping-particle":"","family":"Elkamel","given":"Ali","non-dropping-particle":"","parse-names":false,"suffix":""},{"dropping-particle":"","family":"Young","given":"Steven B.","non-dropping-particle":"","parse-names":false,"suffix":""}],"container-title":"Journal of Cleaner Production","id":"ITEM-91","issued":{"date-parts":[["2016","12","15"]]},"page":"761-769","publisher":"Elsevier","title":"Assessing energy performance of bio-based succinic acid production using LCA","type":"article-journal","volume":"139"},"uris":["http://www.mendeley.com/documents/?uuid=0bbbcef4-f84b-3fe3-9260-314064c11c3f"]},{"id":"ITEM-92","itemData":{"DOI":"10.1039/C6EE00634E","ISSN":"1754-5706","abstract":"Over the past few years, bio-succinic acid from renewable resources has gained increasing attention as a potential bio-derived platform chemical for the detergent/surfactant, ion chelator, food and pharmaceutical markets. Until now, much research was undertaken to lower the production costs of bio-succinic acid, however a multicriteria sustainability evaluation of established and upcoming production processes from a technical perspective is still lacking in the scientific literature. In this study, we combine metabolic engineering with the most mature technologies for the production of bio-succinic acid from sugar beet and lignocellulosic residues. Downstream technologies such as reactive extraction, electrodialysis and ion exchange are investigated together with different upstream technologies such as neutral pH level-, acidic- and high sugar fermentation including metabolically engineered E. coli strains. Different biorefinery concepts are evaluated considering technical, economic, environmental and process hazard aspects in order to gain a broad sustainability perspective of the technologies. The results reveal that energy integration is a key factor for biorefinery concepts in order to be economically reasonable and to achieve lower environmental impacts compared to the conventional production from non-renewable resources. It was found that metabolically engineered E. coli with resistance at the acidic pH level in the fermentation together with reactive extraction in the purification presents the most environmentally competitive technology. However, E. coli strains with resistance at high sugar concentrations together with reactive extraction are revealed to present the most economically competitive technology for the production of bio-succinic acid. Moreover, both technologies are flagged for higher process hazards and require the right measures to enhance process safety and mitigate environmental loads and worker exposure.","author":[{"dropping-particle":"","family":"Morales","given":"Merten","non-dropping-particle":"","parse-names":false,"suffix":""},{"dropping-particle":"","family":"Ataman","given":"Meriç","non-dropping-particle":"","parse-names":false,"suffix":""},{"dropping-particle":"","family":"Badr","given":"Sara","non-dropping-particle":"","parse-names":false,"suffix":""},{"dropping-particle":"","family":"Linster","given":"Sven","non-dropping-particle":"","parse-names":false,"suffix":""},{"dropping-particle":"","family":"Kourlimpinis","given":"Ioannis","non-dropping-particle":"","parse-names":false,"suffix":""},{"dropping-particle":"","family":"Papadokonstantakis","given":"Stavros","non-dropping-particle":"","parse-names":false,"suffix":""},{"dropping-particle":"","family":"Hatzimanikatis","given":"Vassily","non-dropping-particle":"","parse-names":false,"suffix":""},{"dropping-particle":"","family":"Hungerbühler","given":"Konrad","non-dropping-particle":"","parse-names":false,"suffix":""}],"container-title":"Energy &amp; Environmental Science","id":"ITEM-92","issue":"9","issued":{"date-parts":[["2016","8","31"]]},"page":"2794-2805","publisher":"The Royal Society of Chemistry","title":"Sustainability assessment of succinic acid production technologies from biomass using metabolic engineering","type":"article-journal","volume":"9"},"uris":["http://www.mendeley.com/documents/?uuid=1d802660-05cf-3ef1-b136-8d8860955be7"]},{"id":"ITEM-93","itemData":{"DOI":"10.1039/C5GC02148K","ISSN":"14639270","abstract":"In the past few decades, innovative approaches such as Green Chemistry and Green Engineering have come out in order to set the basic principles for a more sustainable chemical industry. However, researchers also need a more scientific and quantitative tool to address the sustainability behind the application of those principles. Therefore, a multi-criteria approach based on life cycle thinking was proposed to investigate the production of 1,3-butadiene. Five indicators were selected to address sustainability: the Cumulative Energy Demand, the carbon footprint, the water depletion, a midpoint-oriented analysis method and an economic index. The use of renewable feedstock was evaluated in comparison with the traditional fossil-based route from naphtha. Two alternative pathways which use bio-ethanol were considered - the Lebedev and Ostromisslensky processes - evaluating the possibility to locate the plant in three different regions (the EU, Brazil and the US). Detailed analysis reveals how the use of bio-based feedstock leads to a significantly lower consumption of fossil sources, despite the higher exploitation of renewable resources leading to larger water withdrawals. Moreover, the assessment of the global warming potential reveals how bio-routes are far from able to be considered carbon-neutral. In addition, the ReCiPe single-score was used, showing greater sustainability of the Lebedev process compared with the traditional way. On the other hand, the two-step pathways (Ostromisslensky) result in the worst scores. An economic evaluation was also applied. The index reveals how the direct conversion into 1,3-butadiene seems more suitable than the two-step method, particularly in the case of production in the US.","author":[{"dropping-particle":"","family":"Cespi","given":"D.","non-dropping-particle":"","parse-names":false,"suffix":""},{"dropping-particle":"","family":"Passarini","given":"F.","non-dropping-particle":"","parse-names":false,"suffix":""},{"dropping-particle":"","family":"Vassura","given":"I.","non-dropping-particle":"","parse-names":false,"suffix":""},{"dropping-particle":"","family":"Cavani","given":"F.","non-dropping-particle":"","parse-names":false,"suffix":""}],"container-title":"Green Chemistry","id":"ITEM-93","issue":"6","issued":{"date-parts":[["2016","3","16"]]},"page":"1625-1638","publisher":"Royal Society of Chemistry","title":"Butadiene from biomass, a life cycle perspective to address sustainability in the chemical industry","type":"article-journal","volume":"18"},"uris":["http://www.mendeley.com/documents/?uuid=66583241-c601-3b46-8ba9-9fa072a91d75"]},{"id":"ITEM-94","itemData":{"DOI":"10.1016/J.JCLEPRO.2016.08.156","ISSN":"0959-6526","abstract":"The development of a bio-based economy is seen as a key strategy towards a sustainable society in a world facing climate change, energy security and social distress. However, since substantial uncertainty is involved in early-stage design analyses, the ranking and identification of potential sustainable solutions is a challenging task. This work aims at facilitating the environmental sustainability assessment under uncertainty at the conceptual design of bioprocesses. This, in turn, enables screening design alternatives, and establishing a ranking of the most promising pathways. To this end, a step-wise methodology has been proposed to assist decision-makers to: (i) collect and generate the input data for bioprocesses; (ii) systematically reduce uncertainty concerning the material fluxes at the early stage design of bioprocesses, reducing overall uncertainty in the life cycle inventory; (iii) handle parameter uncertainty, by applying the Monte Carlo technique for the propagation of uncertainty in characterization factors to the potential impact categories' outcomes; (iv) establish sound quantitative thresholds for alternatives comparison by incorporating a probabilistic interpretation; and lastly, (v) rank the alternatives within the design space. Finally, the methodology's applicability is highlighted by screening early-stage glycerol bioconversion routes to value-added chemicals for future biorefinery concepts. Through the proposed methodology, it was demonstrated that the statistical approach suggested ensures consistent and robust ranking of alternatives; thereby identifying lactic acid as the best potential environmentally sustainable alternative within the design space.","author":[{"dropping-particle":"","family":"Gargalo","given":"Carina L.","non-dropping-particle":"","parse-names":false,"suffix":""},{"dropping-particle":"","family":"Cheali","given":"Peam","non-dropping-particle":"","parse-names":false,"suffix":""},{"dropping-particle":"","family":"Posada","given":"John A.","non-dropping-particle":"","parse-names":false,"suffix":""},{"dropping-particle":"","family":"Carvalho","given":"Ana","non-dropping-particle":"","parse-names":false,"suffix":""},{"dropping-particle":"V.","family":"Gernaey","given":"Krist","non-dropping-particle":"","parse-names":false,"suffix":""},{"dropping-particle":"","family":"Sin","given":"Gürkan","non-dropping-particle":"","parse-names":false,"suffix":""}],"container-title":"Journal of Cleaner Production","id":"ITEM-94","issued":{"date-parts":[["2016","12","15"]]},"page":"1245-1260","publisher":"Elsevier","title":"Assessing the environmental sustainability of early stage design for bioprocesses under uncertainties: An analysis of glycerol bioconversion","type":"article-journal","volume":"139"},"uris":["http://www.mendeley.com/documents/?uuid=e41771f3-11ec-3dcb-85f6-aa12e31d5688"]},{"id":"ITEM-95","itemData":{"DOI":"10.1039/C4EE03352C","ISSN":"1754-5706","abstract":"Recently, lactic acid has emerged as one of the most relevant platform molecules for the preparation of bio-chemicals. Due to the limited productivity of sugar fermentation, the dominant industrial technology practiced for its manufacture, new chemocatalytic processes are being developed in order to meet the expected demand for this intermediate. The Lewis-acid catalysed isomerisation of dihydroxyacetone has attracted particular interest. If the reaction is performed in water, lactic acid is attained directly, while if alcohol is used as the solvent, the desired product can be obtained upon subsequent hydrolysis of the alkyl lactates formed. Herein, we (i) demonstrate tin-containing MFI zeolites prepared by scalable methods as highly active, selective and recyclable catalysts able to operate in concentrated dihydroxyacetone aqueous and methanolic solutions, and (ii) reveal by life cycle analysis that a process comprising the enzymatic production of dihydroxyacetone from crude glycerol and its chemocatalytic isomerisation in methanol is advantageous for the production of lactic acid compared to glucose fermentation in terms of both sustainability and operating costs. In particular, we demonstrate that the reduced energy requirements and CO2 emissions of the cascade process originate from the valorisation of a waste feedstock and from the high performance and recyclability of the zeolite catalyst and that the economic advantage is strongly determined by the comparably low market price of glycerol. It is also shown that the bio-/chemocatalytic route remains ecologically and economically more attractive even if the purity of glycerol is as low as 38%.","author":[{"dropping-particle":"","family":"Morales","given":"Merten","non-dropping-particle":"","parse-names":false,"suffix":""},{"dropping-particle":"","family":"Dapsens","given":"Pierre Y.","non-dropping-particle":"","parse-names":false,"suffix":""},{"dropping-particle":"","family":"Giovinazzo","given":"Isabella","non-dropping-particle":"","parse-names":false,"suffix":""},{"dropping-particle":"","family":"Witte","given":"Julia","non-dropping-particle":"","parse-names":false,"suffix":""},{"dropping-particle":"","family":"Mondelli","given":"Cecilia","non-dropping-particle":"","parse-names":false,"suffix":""},{"dropping-particle":"","family":"Papadokonstantakis","given":"Stavros","non-dropping-particle":"","parse-names":false,"suffix":""},{"dropping-particle":"","family":"Hungerbühler","given":"Konrad","non-dropping-particle":"","parse-names":false,"suffix":""},{"dropping-particle":"","family":"Pérez-Ramírez","given":"Javier","non-dropping-particle":"","parse-names":false,"suffix":""}],"container-title":"Energy &amp; Environmental Science","id":"ITEM-95","issue":"2","issued":{"date-parts":[["2015","2","4"]]},"page":"558-567","publisher":"The Royal Society of Chemistry","title":"Environmental and economic assessment of lactic acid production from glycerol using cascade bio- and chemocatalysis","type":"article-journal","volume":"8"},"uris":["http://www.mendeley.com/documents/?uuid=674572ea-dc16-33b1-9292-05068e27a127"]},{"id":"ITEM-96","itemData":{"DOI":"10.1021/ES7032235","ISSN":"0013936X","PMID":"18853816","abstract":"Polyhydroxyalkanoates (PHA) are promising eco-friendly bioplastics that can be produced from cellulosic ethanol biorefineries as value-added coproducts. A cradle-to-factory-gate life cycle assessme...","author":[{"dropping-particle":"","family":"Yu","given":"Jian","non-dropping-particle":"","parse-names":false,"suffix":""},{"dropping-particle":"","family":"Chen","given":"Lilian X.L.","non-dropping-particle":"","parse-names":false,"suffix":""}],"container-title":"Environmental Science and Technology","id":"ITEM-96","issue":"18","issued":{"date-parts":[["2008","9","15"]]},"page":"6961-6966","publisher":" American Chemical Society","title":"The Greenhouse Gas Emissions and Fossil Energy Requirement of Bioplastics from Cradle to Gate of a Biomass Refinery","type":"article-journal","volume":"42"},"uris":["http://www.mendeley.com/documents/?uuid=35835363-1d50-354d-9c0b-c85542e30c7a"]},{"id":"ITEM-97","itemData":{"DOI":"10.1021/es8004199","ISSN":"0013936X","abstract":"Polyhydroxybutyrates (PHB) are well-known biopolymers derived from sugars or vegetable oils. Cradle-to-gate environmental performance of PHB derived from corn grain is evaluated through life cycle assessment (LCA), particularly nonrenewable energy consumption and greenhouse gas emissions. Site-specific process information on the corn wet milling and PHB fermentation and recovery processes was obtained from Telles. Most of energy used in the corn wet milling and PHB fermentation and recovery processes is generated in a cogeneration power plant in which corn stover, assumed to be representative of a variety of biomass sources that could be used, is burned to generate electricity and steam. County level agricultural information is used in estimating the environmental burdens associated with both corn grain and corn stover production. Results show that PHB derived from corn grain offers environmental advantages over petroleum-derived polymers in terms of nonrenewable energy consumption and greenhouse gas emissions. Furthermore, PHB provides greenhouse gas credits, and thus PHB use reduces greenhouse gas emissions compared to petroleum-derived polymers. Corn cultivation is one of the environmentally sensitive areas in the PHB production system. More sustainable practices in corn cultivation (e.g., using no-tillage and winter cover crops) could reduce the environmental impacts of PHB by up to 72%. © 2008 American Chemical Society.","author":[{"dropping-particle":"","family":"Kim","given":"Seungdo","non-dropping-particle":"","parse-names":false,"suffix":""},{"dropping-particle":"","family":"Dale","given":"Bruce E.","non-dropping-particle":"","parse-names":false,"suffix":""}],"container-title":"Environmental Science and Technology","id":"ITEM-97","issue":"20","issued":{"date-parts":[["2008","10","15"]]},"page":"7690-7695","publisher":" American Chemical Society","title":"Energy and greenhouse gas profiles of polyhydroxybutyrates derived from corn grain: A life cycle perspective","type":"article-journal","volume":"42"},"uris":["http://www.mendeley.com/documents/?uuid=d0795ea5-6499-3a7d-a06f-0b349edda01e"]},{"id":"ITEM-98","itemData":{"DOI":"10.1016/J.RESCONREC.2012.01.008","ISSN":"0921-3449","abstract":"This study applies life cycle assessment to a potential production pathway for polyhydroxybutyrate (PHB), from the cellulosic fraction of organic residuals from material recovery facilities that otherwise are disposed of in a landfill. The cradle-to-gate production of PHB from this proposed pathway results in primary energy consumption and emissions of approximately 55-76 MJ/kg and 3.4-5.0 kg carbon dioxide-equivalent/kg, respectively. By comparison, producing PHB from a dedicated agricultural feedstock such as corn is estimated to require approximately twice the energy and greenhouse gas emissions as PHB from material recovery facility residuals. The study also considers an expanded modeling system boundary that assesses the consequences of diverting the organic fraction of material recovery facility residuals from landfills for biopolymer production. This diversion leads to reduced fugitive emissions of landfill gas but also reduced power generation from landfills that combust landfill gas. Including the changes to landfill gas generation leads to greater variability in carbon-intensity estimates for PHB: from as low as -1.7, to as high as 6.3 kg carbon dioxide-equivalent/kg PHB. Key contributors to this variability include the selection of an analytical time horizon for landfill gas generation, assumptions about landfill gas collection and combustion, and disposal options for PHB material. The expanded system boundary highlights current gaps in life cycle assessment methodology; in particular, the lack of clear conventions on analytical time horizon selection for processes with long-term consequences, such as landfill gas generation. © 2012 Elsevier B.V. All rights reserved.","author":[{"dropping-particle":"","family":"Kendall","given":"Alissa","non-dropping-particle":"","parse-names":false,"suffix":""}],"container-title":"Resources, Conservation and Recycling","id":"ITEM-98","issued":{"date-parts":[["2012","4","1"]]},"page":"69-74","publisher":"Elsevier","title":"A life cycle assessment of biopolymer production from material recovery facility residuals","type":"article-journal","volume":"61"},"uris":["http://www.mendeley.com/documents/?uuid=e50f7103-e563-3d76-bbed-712a463022e3"]},{"id":"ITEM-99","itemData":{"DOI":"10.1039/c2ee02480b","ISSN":"17545706","abstract":"An energy and greenhouse gas (GHG) balance study was performed on the production of the bioplastic polyethylene furandicarboxylate (PEF) starting from corn based fructose. The goal of the study was to analyze and to translate experimental data on the catalytic dehydration of fructose to a simulation model, using the ASPEN Plus modeling software. The mass and energy balances of the simulation model results were then used as inputs for a process chain analysis (by application of the life cycle assessment methodology, LCA) and compared to its petrochemical counterpart polyethylene terephthalate (PET). The production of PEF can be divided into three main units: the production of fructose from corn starch; the conversion of fructose into Furanics and subsequent recovery and upgrading; and the oxidation to the monomer 2,5-furandicarboxylic acid (FDCA) and polymerization with ethylene glycol (EG) into PEF. The ASPEN Plus simulation model describes the conversion of fructose into Furanics, subsequent recovery and upgrading and a CHP unit. The production of fructose from corn starch and the oxidation and polymerization into PEF were based on the literature. In total, six model cases were analyzed, using different sets of underlying experimental data; four cases based on crystalline fructose and two cases on high fructose corn syrup (HFCS). Fructose can be converted into Furanics at efficiencies between 38% and 47%. The production of PEF can reduce the NREU approximately 40% to 50% while GHG emissions can be reduced approximately 45% to 55%, compared to PET for the system cradle to grave. These reductions are higher than for other biobased plastics, such as polylactic acid (PLA) or polyethylene (PE). With an annual market size of approximately 15 million metric tonnes (Mt) of PET bottles produced worldwide, the complete bottle substitution of PEF for PET would allow us to save between 440 and 520 PJ of non-renewable energy use (NREU) and to reduce GHG emissions by 20 to 35 Mt of CO&lt;inf&gt;2&lt;/inf&gt; equivalents. If also substantial substitution takes place in the PET fibres and film industry, the savings increase accordingly. The GHG emissions could be further reduced by a switch to lignocellulosic feedstocks, such as straw, but this requires additional research. © 2012 The Royal Society of Chemistry.","author":[{"dropping-particle":"","family":"Eerhart","given":"A. J.J.E.","non-dropping-particle":"","parse-names":false,"suffix":""},{"dropping-particle":"","family":"Faaij","given":"A. P.C.","non-dropping-particle":"","parse-names":false,"suffix":""},{"dropping-particle":"","family":"Patel","given":"M. K.","non-dropping-particle":"","parse-names":false,"suffix":""}],"container-title":"Energy and Environmental Science","id":"ITEM-99","issue":"4","issued":{"date-parts":[["2012","3","21"]]},"page":"6407-6422","publisher":"Royal Society of Chemistry","title":"Replacing fossil based PET with biobased PEF; Process analysis, energy and GHG balance","type":"article-journal","volume":"5"},"uris":["http://www.mendeley.com/documents/?uuid=d01737c4-c4b7-3955-819a-23073c6e11ff"]},{"id":"ITEM-100","itemData":{"DOI":"10.1007/s11367-012-0511-y","ISSN":"09483349","abstract":"Purpose: Shifting the resource base for chemical and energy production from fossil feed stocks to renewable raw materials is seen by many as one of the key strategies towards sustainable development. The objective of this study is to assess the environmental burdens of producing polyitaconic acid (PIA), a water-soluble polymer derived from itaconic acid identified by the US Department of Energy as one of the top 12 value added chemicals from northeast (NE) US softwood biomass. Results are compared to corn-derived PIA and fossil-based poly acrylic acid (PAA) on the basis of 1 kg of polymer at the factory gate. Methods: This study uses attributional life cycle assessment to quantify global warming potential (GWP), fossil energy demand (CED), acidification, eutrophication, water use, and land occupation of the polymer production routes. This includes feedstock growth and harvest, sugar extraction, fermentation, itaconic acid recovery, and subsequent polymerization. Foreground data for softwood-derived PIA comes from lab- and pilot plant runs undertaken by Itaconix LLC. Results and discussion: Results indicate that the use of softwood-based PIA may be advantageous in terms of GWP, CED, and acidification when compared to both, the integrated corn biorefinery and fossil-based PAA production. When looking at impacts to eutrophication and water use, the use of softwood leads to lower potential impacts compared to its corn-based counterpart but to higher impacts when compared to fossil-based PAA. Land occupation, to a large extent, due to lower yields and longer growth cycles associated with softwood growth in the NE, is highest for softwood-derived PIA and lowest for fossil-based PAA. Environmental impacts are mainly the results of onsite electricity use, inputs of activated carbon and sodium hydroxide, as well as water use during sugar extraction and fermentation. Assumptions with regards to allocation, activated carbon inputs, and electricity mixes to processes of the foreground system are tested in a sensitivity analysis. Conclusions: Wood-derived PIA production may be an interesting alternative to current fossil-based pathways and could contribute to a future biobased economy. However, currently, land occupation, water use, and eutrophication are high when compared to traditional PAA production. The use of short rotation crops or waste feedstocks and optimization with regards to water requirements and reuse should be investigated to further lower system-wid…","author":[{"dropping-particle":"","family":"Nuss","given":"Philip","non-dropping-particle":"","parse-names":false,"suffix":""},{"dropping-particle":"","family":"Gardner","given":"Kevin H.","non-dropping-particle":"","parse-names":false,"suffix":""}],"container-title":"International Journal of Life Cycle Assessment","id":"ITEM-100","issue":"3","issued":{"date-parts":[["2013","10","2"]]},"page":"603-612","publisher":"Springer","title":"Attributional life cycle assessment (ALCA) of polyitaconic acid production from northeast US softwood biomass","type":"article-journal","volume":"18"},"uris":["http://www.mendeley.com/documents/?uuid=8f047dd0-4d71-320a-9ac5-dbdbfa980fea"]},{"id":"ITEM-101","itemData":{"DOI":"10.1007/s11367-014-0725-2","ISSN":"16147502","abstract":"Purpose: This study provides a preliminary comparison of the environmental burdens of three different pathways for production of bio-based purified terephthalic acid (PTA), suitable for the production of 100 % bio-based poly(ethylene terephthalate), PET. These pathways are through (1) muconic acid originating in wheat stover; (2) isobutanol originating in corn; and (3) benzene, toluene, and xylene (BTX) originating in poplar. The goal is to point out what areas of these processes are the largest environmental contributors and hence are the most critical for development of accurate primary data, as well as to indicate which of these pathways looks most promising, from an environmental viewpoint, for production of 100 % bio-based PET. Methods: Because much of the needed life cycle information to produce PTA is currently not available, inventory data for each scenario for the production of PTA were estimated based on the chemistry involved. In the impact analysis stage, the inventory data were classified and characterized with a focus on several environmental midpoint categories. SimaPro 7.3.3 software was used as the main computational software and Impact 2002+ v2.1 was used as the life cycle impact assessment methodology in this attributional life cycle assessment. Results and discussion: Valuable preliminary environmental impact data including identification of critical steps in the process were obtained. The global warming value of PET synthesized through the muconic acid scenario was 1.6 times larger than that of the scenario of PET synthesized through BTX even after a limited Monte Carlo simulation of 1,000 runs. Conclusions: Among the three scenarios for producing PET, PET synthesized through BTX looked the most promising to pursue for production of bio-based PET with lower environmental burdens. This work also indicated that the first production steps of producing PET through any of the evaluated scenarios (from biomass to the first intermediate) are responsible for the largest environmental burden and should be further characterized since they were the dominant processes in many impact categories. © 2014 Springer-Verlag.","author":[{"dropping-particle":"","family":"Akanuma","given":"Yasuhiko","non-dropping-particle":"","parse-names":false,"suffix":""},{"dropping-particle":"","family":"Selke","given":"Susan E.M.","non-dropping-particle":"","parse-names":false,"suffix":""},{"dropping-particle":"","family":"Auras","given":"Rafael","non-dropping-particle":"","parse-names":false,"suffix":""}],"container-title":"International Journal of Life Cycle Assessment","id":"ITEM-101","issue":"6","issued":{"date-parts":[["2014","2","25"]]},"page":"1238-1246","publisher":"Springer Verlag","title":"A preliminary LCA case study: Comparison of different pathways to produce purified terephthalic acid suitable for synthesis of 100 % bio-based PET","type":"article-journal","volume":"19"},"uris":["http://www.mendeley.com/documents/?uuid=0afe6ef9-a7e9-371a-8c8d-052fe9f6ca62"]},{"id":"ITEM-102","itemData":{"DOI":"10.1016/j.jclepro.2013.09.030","ISSN":"09596526","abstract":"Bioplastic polymer that is produced from cassava has been considered the most promising alternative to conventional plastics as there is an abundant renewable resource in Thailand. The objective of this study was to analyze the life cycle environmental performance of polylactic acid (PLA) drinking water bottles produced in Thailand with an emphasis on different end-of-life scenarios. The functional unit was set at 1000 units of 250-ml drinking water bottles. The system boundary of the study covered all stages in the life cycle, including cultivation and harvesting, cassava starch production, transportation, glucose production, the polymerization process to produce PLA resin, PLA bottles production, and disposal process. The input-output data included the use of resources (water, chemicals, materials), energy (electricity, fuels), and all emissions based on the functional unit. The life cycle environmental performance of PLA drinking water bottles was compared with that of polyethylene terephthalate (PET) bottles for the same functional unit. The global warming potential, fossil energy demand, acidification, eutrophication, and human toxicity were selected in the analysis. The results obtained in this study showed that the environmental performance of cassava-based PLA bottles was better than PET bottles in terms of global warming, reduction of dependency on fossil energy, and human toxicity. In addition, it was shown that improving cassava starch process by combining with biogas production and utilization will lead to significant reduction in global warming potential and eutrophication potential. © 2013 Elsevier Ltd. All rights reserved.","author":[{"dropping-particle":"","family":"Papong","given":"Seksan","non-dropping-particle":"","parse-names":false,"suffix":""},{"dropping-particle":"","family":"Malakul","given":"Pomthong","non-dropping-particle":"","parse-names":false,"suffix":""},{"dropping-particle":"","family":"Trungkavashirakun","given":"Ruethai","non-dropping-particle":"","parse-names":false,"suffix":""},{"dropping-particle":"","family":"Wenunun","given":"Pechda","non-dropping-particle":"","parse-names":false,"suffix":""},{"dropping-particle":"","family":"Chom-In","given":"Tassaneewan","non-dropping-particle":"","parse-names":false,"suffix":""},{"dropping-particle":"","family":"Nithitanakul","given":"Manit","non-dropping-particle":"","parse-names":false,"suffix":""},{"dropping-particle":"","family":"Sarobol","given":"Ed","non-dropping-particle":"","parse-names":false,"suffix":""}],"container-title":"Journal of Cleaner Production","id":"ITEM-102","issued":{"date-parts":[["2014","2","15"]]},"page":"539-550","publisher":"Elsevier","title":"Comparative assessment of the environmental profile of PLA and PET drinking water bottles from a life cycle perspective","type":"article-journal","volume":"65"},"uris":["http://www.mendeley.com/documents/?uuid=f3be7a3d-2f84-320d-8e56-d7fee14f2a02"]},{"id":"ITEM-103","itemData":{"DOI":"10.1063/1.4901870","ISSN":"19417012","abstract":"Poly-3-hydroxybutyrate (PHB) is a renewable, biodegradable biopolymer that has shown great promise to offset the use of hydrocarbon-derived plastics. The genes encoding the bacterial PHB production...","author":[{"dropping-particle":"","family":"Hohenschuh","given":"William","non-dropping-particle":"","parse-names":false,"suffix":""},{"dropping-particle":"","family":"Kumar","given":"Deepak","non-dropping-particle":"","parse-names":false,"suffix":""},{"dropping-particle":"","family":"Murthy","given":"Ganti S.","non-dropping-particle":"","parse-names":false,"suffix":""}],"container-title":"Journal of Renewable and Sustainable Energy","id":"ITEM-103","issue":"6","issued":{"date-parts":[["2014","11","20"]]},"page":"063113","publisher":"AIP Publishing LLCAIP Publishing","title":"Economic and cradle-to-gate life cycle assessment of poly-3-hydroxybutyrate production from plastic producing, genetically modified hybrid poplar leaves","type":"article-journal","volume":"6"},"uris":["http://www.mendeley.com/documents/?uuid=09a1c598-ec27-3ec2-a4ae-edf4f8b9bbe0"]},{"id":"ITEM-104","itemData":{"DOI":"10.1016/J.NBT.2013.09.003","ISSN":"1871-6784","PMID":"24121250","abstract":"Assessing the environmental performance of emerging technologies using life cycle assessment (LCA) can be challenging due to a lack of data in relation to technologies, application areas or other life cycle considerations, or a lack of LCA methodology that address the specific concerns. Nevertheless, LCA can be a valuable tool in the environmental optimisation in the technology development phase. One emerging technology is the mixed-culture production of polyhydroxyalkanoates (PHAs). PHA production by pure microbial cultures has been developed and assessed in several LCAs during the previous decade. Recent developments within mixed-culture PHA production call for environmental assessment to guide in technology development. Mixed-culture PHA production can use the organic content in wastewater as a feedstock; the production may then be integrated with wastewater treatment (WWT) processes. This means that mixed-culture PHA is produced as a by-product from services in the WWT.This article explores different methodological challenges for LCA of mixed-culture PHA production using organic material in wastewater as feedstock.LCAs of both pure- and mixed-culture PHA production were reviewed. Challenges, similarities and differences when assessing PHA production by mixed- or pure-cultures were identified and the resulting implications for methodological choices in LCA were evaluated and illustrated, using a case study with mixed- and pure-culture PHA model production systems, based on literature data.Environmental impacts of processes producing multiple products or services need to be allocated between the different products or services. Such situations occur both in feedstock production and when the studied system is providing multiple functions. The selection of allocation method is shown to determine the LCA results. The type of data used, for electricity in the energy system, is shown to be important for the results, which indicates, a strong regional dependency of results for systems with electricity use as an environmental hot spot. The importance of assessing water use, an environmental impact not assessed by any of the reviewed studies, is highlighted. © 2013 Elsevier B.V.","author":[{"dropping-particle":"","family":"Heimersson","given":"Sara","non-dropping-particle":"","parse-names":false,"suffix":""},{"dropping-particle":"","family":"Morgan-Sagastume","given":"Fernando","non-dropping-particle":"","parse-names":false,"suffix":""},{"dropping-particle":"","family":"Peters","given":"Gregory M.","non-dropping-particle":"","parse-names":false,"suffix":""},{"dropping-particle":"","family":"Werker","given":"Alan","non-dropping-particle":"","parse-names":false,"suffix":""},{"dropping-particle":"","family":"Svanström","given":"Magdalena","non-dropping-particle":"","parse-names":false,"suffix":""}],"container-title":"New Biotechnology","id":"ITEM-104","issue":"4","issued":{"date-parts":[["2014","6","25"]]},"page":"383-393","publisher":"Elsevier","title":"Methodological issues in life cycle assessment of mixed-culture polyhydroxyalkanoate production utilising waste as feedstock","type":"article-journal","volume":"31"},"uris":["http://www.mendeley.com/documents/?uuid=2b31d007-43e7-3fb4-8450-46ee185b3b7b"]},{"id":"ITEM-105","itemData":{"abstract":"Presently, very few life cycle assessment (LCA) studies have been conducted and reported on the production of palm polyol. Previously, most of the LCA studies on the polyol production are limited to petroleum, soya or castor polyol. In this study, a LCA of a palm polyol was performed. The objective of this study is to identify any potential environmental impacts that could be associated with the production of palm polyol. The cradle-to-gate system boundary for the production of palm polyol shows that the most significant impact from the palm polyol production comes from the energy use at the polyol plant. This impact is mainly contributed by electricity, and production of hydrogen peroxide and formic acid that were used during the epoxidation process. The largest greenhouse gasses (GHG) contribution was from consumption of electricity from the national grid that was mainly used for pilot plant polyol process. However, from this study, about 29% reduction in the GHG emissions generated by the production of palm polyol could be achieved by using the best approach normally used in oil palm industry which is using continued land use and biogas capture scenario.","author":[{"dropping-particle":"","family":"Zolkarnain","given":"Noorazah","non-dropping-particle":"","parse-names":false,"suffix":""},{"dropping-particle":"","family":"Yusoff","given":"Sumiani","non-dropping-particle":"","parse-names":false,"suffix":""},{"dropping-particle":"","family":"Subramaniam","given":"Vijaya","non-dropping-particle":"","parse-names":false,"suffix":""},{"dropping-particle":"","family":"Abd Maurad","given":"Zulina","non-dropping-particle":"","parse-names":false,"suffix":""},{"dropping-particle":"","family":"Abu Bakar","given":"Zailan","non-dropping-particle":"","parse-names":false,"suffix":""},{"dropping-particle":"","family":"Ghazali","given":"Razmah","non-dropping-particle":"","parse-names":false,"suffix":""},{"dropping-particle":"","family":"Abu Hassan","given":"Hazimah","non-dropping-particle":"","parse-names":false,"suffix":""}],"container-title":"Journal of oil Palm research","id":"ITEM-105","issue":"2","issued":{"date-parts":[["2015"]]},"page":"144-155","title":"Evaluation of environmental impacts and GHG of palm polyol production using life cycle assessment approach","type":"article-journal","volume":"27"},"uris":["http://www.mendeley.com/documents/?uuid=6a097942-1040-32cb-bb2e-e92004f3b366"]},{"id":"ITEM-106","itemData":{"DOI":"10.1016/J.JCLEPRO.2014.09.041","ISSN":"0959-6526","abstract":"The extensive use of fossil-based plastics has raised concerns regarding the depletion of fossil resources and the deterioration of the environment. Phenyllactic acid (PhLA), fermented from renewable resources, could be used to produce high-performance bio-plastics able to replace the fossil-based engineering plastics (FBEPs) in many applications. In order to evaluate the environmental performance of poly(PhLA) produced from sweet sorghum, a cradle-to-factory-gate life cycle assessment was performed for two impact categories, namely fossil energy consumption and greenhouse gas (GHG) emissions per kilogram of poly(PhLA). These two impact categories were compared with those of the FBEPs, and with those of the bio-based polylactides (PLA) and poly(hydroxyalkanoate) (PHA). The fossil energy consumption for poly(PhLA) is 24.2 MJ/kg, which is lower than that of the FBEPs and the bio-based PLA and PHA. However, the GHG emissions are 6.2 kg CO2 eq/kg using the current technology; these are higher than those of the FBEPs and bio-based PLA and PHA. The results of a sensitivity analysis show that the GHG emissions become less than those of FBEPs when increasing the efficiency of separation and purification to more than 90.3%, the PhLA yield to more than 20.6%, the sugar extraction rate to 96%, the Brix of sorghum juice to more than 19.4%, and the sorghum yield to more than 79.2 t/ha. These results show that using the poly(PhLA) produced from sweet sorghum to replace the FBEPs has the potential to reduce fossil energy consumption and GHG emissions.","author":[{"dropping-particle":"","family":"Sun","given":"Xiao Zheng","non-dropping-particle":"","parse-names":false,"suffix":""},{"dropping-particle":"","family":"Minowa","given":"Tomoaki","non-dropping-particle":"","parse-names":false,"suffix":""},{"dropping-particle":"","family":"Yamaguchi","given":"Katsunobu","non-dropping-particle":"","parse-names":false,"suffix":""},{"dropping-particle":"","family":"Genchi","given":"Yutaka","non-dropping-particle":"","parse-names":false,"suffix":""}],"container-title":"Journal of Cleaner Production","id":"ITEM-106","issue":"1","issued":{"date-parts":[["2015","1","15"]]},"page":"208-215","publisher":"Elsevier","title":"Evaluation of energy consumption and greenhouse gas emissions from poly(phenyllactic acid) production using sweet sorghum","type":"article-journal","volume":"87"},"uris":["http://www.mendeley.com/documents/?uuid=dabd8b9a-fc9c-33bc-a3e1-4e66dbf6e99b"]},{"id":"ITEM-107","itemData":{"DOI":"10.1016/j.jclepro.2015.07.090","ISSN":"09596526","abstract":"The evaluation of the environmental impact of an innovative material at an early stage of development is of fundamental importance during the design phase of a product. In this regard, a full-fledged Life Cycle Assessment presents some major limitations: it can be performed mainly as an ex-post analysis, and it does not account for the intrinsic properties of the material. The growing need to compare the properties of new materials with those of industrially optimized ones poses further issues. For example, production at the lab/pilot scale cannot be directly compared to industrial systems, primarily due to the large discrepancy in the yields of the processes involved. In the present work, an ex-ante Life Cycle Assessment approach is proposed to forecast the environmental impact of a new material, overcoming the aforementioned issues. The most relevant added value of the proposed methodology lies in the use of primary data collected on lab/pilot scale systems alongside data simulated from thermo-chemical considerations. A scale-up protocol is thus detailed and then applied to the case of polybutylene succinate, a biopolymer that is gaining attention particularly as a replacement for polyolefins, and is obtained from bio-based succinic acid. Furthermore, a sensitivity analysis is used to evaluate and compare different renewable sources and chemical routes available for the production of bio-based succinic acid. Monte Carlo simulation is used to process the uncertainty data for all of the assessments. The case study of polybutylene succinate highlights the advantages of the adopted scale-up methodology with particular reference to the ease of implementation and consistency of results.","author":[{"dropping-particle":"","family":"Tecchio","given":"Paolo","non-dropping-particle":"","parse-names":false,"suffix":""},{"dropping-particle":"","family":"Freni","given":"Pierluigi","non-dropping-particle":"","parse-names":false,"suffix":""},{"dropping-particle":"","family":"Benedetti","given":"Bruno","non-dropping-particle":"De","parse-names":false,"suffix":""},{"dropping-particle":"","family":"Fenouillot","given":"Françoise","non-dropping-particle":"","parse-names":false,"suffix":""}],"container-title":"Journal of Cleaner Production","id":"ITEM-107","issued":{"date-parts":[["2016"]]},"page":"316-325","publisher":"Elsevier Ltd","title":"Ex-ante Life Cycle Assessment approach developed for a case study on bio-based polybutylene succinate","type":"article-journal","volume":"112"},"uris":["http://www.mendeley.com/documents/?uuid=9f3bb317-ba44-413f-a46b-694c0926d0c8"]},{"id":"ITEM-108","itemData":{"DOI":"10.1016/J.JCLEPRO.2016.04.155","ISSN":"0959-6526","abstract":"Sodium polyacrylate (Na-PA) is a super absorbent polymer, which is commonly used in diverse hygiene products. The polymer is currently produced from fossil feedstock and its production consequently leads to adverse environmental impacts. Na-PA production from sugars present in pulp mill side streams can potentially be a successful way to achieve a more sustainable production of this polymer. In order to guide the development of a novel biochemical process for producing Na-PA, a life cycle assessment was done in which Na-PA produced from side streams of thermo-mechanical pulp (TMP) and sulfite pulp mills were compared. Furthermore, a comparison was made with Na-PA produced from fossil resources. The results show that the main determinant of the environmental impact of the bio-based Na-PA production is the free sugar content in the side streams. The lowest environmental impact is achieved by the least diluted side streams. More diluted side streams require larger amounts of energy for concentration, and, if the diluted streams are not concentrated, processes such as hydrolysis and detoxification, and fermentation are the environmental hotspots. Furthermore, the higher the yield of the fermentation process, the lower the environmental impact will be. Lastly, the production of bio-based Na-PA led to a lower global warming potential for some of the considered pulp mill side streams, but all of the other impacts considered were higher, when compared to fossil-based Na-PA production. Therefore, in parallel with efforts to develop a high-yield yeast for the fermentation process, technology developers should focus on low energy concentration processes for the side streams.","author":[{"dropping-particle":"","family":"Gontia","given":"Paul","non-dropping-particle":"","parse-names":false,"suffix":""},{"dropping-particle":"","family":"Janssen","given":"Matty","non-dropping-particle":"","parse-names":false,"suffix":""}],"container-title":"Journal of Cleaner Production","id":"ITEM-108","issued":{"date-parts":[["2016","9","10"]]},"page":"475-484","publisher":"Elsevier","title":"Life cycle assessment of bio-based sodium polyacrylate production from pulp mill side streams: case study of thermo-mechanical and sulfite pulp mills","type":"article-journal","volume":"131"},"uris":["http://www.mendeley.com/documents/?uuid=82817f71-4523-323e-810a-9a1307d2c64e"]},{"id":"ITEM-109","itemData":{"DOI":"10.1016/j.jclepro.2016.07.094","ISSN":"09596526","abstract":"Both biofuels and bioplastics are often regarded as sustainable solutions to current environmental problems such as climate change, fossil depletion and acidification. However, both have been criticized for being economically costly, competing with other societally beneficial goods such as food, and offering limited environmental benefits compared to their fossil counterparts. This study provides a comparative environmental Life Cycle Analysis (LCA) for 100% bio-based polyethylene terephthalate (PET) bottles, versus fully fossil-based and partially bio-based PET bottles. An attributional life cycle assessment (aLCA) and sensitivity analysis of key assumptions is carried out to compare cradle-to-factory-gate impacts (i.e. feedstock extraction, component production and product manufacturing) of twelve PET bottle production scenarios. Results indicate that woody-biomass based PET bottles have 21% less global warming potential and require 22% less fossil fuel than their fossil based counterparts, but perform worse in other categories such as ecotoxicity and ozone depletion impacts. Results are sensitive to impact allocation assumptions as well as parameter input assumptions related to isobutanol production. In most categories, with avoided impact credits considered, forest residue feedstocks result in overall better environmental performance than corn stover feedstocks for bio-PET bottle production. The variability in avoided burdens could alter the relative environmental rankings for fossil and bio-PET bottles. Depending on the biomass feedstock, extraction and pre-processing are likely more emission-intensive than the corresponding fossil refinery processes due to the significant upstream emissions embodied in the application of fertilizers, and the significant chemical and energy inputs required to break recalcitrant lignocellulosic bonds.","author":[{"dropping-particle":"","family":"Chen","given":"Luyi","non-dropping-particle":"","parse-names":false,"suffix":""},{"dropping-particle":"","family":"Pelton","given":"Rylie E.O.","non-dropping-particle":"","parse-names":false,"suffix":""},{"dropping-particle":"","family":"Smith","given":"Timothy M.","non-dropping-particle":"","parse-names":false,"suffix":""}],"container-title":"Journal of Cleaner Production","id":"ITEM-109","issued":{"date-parts":[["2016","11","20"]]},"page":"667-676","publisher":"Elsevier Ltd","title":"Comparative life cycle assessment of fossil and bio-based polyethylene terephthalate (PET) bottles","type":"article-journal","volume":"137"},"uris":["http://www.mendeley.com/documents/?uuid=2f9a5ef7-01cf-3e2e-b587-e3b06d6e5776"]},{"id":"ITEM-110","itemData":{"DOI":"10.1021/acs.est.5b05589","ISSN":"15205851","abstract":"Interest in biobased products has been motivated, in part, by the claim that these products have lower life cycle greenhouse gas (GHG) emissions than their fossil counterparts. This study investigates GHG emissions from U.S. production of three important biobased polymer families: polylactic acid (PLA), polyhydroxybutyrate (PHB) and bioethylene-based plastics. The model incorporates uncertainty into the life cycle emission estimates using Monte Carlo simulation. Results present a range of scenarios for feedstock choice (corn or switchgrass), treatment of coproducts, data sources, end of life assumptions, and displaced fossil polymer. Switchgrass pathways generally have lower emissions than corn pathways, and can even generate negative cradle-to-gate emissions if unfermented residues are used to coproduce energy. PHB (from either feedstock) is unlikely to have lower emissions than fossil polymers once end of life emissions are included. PLA generally has the lowest emissions when compared to high emission fossil polymers, such as polystyrene (mean GHG savings up to 1.4 kg CO2e/kg corn PLA and 2.9 kg CO2e/kg switchgrass PLA). In contrast, bioethylene is likely to achieve the greater emission reduction for ethylene intensive polymers, like polyethylene (mean GHG savings up to 0.60 kg CO2e/kg corn polyethylene and 3.4 kg CO2e/kg switchgrass polyethylene).","author":[{"dropping-particle":"","family":"Posen","given":"I. Daniel","non-dropping-particle":"","parse-names":false,"suffix":""},{"dropping-particle":"","family":"Jaramillo","given":"Paulina","non-dropping-particle":"","parse-names":false,"suffix":""},{"dropping-particle":"","family":"Griffin","given":"W. Michael","non-dropping-particle":"","parse-names":false,"suffix":""}],"container-title":"Environmental Science and Technology","id":"ITEM-110","issue":"6","issued":{"date-parts":[["2016","3","15"]]},"page":"2846-2858","publisher":"American Chemical Society","title":"Uncertainty in the Life Cycle Greenhouse Gas Emissions from U.S. Production of Three Biobased Polymer Families","type":"article-journal","volume":"50"},"uris":["http://www.mendeley.com/documents/?uuid=c748b0f1-9cfb-30f4-a3e9-5370a91442f8"]},{"id":"ITEM-111","itemData":{"DOI":"10.1016/J.BIOMBIOE.2015.12.014","ISSN":"0961-9534","abstract":"Polymers are one of the most used materials and the majority of their production is based on fossil fuels. Due to the decrease of oil resources and concerns about climate change, alternatives are needed, the transformation of biobased ethanol into biobased polymer being one of them. This paper undertakes an environmental evaluation of the production of biobased polymer produced from two different feedstock cultivated in Belgium: sugar beet and wheat. Both crops cultivation are studied as well as their transformation into biobased ethanol, first, and then to biobased ethylene, focusing on high-density polyethylene (HDPE) as final product. These scenarios are analyzed and compared with the production of conventional polymer using the life-cycle assessment (LCA) methodology with reference to relevant environmental impact categories. This study shows a reduction of impact of around 60% for both climate change and fossil fuel depletion categories when using biobased HDPE instead of its fossil counterpart. For all other impact categories, fossil HDPE achieves better results than the biobased product.","author":[{"dropping-particle":"","family":"Belboom","given":"Sandra","non-dropping-particle":"","parse-names":false,"suffix":""},{"dropping-particle":"","family":"Léonard","given":"Angélique","non-dropping-particle":"","parse-names":false,"suffix":""}],"container-title":"Biomass and Bioenergy","id":"ITEM-111","issued":{"date-parts":[["2016","2","1"]]},"page":"159-167","publisher":"Pergamon","title":"Does biobased polymer achieve better environmental impacts than fossil polymer? Comparison of fossil HDPE and biobased HDPE produced from sugar beet and wheat","type":"article-journal","volume":"85"},"uris":["http://www.mendeley.com/documents/?uuid=9fccc1a7-fb6d-3796-bea8-ac9e637280f1"]},{"id":"ITEM-112","itemData":{"DOI":"10.1065/LCA2004.08.171","ISSN":"1614-7502","abstract":"This study attempts to estimate the environmental performance of Polyhydroxyalkanoates (PHA), from agricultural production through the PHA fermentation and recovery process – “cradle to gate”. Two types of PHA production systems are investigated: corn grain based PHA and corn grain and corn stover based PHA. Corn cultivation data are taken from 14 counties in the Corn Belt states of the United States – Illinois, Indiana, Iowa, Michigan, Minnesota, Ohio, and Wisconsin. The environmental burdens associated with the corn wet milling process, in which dextrose, corn oil, corn gluten meal and corn gluten feed are produced, are allocated to dextrose and its coproducts by the system expansion approach. Greenhouse gases include carbon taken up by soil, nitrous oxide (N2O) released from soil during corn cultivation, carbon contents in biobased products as well as carbon dioxide, methane and nitrous oxide released from industrial processing. The soil carbon and nitrogen dynamics in corn cultivation are predicted by an agro–ecosystem model, the DAYCENT model. The environmental performance of the PHA production system is compared to that of a conventional polymer fulfilling an equivalent function. The environmental performance is addressed as nonrenewable energy and selected potential environmental impacts including global warming, photochemical smog, acidification, and eutrophication. The characterization factors are adapted from the TRACI model (Tools for the Reduction and Assessment of Chemical and Other Environmental Impacts) developed by the United States Environmental Protection Agency. Global warming associated with corn grain based PHA is 1.6–4.1 kg-CO2 eq. kg–1. The primary contributing process to most environmental impacts except for photochemical smog and eutrophication is the PHA fermentation and recovery process. For photochemical smog and eutrophication, the primary contributing process is corn cultivation due to nitrogen related burdens from soil. The trend of PHA fermentation development shows that the PHA fermentation technology is still immature and continues to improve, thereby also decreasing the environmental impacts. PHA produced in an integrated system, in which corn stover is harvested and used as raw material for PHA along with corn grain, offers global warming credits (negative greenhouse gas emissions), ranging from –0.28 to –1.9 kg-CO2 eq. kg–1, depending on the PHA fermentation technologies employed and significantly reduces the environ…","author":[{"dropping-particle":"","family":"Kim","given":"Seungdo","non-dropping-particle":"","parse-names":false,"suffix":""},{"dropping-particle":"","family":"Dale","given":"Bruce E.","non-dropping-particle":"","parse-names":false,"suffix":""}],"container-title":"The International Journal of Life Cycle Assessment 2005 10:3","id":"ITEM-112","issue":"3","issued":{"date-parts":[["2004","8","21"]]},"page":"200-210","publisher":"Springer","title":"Life Cycle Assessment Study of Biopolymers (Polyhydroxyalkanoates) - Derived from No-Tilled Corn (11 pp)","type":"article-journal","volume":"10"},"uris":["http://www.mendeley.com/documents/?uuid=1e46d132-b992-3a0d-ae6a-e827c94a2be0"]}],"mendeley":{"formattedCitation":"&lt;sup&gt;1,2,11,101–110,12,111,112,13–20,3,21–30,4,31–40,5,41–50,6,51–60,7,61–70,8,71–80,9,81–90,10,91–100&lt;/sup&gt;","plainTextFormattedCitation":"1,2,11,101–110,12,111,112,13–20,3,21–30,4,31–40,5,41–50,6,51–60,7,61–70,8,71–80,9,81–90,10,91–100","previouslyFormattedCitation":"&lt;sup&gt;1,2,11,101–110,12,111,13–20,3,21–30,4,31–40,5,41–50,6,51–60,7,61–70,8,71–80,9,81–90,10,91–100&lt;/sup&gt;"},"properties":{"noteIndex":0},"schema":"https://github.com/citation-style-language/schema/raw/master/csl-citation.json"}</w:instrText>
      </w:r>
      <w:r>
        <w:rPr>
          <w:rFonts w:cstheme="minorHAnsi"/>
          <w:lang w:val="it-IT"/>
        </w:rPr>
        <w:fldChar w:fldCharType="separate"/>
      </w:r>
      <w:r>
        <w:rPr>
          <w:rFonts w:cstheme="minorHAnsi"/>
          <w:vertAlign w:val="superscript"/>
        </w:rPr>
        <w:t>1,2,11,101–110,12,111,112,13–20,3,21–30,4,31–40,5,41–50,6,51–60,7,61–70,8,71–80,9,81–90,10,91–100</w:t>
      </w:r>
      <w:r>
        <w:rPr>
          <w:rFonts w:cstheme="minorHAnsi"/>
          <w:lang w:val="it-IT"/>
        </w:rPr>
        <w:fldChar w:fldCharType="end"/>
      </w:r>
    </w:p>
    <w:tbl>
      <w:tblPr>
        <w:tblStyle w:val="PlainTable11"/>
        <w:tblW w:w="12945" w:type="dxa"/>
        <w:tblLayout w:type="fixed"/>
        <w:tblLook w:val="04A0" w:firstRow="1" w:lastRow="0" w:firstColumn="1" w:lastColumn="0" w:noHBand="0" w:noVBand="1"/>
      </w:tblPr>
      <w:tblGrid>
        <w:gridCol w:w="421"/>
        <w:gridCol w:w="941"/>
        <w:gridCol w:w="681"/>
        <w:gridCol w:w="504"/>
        <w:gridCol w:w="567"/>
        <w:gridCol w:w="992"/>
        <w:gridCol w:w="567"/>
        <w:gridCol w:w="709"/>
        <w:gridCol w:w="709"/>
        <w:gridCol w:w="708"/>
        <w:gridCol w:w="709"/>
        <w:gridCol w:w="709"/>
        <w:gridCol w:w="850"/>
        <w:gridCol w:w="471"/>
        <w:gridCol w:w="522"/>
        <w:gridCol w:w="841"/>
        <w:gridCol w:w="718"/>
        <w:gridCol w:w="644"/>
        <w:gridCol w:w="682"/>
      </w:tblGrid>
      <w:tr w:rsidR="0009124B" w:rsidRPr="00154069" w:rsidTr="00154069">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left w:val="single" w:sz="4" w:space="0" w:color="auto"/>
              <w:bottom w:val="single" w:sz="4" w:space="0" w:color="auto"/>
              <w:right w:val="single" w:sz="4" w:space="0" w:color="auto"/>
            </w:tcBorders>
            <w:noWrap/>
          </w:tcPr>
          <w:p w:rsidR="0009124B" w:rsidRPr="00154069" w:rsidRDefault="00EB3E17">
            <w:pPr>
              <w:rPr>
                <w:rFonts w:ascii="Calibri" w:eastAsia="Times New Roman" w:hAnsi="Calibri" w:cs="Calibri"/>
                <w:b w:val="0"/>
                <w:bCs w:val="0"/>
                <w:sz w:val="10"/>
                <w:szCs w:val="16"/>
              </w:rPr>
            </w:pPr>
            <w:r w:rsidRPr="00154069">
              <w:rPr>
                <w:rFonts w:ascii="Calibri" w:eastAsia="Times New Roman" w:hAnsi="Calibri" w:cs="Calibri"/>
                <w:sz w:val="10"/>
                <w:szCs w:val="16"/>
              </w:rPr>
              <w:t>Study number</w:t>
            </w:r>
          </w:p>
        </w:tc>
        <w:tc>
          <w:tcPr>
            <w:tcW w:w="941"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Bio-based product</w:t>
            </w:r>
          </w:p>
        </w:tc>
        <w:tc>
          <w:tcPr>
            <w:tcW w:w="681"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Product category</w:t>
            </w:r>
          </w:p>
        </w:tc>
        <w:tc>
          <w:tcPr>
            <w:tcW w:w="504"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Category Emerging Technology</w:t>
            </w:r>
          </w:p>
        </w:tc>
        <w:tc>
          <w:tcPr>
            <w:tcW w:w="567"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Feedstock</w:t>
            </w:r>
          </w:p>
        </w:tc>
        <w:tc>
          <w:tcPr>
            <w:tcW w:w="992"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Feedstock Category</w:t>
            </w:r>
          </w:p>
        </w:tc>
        <w:tc>
          <w:tcPr>
            <w:tcW w:w="567"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Land Use Change impact</w:t>
            </w:r>
          </w:p>
        </w:tc>
        <w:tc>
          <w:tcPr>
            <w:tcW w:w="709" w:type="dxa"/>
            <w:tcBorders>
              <w:top w:val="single" w:sz="4" w:space="0" w:color="auto"/>
              <w:left w:val="single" w:sz="4" w:space="0" w:color="auto"/>
              <w:bottom w:val="single" w:sz="4" w:space="0" w:color="auto"/>
              <w:right w:val="single" w:sz="4" w:space="0" w:color="auto"/>
            </w:tcBorders>
            <w:noWrap/>
          </w:tcPr>
          <w:p w:rsidR="0009124B" w:rsidRPr="00154069" w:rsidRDefault="00EB3E1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Fossil-based product</w:t>
            </w:r>
          </w:p>
        </w:tc>
        <w:tc>
          <w:tcPr>
            <w:tcW w:w="709"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GHG emissions bio-based product (kg CO2 eq./kg product), cradle-to-grave</w:t>
            </w:r>
          </w:p>
        </w:tc>
        <w:tc>
          <w:tcPr>
            <w:tcW w:w="708"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GHG emissions fossil-based counter product (kg CO2 eq./kg product), cradle-to-grave</w:t>
            </w:r>
          </w:p>
        </w:tc>
        <w:tc>
          <w:tcPr>
            <w:tcW w:w="709"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Response Ratio (RR)</w:t>
            </w:r>
          </w:p>
        </w:tc>
        <w:tc>
          <w:tcPr>
            <w:tcW w:w="709"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Biogenic credit (kg CO2/ kg product)</w:t>
            </w:r>
          </w:p>
        </w:tc>
        <w:tc>
          <w:tcPr>
            <w:tcW w:w="850"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Fossil end-of-life emissions based on chemical structure (kg CO2/kg product)</w:t>
            </w:r>
          </w:p>
        </w:tc>
        <w:tc>
          <w:tcPr>
            <w:tcW w:w="471"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TRL grouped</w:t>
            </w:r>
          </w:p>
        </w:tc>
        <w:tc>
          <w:tcPr>
            <w:tcW w:w="522"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proofErr w:type="spellStart"/>
            <w:r w:rsidRPr="00154069">
              <w:rPr>
                <w:rFonts w:ascii="Calibri" w:eastAsia="Times New Roman" w:hAnsi="Calibri" w:cs="Calibri"/>
                <w:sz w:val="10"/>
                <w:szCs w:val="16"/>
              </w:rPr>
              <w:t>trl_upscaled</w:t>
            </w:r>
            <w:proofErr w:type="spellEnd"/>
          </w:p>
        </w:tc>
        <w:tc>
          <w:tcPr>
            <w:tcW w:w="841"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Acidification RR</w:t>
            </w:r>
          </w:p>
        </w:tc>
        <w:tc>
          <w:tcPr>
            <w:tcW w:w="718"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Eutrophication RR</w:t>
            </w:r>
          </w:p>
        </w:tc>
        <w:tc>
          <w:tcPr>
            <w:tcW w:w="644"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NREU RR</w:t>
            </w:r>
          </w:p>
        </w:tc>
        <w:tc>
          <w:tcPr>
            <w:tcW w:w="682" w:type="dxa"/>
            <w:tcBorders>
              <w:top w:val="single" w:sz="4" w:space="0" w:color="auto"/>
              <w:left w:val="single" w:sz="4" w:space="0" w:color="auto"/>
              <w:bottom w:val="single" w:sz="4" w:space="0" w:color="auto"/>
              <w:right w:val="single" w:sz="4" w:space="0" w:color="auto"/>
            </w:tcBorders>
            <w:noWrap/>
          </w:tcPr>
          <w:p w:rsidR="0009124B" w:rsidRPr="00154069" w:rsidRDefault="00EB3E1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10"/>
                <w:szCs w:val="16"/>
              </w:rPr>
            </w:pPr>
            <w:r w:rsidRPr="00154069">
              <w:rPr>
                <w:rFonts w:ascii="Calibri" w:eastAsia="Times New Roman" w:hAnsi="Calibri" w:cs="Calibri"/>
                <w:sz w:val="10"/>
                <w:szCs w:val="16"/>
              </w:rPr>
              <w:t>Reference</w:t>
            </w:r>
          </w:p>
        </w:tc>
      </w:tr>
      <w:tr w:rsidR="004F5BDD" w:rsidRPr="00154069" w:rsidTr="00154069">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56" w:type="dxa"/>
            <w:right w:w="56" w:type="dxa"/>
          </w:tblCellMar>
        </w:tblPrEx>
        <w:trPr>
          <w:trHeight w:val="135"/>
        </w:trPr>
        <w:tc>
          <w:tcPr>
            <w:cnfStyle w:val="001000000000" w:firstRow="0" w:lastRow="0" w:firstColumn="1" w:lastColumn="0" w:oddVBand="0" w:evenVBand="0" w:oddHBand="0" w:evenHBand="0" w:firstRowFirstColumn="0" w:firstRowLastColumn="0" w:lastRowFirstColumn="0" w:lastRowLastColumn="0"/>
            <w:tcW w:w="421" w:type="dxa"/>
            <w:tcBorders>
              <w:top w:val="single" w:sz="2" w:space="0" w:color="auto"/>
            </w:tcBorders>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w:t>
            </w:r>
          </w:p>
        </w:tc>
        <w:tc>
          <w:tcPr>
            <w:tcW w:w="941" w:type="dxa"/>
            <w:tcBorders>
              <w:top w:val="single" w:sz="2" w:space="0" w:color="auto"/>
            </w:tcBorders>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3-PROPANEDIOL</w:t>
            </w:r>
          </w:p>
        </w:tc>
        <w:tc>
          <w:tcPr>
            <w:tcW w:w="681" w:type="dxa"/>
            <w:tcBorders>
              <w:top w:val="single" w:sz="2" w:space="0" w:color="auto"/>
            </w:tcBorders>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tcBorders>
              <w:top w:val="single" w:sz="2" w:space="0" w:color="auto"/>
            </w:tcBorders>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tcBorders>
              <w:top w:val="single" w:sz="2" w:space="0" w:color="auto"/>
            </w:tcBorders>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tcBorders>
              <w:top w:val="single" w:sz="2" w:space="0" w:color="auto"/>
            </w:tcBorders>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tcBorders>
              <w:top w:val="single" w:sz="2" w:space="0" w:color="auto"/>
            </w:tcBorders>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tcBorders>
              <w:top w:val="single" w:sz="2" w:space="0" w:color="auto"/>
            </w:tcBorders>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1,3-propanediol</w:t>
            </w:r>
          </w:p>
        </w:tc>
        <w:tc>
          <w:tcPr>
            <w:tcW w:w="709" w:type="dxa"/>
            <w:tcBorders>
              <w:top w:val="single" w:sz="2" w:space="0" w:color="auto"/>
            </w:tcBorders>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w:t>
            </w:r>
          </w:p>
        </w:tc>
        <w:tc>
          <w:tcPr>
            <w:tcW w:w="708" w:type="dxa"/>
            <w:tcBorders>
              <w:top w:val="single" w:sz="2" w:space="0" w:color="auto"/>
            </w:tcBorders>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7.988</w:t>
            </w:r>
          </w:p>
        </w:tc>
        <w:tc>
          <w:tcPr>
            <w:tcW w:w="709" w:type="dxa"/>
            <w:tcBorders>
              <w:top w:val="single" w:sz="2" w:space="0" w:color="auto"/>
            </w:tcBorders>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-0.9147896</w:t>
            </w:r>
          </w:p>
        </w:tc>
        <w:tc>
          <w:tcPr>
            <w:tcW w:w="709" w:type="dxa"/>
            <w:tcBorders>
              <w:top w:val="single" w:sz="2" w:space="0" w:color="auto"/>
            </w:tcBorders>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tcBorders>
              <w:top w:val="single" w:sz="2" w:space="0" w:color="auto"/>
            </w:tcBorders>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1.488</w:t>
            </w:r>
          </w:p>
        </w:tc>
        <w:tc>
          <w:tcPr>
            <w:tcW w:w="471" w:type="dxa"/>
            <w:tcBorders>
              <w:top w:val="single" w:sz="2" w:space="0" w:color="auto"/>
            </w:tcBorders>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tcBorders>
              <w:top w:val="single" w:sz="2" w:space="0" w:color="auto"/>
            </w:tcBorders>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tcBorders>
              <w:top w:val="single" w:sz="2" w:space="0" w:color="auto"/>
            </w:tcBorders>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-0.457425</w:t>
            </w:r>
          </w:p>
        </w:tc>
        <w:tc>
          <w:tcPr>
            <w:tcW w:w="718" w:type="dxa"/>
            <w:tcBorders>
              <w:top w:val="single" w:sz="2" w:space="0" w:color="auto"/>
            </w:tcBorders>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0.169076</w:t>
            </w:r>
          </w:p>
        </w:tc>
        <w:tc>
          <w:tcPr>
            <w:tcW w:w="644" w:type="dxa"/>
            <w:tcBorders>
              <w:top w:val="single" w:sz="2" w:space="0" w:color="auto"/>
            </w:tcBorders>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tcBorders>
              <w:top w:val="single" w:sz="2" w:space="0" w:color="auto"/>
            </w:tcBorders>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4" w:history="1">
              <w:r w:rsidR="00EB3E17" w:rsidRPr="00154069">
                <w:rPr>
                  <w:rFonts w:ascii="Calibri" w:eastAsia="Times New Roman" w:hAnsi="Calibri" w:cs="Calibri"/>
                  <w:sz w:val="10"/>
                  <w:szCs w:val="16"/>
                  <w:u w:val="single"/>
                </w:rPr>
                <w:t>Urban_&amp;_</w:t>
              </w:r>
              <w:proofErr w:type="spellStart"/>
              <w:r w:rsidR="00EB3E17" w:rsidRPr="00154069">
                <w:rPr>
                  <w:rFonts w:ascii="Calibri" w:eastAsia="Times New Roman" w:hAnsi="Calibri" w:cs="Calibri"/>
                  <w:sz w:val="10"/>
                  <w:szCs w:val="16"/>
                  <w:u w:val="single"/>
                </w:rPr>
                <w:t>Bakshi</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ADIPIC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adipic</w:t>
            </w:r>
            <w:proofErr w:type="spellEnd"/>
            <w:r w:rsidRPr="00154069">
              <w:rPr>
                <w:rFonts w:ascii="Calibri" w:eastAsia="Times New Roman" w:hAnsi="Calibri" w:cs="Calibri"/>
                <w:sz w:val="10"/>
                <w:szCs w:val="16"/>
              </w:rPr>
              <w:t xml:space="preserve">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27.41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-1.9246135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1.81</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0.693147</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-0.659246</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-0.980829</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5" w:history="1">
              <w:proofErr w:type="spellStart"/>
              <w:r w:rsidR="00EB3E17" w:rsidRPr="00154069">
                <w:rPr>
                  <w:rFonts w:ascii="Calibri" w:eastAsia="Times New Roman" w:hAnsi="Calibri" w:cs="Calibri"/>
                  <w:sz w:val="10"/>
                  <w:szCs w:val="16"/>
                  <w:u w:val="single"/>
                </w:rPr>
                <w:t>Aryapratama</w:t>
              </w:r>
              <w:proofErr w:type="spellEnd"/>
              <w:r w:rsidR="00EB3E17" w:rsidRPr="00154069">
                <w:rPr>
                  <w:rFonts w:ascii="Calibri" w:eastAsia="Times New Roman" w:hAnsi="Calibri" w:cs="Calibri"/>
                  <w:sz w:val="10"/>
                  <w:szCs w:val="16"/>
                  <w:u w:val="single"/>
                </w:rPr>
                <w:t>_&amp;_Janssen</w:t>
              </w:r>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2,3-BUTANEDIOL</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2,3-butanediol</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-0.5780779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-1.15268</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6" w:history="1">
              <w:proofErr w:type="spellStart"/>
              <w:r w:rsidR="00EB3E17" w:rsidRPr="00154069">
                <w:rPr>
                  <w:rFonts w:ascii="Calibri" w:eastAsia="Times New Roman" w:hAnsi="Calibri" w:cs="Calibri"/>
                  <w:sz w:val="10"/>
                  <w:szCs w:val="16"/>
                  <w:u w:val="single"/>
                </w:rPr>
                <w:t>Benalcazar_et_al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2,3-BUTANEDIOL</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bagasse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2,3-butanediol</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-0.7431576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-1.25804</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7" w:history="1">
              <w:proofErr w:type="spellStart"/>
              <w:r w:rsidR="00EB3E17" w:rsidRPr="00154069">
                <w:rPr>
                  <w:rFonts w:ascii="Calibri" w:eastAsia="Times New Roman" w:hAnsi="Calibri" w:cs="Calibri"/>
                  <w:sz w:val="10"/>
                  <w:szCs w:val="16"/>
                  <w:u w:val="single"/>
                </w:rPr>
                <w:t>Benalcazar_et_al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2,3-BUTANEDIOL</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2,3-butanediol</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-0.6690496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-1.315198</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8" w:history="1">
              <w:proofErr w:type="spellStart"/>
              <w:r w:rsidR="00EB3E17" w:rsidRPr="00154069">
                <w:rPr>
                  <w:rFonts w:ascii="Calibri" w:eastAsia="Times New Roman" w:hAnsi="Calibri" w:cs="Calibri"/>
                  <w:sz w:val="10"/>
                  <w:szCs w:val="16"/>
                  <w:u w:val="single"/>
                </w:rPr>
                <w:t>Benalcazar_et_al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2,3-BUTANEDIOL</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2,3-butanediol</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-0.8232003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-1.375823</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9" w:history="1">
              <w:proofErr w:type="spellStart"/>
              <w:r w:rsidR="00EB3E17" w:rsidRPr="00154069">
                <w:rPr>
                  <w:rFonts w:ascii="Calibri" w:eastAsia="Times New Roman" w:hAnsi="Calibri" w:cs="Calibri"/>
                  <w:sz w:val="10"/>
                  <w:szCs w:val="16"/>
                  <w:u w:val="single"/>
                </w:rPr>
                <w:t>Benalcazar_et_al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HEXANOIC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adipic</w:t>
            </w:r>
            <w:proofErr w:type="spellEnd"/>
            <w:r w:rsidRPr="00154069">
              <w:rPr>
                <w:rFonts w:ascii="Calibri" w:eastAsia="Times New Roman" w:hAnsi="Calibri" w:cs="Calibri"/>
                <w:sz w:val="10"/>
                <w:szCs w:val="16"/>
              </w:rPr>
              <w:t xml:space="preserve">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-1.3437347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1.120591</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0" w:history="1">
              <w:proofErr w:type="spellStart"/>
              <w:r w:rsidR="00EB3E17" w:rsidRPr="00154069">
                <w:rPr>
                  <w:rFonts w:ascii="Calibri" w:eastAsia="Times New Roman" w:hAnsi="Calibri" w:cs="Calibri"/>
                  <w:sz w:val="10"/>
                  <w:szCs w:val="16"/>
                  <w:u w:val="single"/>
                </w:rPr>
                <w:t>Benalcazar_et_al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HEXANOIC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bagasse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adipic</w:t>
            </w:r>
            <w:proofErr w:type="spellEnd"/>
            <w:r w:rsidRPr="00154069">
              <w:rPr>
                <w:rFonts w:ascii="Calibri" w:eastAsia="Times New Roman" w:hAnsi="Calibri" w:cs="Calibri"/>
                <w:sz w:val="10"/>
                <w:szCs w:val="16"/>
              </w:rPr>
              <w:t xml:space="preserve">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-1.5260563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0.980829</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1" w:history="1">
              <w:proofErr w:type="spellStart"/>
              <w:r w:rsidR="00EB3E17" w:rsidRPr="00154069">
                <w:rPr>
                  <w:rFonts w:ascii="Calibri" w:eastAsia="Times New Roman" w:hAnsi="Calibri" w:cs="Calibri"/>
                  <w:sz w:val="10"/>
                  <w:szCs w:val="16"/>
                  <w:u w:val="single"/>
                </w:rPr>
                <w:t>Benalcazar_et_al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HEXANOIC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adipic</w:t>
            </w:r>
            <w:proofErr w:type="spellEnd"/>
            <w:r w:rsidRPr="00154069">
              <w:rPr>
                <w:rFonts w:ascii="Calibri" w:eastAsia="Times New Roman" w:hAnsi="Calibri" w:cs="Calibri"/>
                <w:sz w:val="10"/>
                <w:szCs w:val="16"/>
              </w:rPr>
              <w:t xml:space="preserve">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-1.3437347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1.05315</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2" w:history="1">
              <w:proofErr w:type="spellStart"/>
              <w:r w:rsidR="00EB3E17" w:rsidRPr="00154069">
                <w:rPr>
                  <w:rFonts w:ascii="Calibri" w:eastAsia="Times New Roman" w:hAnsi="Calibri" w:cs="Calibri"/>
                  <w:sz w:val="10"/>
                  <w:szCs w:val="16"/>
                  <w:u w:val="single"/>
                </w:rPr>
                <w:t>Benalcazar_et_al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HEXANOIC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adipic</w:t>
            </w:r>
            <w:proofErr w:type="spellEnd"/>
            <w:r w:rsidRPr="00154069">
              <w:rPr>
                <w:rFonts w:ascii="Calibri" w:eastAsia="Times New Roman" w:hAnsi="Calibri" w:cs="Calibri"/>
                <w:sz w:val="10"/>
                <w:szCs w:val="16"/>
              </w:rPr>
              <w:t xml:space="preserve">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-1.7245072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1.163151</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3" w:history="1">
              <w:proofErr w:type="spellStart"/>
              <w:r w:rsidR="00EB3E17" w:rsidRPr="00154069">
                <w:rPr>
                  <w:rFonts w:ascii="Calibri" w:eastAsia="Times New Roman" w:hAnsi="Calibri" w:cs="Calibri"/>
                  <w:sz w:val="10"/>
                  <w:szCs w:val="16"/>
                  <w:u w:val="single"/>
                </w:rPr>
                <w:t>Benalcazar_et_al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PROPIONIC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Potato Pulp &amp; Rapeseed</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propionic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3.45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-0.97601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2.590267</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4" w:history="1">
              <w:r w:rsidR="00EB3E17" w:rsidRPr="00154069">
                <w:rPr>
                  <w:rFonts w:ascii="Calibri" w:eastAsia="Times New Roman" w:hAnsi="Calibri" w:cs="Calibri"/>
                  <w:sz w:val="10"/>
                  <w:szCs w:val="16"/>
                  <w:u w:val="single"/>
                </w:rPr>
                <w:t>Ekman_&amp;_</w:t>
              </w:r>
              <w:proofErr w:type="spellStart"/>
              <w:r w:rsidR="00EB3E17" w:rsidRPr="00154069">
                <w:rPr>
                  <w:rFonts w:ascii="Calibri" w:eastAsia="Times New Roman" w:hAnsi="Calibri" w:cs="Calibri"/>
                  <w:sz w:val="10"/>
                  <w:szCs w:val="16"/>
                  <w:u w:val="single"/>
                </w:rPr>
                <w:t>Börjesson</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POLYETHYLENE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iLUC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polyethylene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6.04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-0.4374275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-2.302585</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0.559616</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5" w:history="1">
              <w:proofErr w:type="spellStart"/>
              <w:r w:rsidR="00EB3E17" w:rsidRPr="00154069">
                <w:rPr>
                  <w:rFonts w:ascii="Calibri" w:eastAsia="Times New Roman" w:hAnsi="Calibri" w:cs="Calibri"/>
                  <w:sz w:val="10"/>
                  <w:szCs w:val="16"/>
                  <w:u w:val="single"/>
                </w:rPr>
                <w:t>Liptow</w:t>
              </w:r>
              <w:proofErr w:type="spellEnd"/>
              <w:r w:rsidR="00EB3E17" w:rsidRPr="00154069">
                <w:rPr>
                  <w:rFonts w:ascii="Calibri" w:eastAsia="Times New Roman" w:hAnsi="Calibri" w:cs="Calibri"/>
                  <w:sz w:val="10"/>
                  <w:szCs w:val="16"/>
                  <w:u w:val="single"/>
                </w:rPr>
                <w:t>_&amp;_Tillman</w:t>
              </w:r>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Sawmill residues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8.63712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0.6321892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2.508513</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9.881557</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6" w:history="1">
              <w:proofErr w:type="spellStart"/>
              <w:r w:rsidR="00EB3E17" w:rsidRPr="00154069">
                <w:rPr>
                  <w:rFonts w:ascii="Calibri" w:eastAsia="Times New Roman" w:hAnsi="Calibri" w:cs="Calibri"/>
                  <w:sz w:val="10"/>
                  <w:szCs w:val="16"/>
                  <w:u w:val="single"/>
                </w:rPr>
                <w:t>Liptow_et_al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PROPIONIC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rapeseed oil</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propionic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3.302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6.136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-0.6196447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1.78</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7" w:history="1">
              <w:proofErr w:type="spellStart"/>
              <w:r w:rsidR="00EB3E17" w:rsidRPr="00154069">
                <w:rPr>
                  <w:rFonts w:ascii="Calibri" w:eastAsia="Times New Roman" w:hAnsi="Calibri" w:cs="Calibri"/>
                  <w:sz w:val="10"/>
                  <w:szCs w:val="16"/>
                  <w:u w:val="single"/>
                </w:rPr>
                <w:t>Tufvesson_et_al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PROPIONIC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Sugarbeet</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propionic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3.654</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6.136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-0.5183506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1.78</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8" w:history="1">
              <w:proofErr w:type="spellStart"/>
              <w:r w:rsidR="00EB3E17" w:rsidRPr="00154069">
                <w:rPr>
                  <w:rFonts w:ascii="Calibri" w:eastAsia="Times New Roman" w:hAnsi="Calibri" w:cs="Calibri"/>
                  <w:sz w:val="10"/>
                  <w:szCs w:val="16"/>
                  <w:u w:val="single"/>
                </w:rPr>
                <w:t>Tufvesson_et_al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PROPIONIC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Molasses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propionic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3.093</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6.136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-0.6850316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1.78</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9" w:history="1">
              <w:proofErr w:type="spellStart"/>
              <w:r w:rsidR="00EB3E17" w:rsidRPr="00154069">
                <w:rPr>
                  <w:rFonts w:ascii="Calibri" w:eastAsia="Times New Roman" w:hAnsi="Calibri" w:cs="Calibri"/>
                  <w:sz w:val="10"/>
                  <w:szCs w:val="16"/>
                  <w:u w:val="single"/>
                </w:rPr>
                <w:t>Tufvesson_et_al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PROPIONIC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J Artichoke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propionic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3.809</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6.136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-0.4768064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1.78</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30" w:history="1">
              <w:proofErr w:type="spellStart"/>
              <w:r w:rsidR="00EB3E17" w:rsidRPr="00154069">
                <w:rPr>
                  <w:rFonts w:ascii="Calibri" w:eastAsia="Times New Roman" w:hAnsi="Calibri" w:cs="Calibri"/>
                  <w:sz w:val="10"/>
                  <w:szCs w:val="16"/>
                  <w:u w:val="single"/>
                </w:rPr>
                <w:t>Tufvesson_et_al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OLEFINS</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aromatics &amp; olefins</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8.86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14.83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-0.5151054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8.33</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8.33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31" w:history="1">
              <w:proofErr w:type="spellStart"/>
              <w:r w:rsidR="00EB3E17" w:rsidRPr="00154069">
                <w:rPr>
                  <w:rFonts w:ascii="Calibri" w:eastAsia="Times New Roman" w:hAnsi="Calibri" w:cs="Calibri"/>
                  <w:sz w:val="10"/>
                  <w:szCs w:val="16"/>
                  <w:u w:val="single"/>
                </w:rPr>
                <w:t>Zhang_et_al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FORMIC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Brassica </w:t>
            </w:r>
            <w:proofErr w:type="spellStart"/>
            <w:r w:rsidRPr="00154069">
              <w:rPr>
                <w:rFonts w:ascii="Calibri" w:eastAsia="Times New Roman" w:hAnsi="Calibri" w:cs="Calibri"/>
                <w:sz w:val="10"/>
                <w:szCs w:val="16"/>
              </w:rPr>
              <w:t>carinata</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but only margina</w:t>
            </w:r>
            <w:r w:rsidRPr="00154069">
              <w:rPr>
                <w:rFonts w:ascii="Calibri" w:eastAsia="Times New Roman" w:hAnsi="Calibri" w:cs="Calibri"/>
                <w:sz w:val="10"/>
                <w:szCs w:val="16"/>
              </w:rPr>
              <w:lastRenderedPageBreak/>
              <w:t>l land is considered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lastRenderedPageBreak/>
              <w:t>formic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1.2041317</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4.25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-1.2611602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0.96</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-2.197225</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-0.635045</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32" w:history="1">
              <w:proofErr w:type="spellStart"/>
              <w:r w:rsidR="00EB3E17" w:rsidRPr="00154069">
                <w:rPr>
                  <w:rFonts w:ascii="Calibri" w:eastAsia="Times New Roman" w:hAnsi="Calibri" w:cs="Calibri"/>
                  <w:sz w:val="10"/>
                  <w:szCs w:val="16"/>
                  <w:u w:val="single"/>
                </w:rPr>
                <w:t>Fiorentino_et_al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10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-2.4026686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-1.976063</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33" w:history="1">
              <w:proofErr w:type="spellStart"/>
              <w:r w:rsidR="00EB3E17" w:rsidRPr="00154069">
                <w:rPr>
                  <w:rFonts w:ascii="Calibri" w:eastAsia="Times New Roman" w:hAnsi="Calibri" w:cs="Calibri"/>
                  <w:sz w:val="10"/>
                  <w:szCs w:val="16"/>
                  <w:u w:val="single"/>
                </w:rPr>
                <w:t>Adom_et_al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1,4-BUTANEDIOL</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1,4-butanediol</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-0.7419373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-0.620827</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34" w:history="1">
              <w:proofErr w:type="spellStart"/>
              <w:r w:rsidR="00EB3E17" w:rsidRPr="00154069">
                <w:rPr>
                  <w:rFonts w:ascii="Calibri" w:eastAsia="Times New Roman" w:hAnsi="Calibri" w:cs="Calibri"/>
                  <w:sz w:val="10"/>
                  <w:szCs w:val="16"/>
                  <w:u w:val="single"/>
                </w:rPr>
                <w:t>Adom_et_al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w:t>
            </w:r>
          </w:p>
        </w:tc>
        <w:tc>
          <w:tcPr>
            <w:tcW w:w="941" w:type="dxa"/>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ISOBUTANOL</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isobutanol</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-0.6161861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-0.300105</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35" w:history="1">
              <w:proofErr w:type="spellStart"/>
              <w:r w:rsidR="00EB3E17" w:rsidRPr="00154069">
                <w:rPr>
                  <w:rFonts w:ascii="Calibri" w:eastAsia="Times New Roman" w:hAnsi="Calibri" w:cs="Calibri"/>
                  <w:sz w:val="10"/>
                  <w:szCs w:val="16"/>
                  <w:u w:val="single"/>
                </w:rPr>
                <w:t>Adom_et_al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3.46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-0.3741681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-0.602763</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36" w:history="1">
              <w:proofErr w:type="spellStart"/>
              <w:r w:rsidR="00EB3E17" w:rsidRPr="00154069">
                <w:rPr>
                  <w:rFonts w:ascii="Calibri" w:eastAsia="Times New Roman" w:hAnsi="Calibri" w:cs="Calibri"/>
                  <w:sz w:val="10"/>
                  <w:szCs w:val="16"/>
                  <w:u w:val="single"/>
                </w:rPr>
                <w:t>Cok_et_al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3.46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-0.0781178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-0.24578</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37" w:history="1">
              <w:proofErr w:type="spellStart"/>
              <w:r w:rsidR="00EB3E17" w:rsidRPr="00154069">
                <w:rPr>
                  <w:rFonts w:ascii="Calibri" w:eastAsia="Times New Roman" w:hAnsi="Calibri" w:cs="Calibri"/>
                  <w:sz w:val="10"/>
                  <w:szCs w:val="16"/>
                  <w:u w:val="single"/>
                </w:rPr>
                <w:t>Cok_et_al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2-METHYL TETRAHYDROFURAN</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THF</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8.18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8.55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-0.0442391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2.56</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0.581652</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3.244194</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38" w:history="1">
              <w:proofErr w:type="spellStart"/>
              <w:r w:rsidR="00EB3E17" w:rsidRPr="00154069">
                <w:rPr>
                  <w:rFonts w:ascii="Calibri" w:eastAsia="Times New Roman" w:hAnsi="Calibri" w:cs="Calibri"/>
                  <w:sz w:val="10"/>
                  <w:szCs w:val="16"/>
                  <w:u w:val="single"/>
                </w:rPr>
                <w:t>Khoo_et_al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2-METHYL TETRAHYDROFURAN</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bagasse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THF</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8.55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0.0732722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2.56</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2.56</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0.053584</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2.684578</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39" w:history="1">
              <w:proofErr w:type="spellStart"/>
              <w:r w:rsidR="00EB3E17" w:rsidRPr="00154069">
                <w:rPr>
                  <w:rFonts w:ascii="Calibri" w:eastAsia="Times New Roman" w:hAnsi="Calibri" w:cs="Calibri"/>
                  <w:sz w:val="10"/>
                  <w:szCs w:val="16"/>
                  <w:u w:val="single"/>
                </w:rPr>
                <w:t>Khoo_et_al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2-METHYL TETRAHYDROFURAN</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Rice straw</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THF</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16.13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8.55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0.6347496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2.56</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0.631662</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3.244194</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40" w:history="1">
              <w:proofErr w:type="spellStart"/>
              <w:r w:rsidR="00EB3E17" w:rsidRPr="00154069">
                <w:rPr>
                  <w:rFonts w:ascii="Calibri" w:eastAsia="Times New Roman" w:hAnsi="Calibri" w:cs="Calibri"/>
                  <w:sz w:val="10"/>
                  <w:szCs w:val="16"/>
                  <w:u w:val="single"/>
                </w:rPr>
                <w:t>Khoo_et_al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PROPYLENE GLYCOL</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soybean oil</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propylene glycol</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6.74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-1.2149127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1.74</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-0.875469</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-1.241713</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41" w:history="1">
              <w:r w:rsidR="00EB3E17" w:rsidRPr="00154069">
                <w:rPr>
                  <w:rFonts w:ascii="Calibri" w:eastAsia="Times New Roman" w:hAnsi="Calibri" w:cs="Calibri"/>
                  <w:sz w:val="10"/>
                  <w:szCs w:val="16"/>
                  <w:u w:val="single"/>
                </w:rPr>
                <w:t>Gonzalez-</w:t>
              </w:r>
              <w:proofErr w:type="spellStart"/>
              <w:r w:rsidR="00EB3E17" w:rsidRPr="00154069">
                <w:rPr>
                  <w:rFonts w:ascii="Calibri" w:eastAsia="Times New Roman" w:hAnsi="Calibri" w:cs="Calibri"/>
                  <w:sz w:val="10"/>
                  <w:szCs w:val="16"/>
                  <w:u w:val="single"/>
                </w:rPr>
                <w:t>Garay_et_al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PROPYLENE GLYCOL</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soybean oil</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propylene glycol</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6.74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-1.266206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1.74</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-0.875469</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-1.261131</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42" w:history="1">
              <w:r w:rsidR="00EB3E17" w:rsidRPr="00154069">
                <w:rPr>
                  <w:rFonts w:ascii="Calibri" w:eastAsia="Times New Roman" w:hAnsi="Calibri" w:cs="Calibri"/>
                  <w:sz w:val="10"/>
                  <w:szCs w:val="16"/>
                  <w:u w:val="single"/>
                </w:rPr>
                <w:t>Gonzalez-</w:t>
              </w:r>
              <w:proofErr w:type="spellStart"/>
              <w:r w:rsidR="00EB3E17" w:rsidRPr="00154069">
                <w:rPr>
                  <w:rFonts w:ascii="Calibri" w:eastAsia="Times New Roman" w:hAnsi="Calibri" w:cs="Calibri"/>
                  <w:sz w:val="10"/>
                  <w:szCs w:val="16"/>
                  <w:u w:val="single"/>
                </w:rPr>
                <w:t>Garay_et_al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PROPYLENE GLYCOL</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soybean oil</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propylene glycol</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6.74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0.2320062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1.74</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-0.156004</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43" w:history="1">
              <w:r w:rsidR="00EB3E17" w:rsidRPr="00154069">
                <w:rPr>
                  <w:rFonts w:ascii="Calibri" w:eastAsia="Times New Roman" w:hAnsi="Calibri" w:cs="Calibri"/>
                  <w:sz w:val="10"/>
                  <w:szCs w:val="16"/>
                  <w:u w:val="single"/>
                </w:rPr>
                <w:t>Gonzalez-</w:t>
              </w:r>
              <w:proofErr w:type="spellStart"/>
              <w:r w:rsidR="00EB3E17" w:rsidRPr="00154069">
                <w:rPr>
                  <w:rFonts w:ascii="Calibri" w:eastAsia="Times New Roman" w:hAnsi="Calibri" w:cs="Calibri"/>
                  <w:sz w:val="10"/>
                  <w:szCs w:val="16"/>
                  <w:u w:val="single"/>
                </w:rPr>
                <w:t>Garay_et_al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13.49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-1.9088015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44" w:history="1">
              <w:proofErr w:type="spellStart"/>
              <w:r w:rsidR="00EB3E17" w:rsidRPr="00154069">
                <w:rPr>
                  <w:rFonts w:ascii="Calibri" w:eastAsia="Times New Roman" w:hAnsi="Calibri" w:cs="Calibri"/>
                  <w:sz w:val="10"/>
                  <w:szCs w:val="16"/>
                  <w:u w:val="single"/>
                </w:rPr>
                <w:t>Gunukula_et_al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14</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ADIPIC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adipic</w:t>
            </w:r>
            <w:proofErr w:type="spellEnd"/>
            <w:r w:rsidRPr="00154069">
              <w:rPr>
                <w:rFonts w:ascii="Calibri" w:eastAsia="Times New Roman" w:hAnsi="Calibri" w:cs="Calibri"/>
                <w:sz w:val="10"/>
                <w:szCs w:val="16"/>
              </w:rPr>
              <w:t xml:space="preserve">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10.81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-1.6873245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1.81</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45" w:history="1">
              <w:proofErr w:type="spellStart"/>
              <w:r w:rsidR="00EB3E17" w:rsidRPr="00154069">
                <w:rPr>
                  <w:rFonts w:ascii="Calibri" w:eastAsia="Times New Roman" w:hAnsi="Calibri" w:cs="Calibri"/>
                  <w:sz w:val="10"/>
                  <w:szCs w:val="16"/>
                  <w:u w:val="single"/>
                </w:rPr>
                <w:t>Gunukula_et_al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14</w:t>
            </w:r>
          </w:p>
        </w:tc>
        <w:tc>
          <w:tcPr>
            <w:tcW w:w="941" w:type="dxa"/>
            <w:shd w:val="clear" w:color="auto" w:fill="F2F2F2" w:themeFill="background1" w:themeFillShade="F2"/>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ISOBUTANOL</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isobutanol</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5.38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-0.9895412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2.38</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46" w:history="1">
              <w:proofErr w:type="spellStart"/>
              <w:r w:rsidR="00EB3E17" w:rsidRPr="00154069">
                <w:rPr>
                  <w:rFonts w:ascii="Calibri" w:eastAsia="Times New Roman" w:hAnsi="Calibri" w:cs="Calibri"/>
                  <w:sz w:val="10"/>
                  <w:szCs w:val="16"/>
                  <w:u w:val="single"/>
                </w:rPr>
                <w:t>Gunukula_et_al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14</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1,3-PROPANEDIOL</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1,3-propanediol</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13.49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-1.9088015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47" w:history="1">
              <w:proofErr w:type="spellStart"/>
              <w:r w:rsidR="00EB3E17" w:rsidRPr="00154069">
                <w:rPr>
                  <w:rFonts w:ascii="Calibri" w:eastAsia="Times New Roman" w:hAnsi="Calibri" w:cs="Calibri"/>
                  <w:sz w:val="10"/>
                  <w:szCs w:val="16"/>
                  <w:u w:val="single"/>
                </w:rPr>
                <w:t>Gunukula_et_al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3-HYDROXY PROPIONIC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3-hydroxy propionic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8.47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-1.5487438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48" w:history="1">
              <w:proofErr w:type="spellStart"/>
              <w:r w:rsidR="00EB3E17" w:rsidRPr="00154069">
                <w:rPr>
                  <w:rFonts w:ascii="Calibri" w:eastAsia="Times New Roman" w:hAnsi="Calibri" w:cs="Calibri"/>
                  <w:sz w:val="10"/>
                  <w:szCs w:val="16"/>
                  <w:u w:val="single"/>
                </w:rPr>
                <w:t>Gunukula_et_al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bagasse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3.8</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-0.417671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-1.571028</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-1.246009</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49" w:history="1">
              <w:proofErr w:type="spellStart"/>
              <w:r w:rsidR="00EB3E17" w:rsidRPr="00154069">
                <w:rPr>
                  <w:rFonts w:ascii="Calibri" w:eastAsia="Times New Roman" w:hAnsi="Calibri" w:cs="Calibri"/>
                  <w:sz w:val="10"/>
                  <w:szCs w:val="16"/>
                  <w:u w:val="single"/>
                </w:rPr>
                <w:t>Mandegari_et_al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bagasse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0.0861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-4.2049179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-10.3278</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-5.107</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50" w:history="1">
              <w:proofErr w:type="spellStart"/>
              <w:r w:rsidR="00EB3E17" w:rsidRPr="00154069">
                <w:rPr>
                  <w:rFonts w:ascii="Calibri" w:eastAsia="Times New Roman" w:hAnsi="Calibri" w:cs="Calibri"/>
                  <w:sz w:val="10"/>
                  <w:szCs w:val="16"/>
                  <w:u w:val="single"/>
                </w:rPr>
                <w:t>Mandegari_et_al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bagasse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0.0752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-4.3402761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-5.713468</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-5.222919</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51" w:history="1">
              <w:proofErr w:type="spellStart"/>
              <w:r w:rsidR="00EB3E17" w:rsidRPr="00154069">
                <w:rPr>
                  <w:rFonts w:ascii="Calibri" w:eastAsia="Times New Roman" w:hAnsi="Calibri" w:cs="Calibri"/>
                  <w:sz w:val="10"/>
                  <w:szCs w:val="16"/>
                  <w:u w:val="single"/>
                </w:rPr>
                <w:t>Mandegari_et_al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16</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Giant reed</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but only marginal land is considered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3.86</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6.74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-0.5573927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1.91</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52" w:history="1">
              <w:proofErr w:type="spellStart"/>
              <w:r w:rsidR="00EB3E17" w:rsidRPr="00154069">
                <w:rPr>
                  <w:rFonts w:ascii="Calibri" w:eastAsia="Times New Roman" w:hAnsi="Calibri" w:cs="Calibri"/>
                  <w:sz w:val="10"/>
                  <w:szCs w:val="16"/>
                  <w:u w:val="single"/>
                </w:rPr>
                <w:t>Zucaro_et_al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HEXANOIC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Organic fraction of municip</w:t>
            </w:r>
            <w:r w:rsidRPr="00154069">
              <w:rPr>
                <w:rFonts w:ascii="Calibri" w:eastAsia="Times New Roman" w:hAnsi="Calibri" w:cs="Calibri"/>
                <w:sz w:val="10"/>
                <w:szCs w:val="16"/>
              </w:rPr>
              <w:lastRenderedPageBreak/>
              <w:t>al solid waste (OFMSW)</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lastRenderedPageBreak/>
              <w:t>Municipal waste</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adipic</w:t>
            </w:r>
            <w:proofErr w:type="spellEnd"/>
            <w:r w:rsidRPr="00154069">
              <w:rPr>
                <w:rFonts w:ascii="Calibri" w:eastAsia="Times New Roman" w:hAnsi="Calibri" w:cs="Calibri"/>
                <w:sz w:val="10"/>
                <w:szCs w:val="16"/>
              </w:rPr>
              <w:t xml:space="preserve">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15.51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-0.0401238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1.81</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1.218898</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1.171183</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53" w:history="1">
              <w:proofErr w:type="spellStart"/>
              <w:r w:rsidR="00EB3E17" w:rsidRPr="00154069">
                <w:rPr>
                  <w:rFonts w:ascii="Calibri" w:eastAsia="Times New Roman" w:hAnsi="Calibri" w:cs="Calibri"/>
                  <w:sz w:val="10"/>
                  <w:szCs w:val="16"/>
                  <w:u w:val="single"/>
                </w:rPr>
                <w:t>Chen_et_al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17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HEXANOIC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Supermarket food waste (SFW) </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Food Processing waste</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adipic</w:t>
            </w:r>
            <w:proofErr w:type="spellEnd"/>
            <w:r w:rsidRPr="00154069">
              <w:rPr>
                <w:rFonts w:ascii="Calibri" w:eastAsia="Times New Roman" w:hAnsi="Calibri" w:cs="Calibri"/>
                <w:sz w:val="10"/>
                <w:szCs w:val="16"/>
              </w:rPr>
              <w:t xml:space="preserve">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12.34</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15.51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-0.228639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1.81</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0.967584</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0.948039</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54" w:history="1">
              <w:proofErr w:type="spellStart"/>
              <w:r w:rsidR="00EB3E17" w:rsidRPr="00154069">
                <w:rPr>
                  <w:rFonts w:ascii="Calibri" w:eastAsia="Times New Roman" w:hAnsi="Calibri" w:cs="Calibri"/>
                  <w:sz w:val="10"/>
                  <w:szCs w:val="16"/>
                  <w:u w:val="single"/>
                </w:rPr>
                <w:t>Chen_et_al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HEXANOIC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Supermarket food waste (SFW) </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Food Processing waste</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adipic</w:t>
            </w:r>
            <w:proofErr w:type="spellEnd"/>
            <w:r w:rsidRPr="00154069">
              <w:rPr>
                <w:rFonts w:ascii="Calibri" w:eastAsia="Times New Roman" w:hAnsi="Calibri" w:cs="Calibri"/>
                <w:sz w:val="10"/>
                <w:szCs w:val="16"/>
              </w:rPr>
              <w:t xml:space="preserve">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8.66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15.51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-0.5827703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1.81</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0.407968</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0.660357</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55" w:history="1">
              <w:proofErr w:type="spellStart"/>
              <w:r w:rsidR="00EB3E17" w:rsidRPr="00154069">
                <w:rPr>
                  <w:rFonts w:ascii="Calibri" w:eastAsia="Times New Roman" w:hAnsi="Calibri" w:cs="Calibri"/>
                  <w:sz w:val="10"/>
                  <w:szCs w:val="16"/>
                  <w:u w:val="single"/>
                </w:rPr>
                <w:t>Chen_et_al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18</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ADIPIC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Cotton straw</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adipic</w:t>
            </w:r>
            <w:proofErr w:type="spellEnd"/>
            <w:r w:rsidRPr="00154069">
              <w:rPr>
                <w:rFonts w:ascii="Calibri" w:eastAsia="Times New Roman" w:hAnsi="Calibri" w:cs="Calibri"/>
                <w:sz w:val="10"/>
                <w:szCs w:val="16"/>
              </w:rPr>
              <w:t xml:space="preserve">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6.68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9.66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-0.3688757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1.81</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1.81</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Zheng_et_al</w:t>
            </w:r>
            <w:proofErr w:type="spellEnd"/>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19</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ACETONITRILE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acetonitrile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3.55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5.95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-0.5164436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2.15</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2.15</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0.805625</w:t>
            </w:r>
          </w:p>
        </w:tc>
        <w:tc>
          <w:tcPr>
            <w:tcW w:w="718"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-0.391933</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56" w:history="1">
              <w:proofErr w:type="spellStart"/>
              <w:r w:rsidR="00EB3E17" w:rsidRPr="00154069">
                <w:rPr>
                  <w:rFonts w:ascii="Calibri" w:eastAsia="Times New Roman" w:hAnsi="Calibri" w:cs="Calibri"/>
                  <w:sz w:val="10"/>
                  <w:szCs w:val="16"/>
                  <w:u w:val="single"/>
                </w:rPr>
                <w:t>Tripodi_et_al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20</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-0.7621401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57" w:history="1">
              <w:proofErr w:type="spellStart"/>
              <w:r w:rsidR="00EB3E17" w:rsidRPr="00154069">
                <w:rPr>
                  <w:rFonts w:ascii="Calibri" w:eastAsia="Times New Roman" w:hAnsi="Calibri" w:cs="Calibri"/>
                  <w:sz w:val="10"/>
                  <w:szCs w:val="16"/>
                  <w:u w:val="single"/>
                </w:rPr>
                <w:t>Yang_et_al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-0.548566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58" w:history="1">
              <w:proofErr w:type="spellStart"/>
              <w:r w:rsidR="00EB3E17" w:rsidRPr="00154069">
                <w:rPr>
                  <w:rFonts w:ascii="Calibri" w:eastAsia="Times New Roman" w:hAnsi="Calibri" w:cs="Calibri"/>
                  <w:sz w:val="10"/>
                  <w:szCs w:val="16"/>
                  <w:u w:val="single"/>
                </w:rPr>
                <w:t>Yang_et_al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21</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Popular</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-2.2380466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-0.026668</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2.564949</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59" w:history="1">
              <w:r w:rsidR="00EB3E17" w:rsidRPr="00154069">
                <w:rPr>
                  <w:rFonts w:ascii="Calibri" w:eastAsia="Times New Roman" w:hAnsi="Calibri" w:cs="Calibri"/>
                  <w:sz w:val="10"/>
                  <w:szCs w:val="16"/>
                  <w:u w:val="single"/>
                </w:rPr>
                <w:t xml:space="preserve">Alonso- </w:t>
              </w:r>
              <w:proofErr w:type="spellStart"/>
              <w:r w:rsidR="00EB3E17" w:rsidRPr="00154069">
                <w:rPr>
                  <w:rFonts w:ascii="Calibri" w:eastAsia="Times New Roman" w:hAnsi="Calibri" w:cs="Calibri"/>
                  <w:sz w:val="10"/>
                  <w:szCs w:val="16"/>
                  <w:u w:val="single"/>
                </w:rPr>
                <w:t>Farinas_et_al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21</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Popular</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-1.7397997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-0.054067</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2.397895</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60" w:history="1">
              <w:r w:rsidR="00EB3E17" w:rsidRPr="00154069">
                <w:rPr>
                  <w:rFonts w:ascii="Calibri" w:eastAsia="Times New Roman" w:hAnsi="Calibri" w:cs="Calibri"/>
                  <w:sz w:val="10"/>
                  <w:szCs w:val="16"/>
                  <w:u w:val="single"/>
                </w:rPr>
                <w:t xml:space="preserve">Alonso- </w:t>
              </w:r>
              <w:proofErr w:type="spellStart"/>
              <w:r w:rsidR="00EB3E17" w:rsidRPr="00154069">
                <w:rPr>
                  <w:rFonts w:ascii="Calibri" w:eastAsia="Times New Roman" w:hAnsi="Calibri" w:cs="Calibri"/>
                  <w:sz w:val="10"/>
                  <w:szCs w:val="16"/>
                  <w:u w:val="single"/>
                </w:rPr>
                <w:t>Farinas_et_al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21</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Popular</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-1.2417131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0.332706</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2.961831</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61" w:history="1">
              <w:r w:rsidR="00EB3E17" w:rsidRPr="00154069">
                <w:rPr>
                  <w:rFonts w:ascii="Calibri" w:eastAsia="Times New Roman" w:hAnsi="Calibri" w:cs="Calibri"/>
                  <w:sz w:val="10"/>
                  <w:szCs w:val="16"/>
                  <w:u w:val="single"/>
                </w:rPr>
                <w:t xml:space="preserve">Alonso- </w:t>
              </w:r>
              <w:proofErr w:type="spellStart"/>
              <w:r w:rsidR="00EB3E17" w:rsidRPr="00154069">
                <w:rPr>
                  <w:rFonts w:ascii="Calibri" w:eastAsia="Times New Roman" w:hAnsi="Calibri" w:cs="Calibri"/>
                  <w:sz w:val="10"/>
                  <w:szCs w:val="16"/>
                  <w:u w:val="single"/>
                </w:rPr>
                <w:t>Farinas_et_al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Food waste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Municipal waste</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0.667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-1.9244784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62" w:history="1">
              <w:proofErr w:type="spellStart"/>
              <w:r w:rsidR="00EB3E17" w:rsidRPr="00154069">
                <w:rPr>
                  <w:rFonts w:ascii="Calibri" w:eastAsia="Times New Roman" w:hAnsi="Calibri" w:cs="Calibri"/>
                  <w:sz w:val="10"/>
                  <w:szCs w:val="16"/>
                  <w:u w:val="single"/>
                </w:rPr>
                <w:t>Brunklause_et_al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2.34</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-0.6693623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63" w:history="1">
              <w:proofErr w:type="spellStart"/>
              <w:r w:rsidR="00EB3E17" w:rsidRPr="00154069">
                <w:rPr>
                  <w:rFonts w:ascii="Calibri" w:eastAsia="Times New Roman" w:hAnsi="Calibri" w:cs="Calibri"/>
                  <w:sz w:val="10"/>
                  <w:szCs w:val="16"/>
                  <w:u w:val="single"/>
                </w:rPr>
                <w:t>Brunklause_et_al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Apple pomace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Food Processing waste</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5.3</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0.1481936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4.341753</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5.131996</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1.221452</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64" w:history="1">
              <w:r w:rsidR="00EB3E17" w:rsidRPr="00154069">
                <w:rPr>
                  <w:rFonts w:ascii="Calibri" w:eastAsia="Times New Roman" w:hAnsi="Calibri" w:cs="Calibri"/>
                  <w:sz w:val="10"/>
                  <w:szCs w:val="16"/>
                  <w:u w:val="single"/>
                </w:rPr>
                <w:t>González-</w:t>
              </w:r>
              <w:proofErr w:type="spellStart"/>
              <w:r w:rsidR="00EB3E17" w:rsidRPr="00154069">
                <w:rPr>
                  <w:rFonts w:ascii="Calibri" w:eastAsia="Times New Roman" w:hAnsi="Calibri" w:cs="Calibri"/>
                  <w:sz w:val="10"/>
                  <w:szCs w:val="16"/>
                  <w:u w:val="single"/>
                </w:rPr>
                <w:t>Garciá_et_al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-1.8216124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3.09</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65" w:history="1">
              <w:proofErr w:type="spellStart"/>
              <w:r w:rsidR="00EB3E17" w:rsidRPr="00154069">
                <w:rPr>
                  <w:rFonts w:ascii="Calibri" w:eastAsia="Times New Roman" w:hAnsi="Calibri" w:cs="Calibri"/>
                  <w:sz w:val="10"/>
                  <w:szCs w:val="16"/>
                  <w:u w:val="single"/>
                </w:rPr>
                <w:t>Jonker_et_al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24</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Woody biomass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-2.2735976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3.09</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66" w:history="1">
              <w:proofErr w:type="spellStart"/>
              <w:r w:rsidR="00EB3E17" w:rsidRPr="00154069">
                <w:rPr>
                  <w:rFonts w:ascii="Calibri" w:eastAsia="Times New Roman" w:hAnsi="Calibri" w:cs="Calibri"/>
                  <w:sz w:val="10"/>
                  <w:szCs w:val="16"/>
                  <w:u w:val="single"/>
                </w:rPr>
                <w:t>Jonker_et_al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1,3-PROPANEDIOL</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1,3-propanediol</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6.474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-1.9731547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1.736</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67" w:history="1">
              <w:proofErr w:type="spellStart"/>
              <w:r w:rsidR="00EB3E17" w:rsidRPr="00154069">
                <w:rPr>
                  <w:rFonts w:ascii="Calibri" w:eastAsia="Times New Roman" w:hAnsi="Calibri" w:cs="Calibri"/>
                  <w:sz w:val="10"/>
                  <w:szCs w:val="16"/>
                  <w:u w:val="single"/>
                </w:rPr>
                <w:t>Jonker_et_al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24</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1,3-PROPANEDIOL</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Woody biomass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1,3-propanediol</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6.474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-2.1554762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1.736</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68" w:history="1">
              <w:proofErr w:type="spellStart"/>
              <w:r w:rsidR="00EB3E17" w:rsidRPr="00154069">
                <w:rPr>
                  <w:rFonts w:ascii="Calibri" w:eastAsia="Times New Roman" w:hAnsi="Calibri" w:cs="Calibri"/>
                  <w:sz w:val="10"/>
                  <w:szCs w:val="16"/>
                  <w:u w:val="single"/>
                </w:rPr>
                <w:t>Jonker_et_al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6.01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-1.844718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69" w:history="1">
              <w:proofErr w:type="spellStart"/>
              <w:r w:rsidR="00EB3E17" w:rsidRPr="00154069">
                <w:rPr>
                  <w:rFonts w:ascii="Calibri" w:eastAsia="Times New Roman" w:hAnsi="Calibri" w:cs="Calibri"/>
                  <w:sz w:val="10"/>
                  <w:szCs w:val="16"/>
                  <w:u w:val="single"/>
                </w:rPr>
                <w:t>Jonker_et_al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24</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Woody biomass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6.01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-1.8987853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70" w:history="1">
              <w:proofErr w:type="spellStart"/>
              <w:r w:rsidR="00EB3E17" w:rsidRPr="00154069">
                <w:rPr>
                  <w:rFonts w:ascii="Calibri" w:eastAsia="Times New Roman" w:hAnsi="Calibri" w:cs="Calibri"/>
                  <w:sz w:val="10"/>
                  <w:szCs w:val="16"/>
                  <w:u w:val="single"/>
                </w:rPr>
                <w:t>Jonker_et_al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FDCA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Woody biomass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TPA</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3.48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-0.3227734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0.626611</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Kim_et_al_1</w:t>
            </w:r>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26</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LEVOGLUCOSAN</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Cotton straw</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levoglucosan</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10.55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-0.8366127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1.639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71" w:history="1">
              <w:proofErr w:type="spellStart"/>
              <w:r w:rsidR="00EB3E17" w:rsidRPr="00154069">
                <w:rPr>
                  <w:rFonts w:ascii="Calibri" w:eastAsia="Times New Roman" w:hAnsi="Calibri" w:cs="Calibri"/>
                  <w:sz w:val="10"/>
                  <w:szCs w:val="16"/>
                  <w:u w:val="single"/>
                </w:rPr>
                <w:t>Wang_et_al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BOPLA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BoPP</w:t>
            </w:r>
            <w:proofErr w:type="spellEnd"/>
            <w:r w:rsidRPr="00154069">
              <w:rPr>
                <w:rFonts w:ascii="Calibri" w:eastAsia="Times New Roman" w:hAnsi="Calibri" w:cs="Calibri"/>
                <w:sz w:val="10"/>
                <w:szCs w:val="16"/>
              </w:rPr>
              <w:t xml:space="preserve"> </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0.7992832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3.5644754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-1.4950569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0.217921</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72" w:history="1">
              <w:proofErr w:type="spellStart"/>
              <w:r w:rsidR="00EB3E17" w:rsidRPr="00154069">
                <w:rPr>
                  <w:rFonts w:ascii="Calibri" w:eastAsia="Times New Roman" w:hAnsi="Calibri" w:cs="Calibri"/>
                  <w:sz w:val="10"/>
                  <w:szCs w:val="16"/>
                  <w:u w:val="single"/>
                </w:rPr>
                <w:t>Lokesh_et_al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BOPLA</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BoPP</w:t>
            </w:r>
            <w:proofErr w:type="spellEnd"/>
            <w:r w:rsidRPr="00154069">
              <w:rPr>
                <w:rFonts w:ascii="Calibri" w:eastAsia="Times New Roman" w:hAnsi="Calibri" w:cs="Calibri"/>
                <w:sz w:val="10"/>
                <w:szCs w:val="16"/>
              </w:rPr>
              <w:t xml:space="preserve"> </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0.4301075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3.5644754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-2.1147369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0.067587</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73" w:history="1">
              <w:proofErr w:type="spellStart"/>
              <w:r w:rsidR="00EB3E17" w:rsidRPr="00154069">
                <w:rPr>
                  <w:rFonts w:ascii="Calibri" w:eastAsia="Times New Roman" w:hAnsi="Calibri" w:cs="Calibri"/>
                  <w:sz w:val="10"/>
                  <w:szCs w:val="16"/>
                  <w:u w:val="single"/>
                </w:rPr>
                <w:t>Lokesh_et_al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BOPLA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Sugarbeet</w:t>
            </w:r>
            <w:proofErr w:type="spellEnd"/>
            <w:r w:rsidRPr="00154069">
              <w:rPr>
                <w:rFonts w:ascii="Calibri" w:eastAsia="Times New Roman" w:hAnsi="Calibri" w:cs="Calibri"/>
                <w:sz w:val="10"/>
                <w:szCs w:val="16"/>
              </w:rPr>
              <w:t xml:space="preserve"> pulp</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BoPP</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0.483871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3.5644754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-1.9969539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0.373436</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74" w:history="1">
              <w:proofErr w:type="spellStart"/>
              <w:r w:rsidR="00EB3E17" w:rsidRPr="00154069">
                <w:rPr>
                  <w:rFonts w:ascii="Calibri" w:eastAsia="Times New Roman" w:hAnsi="Calibri" w:cs="Calibri"/>
                  <w:sz w:val="10"/>
                  <w:szCs w:val="16"/>
                  <w:u w:val="single"/>
                </w:rPr>
                <w:t>Lokesh_et_al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MULCH FILM</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LLDPE mulch film</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2.3185526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4.1027027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-0.5707028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0.062944</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75" w:history="1">
              <w:proofErr w:type="spellStart"/>
              <w:r w:rsidR="00EB3E17" w:rsidRPr="00154069">
                <w:rPr>
                  <w:rFonts w:ascii="Calibri" w:eastAsia="Times New Roman" w:hAnsi="Calibri" w:cs="Calibri"/>
                  <w:sz w:val="10"/>
                  <w:szCs w:val="16"/>
                  <w:u w:val="single"/>
                </w:rPr>
                <w:t>Lokesh_et_al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MULCH FILM</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LLDPE mulch film</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1.9241447</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4.1027027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-0.7571644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-0.109899</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76" w:history="1">
              <w:proofErr w:type="spellStart"/>
              <w:r w:rsidR="00EB3E17" w:rsidRPr="00154069">
                <w:rPr>
                  <w:rFonts w:ascii="Calibri" w:eastAsia="Times New Roman" w:hAnsi="Calibri" w:cs="Calibri"/>
                  <w:sz w:val="10"/>
                  <w:szCs w:val="16"/>
                  <w:u w:val="single"/>
                </w:rPr>
                <w:t>Lokesh_et_al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MULCH FILM</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Sugarbeet</w:t>
            </w:r>
            <w:proofErr w:type="spellEnd"/>
            <w:r w:rsidRPr="00154069">
              <w:rPr>
                <w:rFonts w:ascii="Calibri" w:eastAsia="Times New Roman" w:hAnsi="Calibri" w:cs="Calibri"/>
                <w:sz w:val="10"/>
                <w:szCs w:val="16"/>
              </w:rPr>
              <w:t xml:space="preserve"> pulp</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LLDPE mulch film</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4.1027027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-0.7184988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-0.148365</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77" w:history="1">
              <w:proofErr w:type="spellStart"/>
              <w:r w:rsidR="00EB3E17" w:rsidRPr="00154069">
                <w:rPr>
                  <w:rFonts w:ascii="Calibri" w:eastAsia="Times New Roman" w:hAnsi="Calibri" w:cs="Calibri"/>
                  <w:sz w:val="10"/>
                  <w:szCs w:val="16"/>
                  <w:u w:val="single"/>
                </w:rPr>
                <w:t>Lokesh_et_al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28</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ADIPIC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Lignin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adipic</w:t>
            </w:r>
            <w:proofErr w:type="spellEnd"/>
            <w:r w:rsidRPr="00154069">
              <w:rPr>
                <w:rFonts w:ascii="Calibri" w:eastAsia="Times New Roman" w:hAnsi="Calibri" w:cs="Calibri"/>
                <w:sz w:val="10"/>
                <w:szCs w:val="16"/>
              </w:rPr>
              <w:t xml:space="preserve">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13.794835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24.8196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-0.5873394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1.81</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78" w:history="1">
              <w:proofErr w:type="spellStart"/>
              <w:r w:rsidR="00EB3E17" w:rsidRPr="00154069">
                <w:rPr>
                  <w:rFonts w:ascii="Calibri" w:eastAsia="Times New Roman" w:hAnsi="Calibri" w:cs="Calibri"/>
                  <w:sz w:val="10"/>
                  <w:szCs w:val="16"/>
                  <w:u w:val="single"/>
                </w:rPr>
                <w:t>Van_Duuren_et_al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29</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iLUC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4.19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-0.2720474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2.55</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1.858899</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-0.997516</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79" w:history="1">
              <w:proofErr w:type="spellStart"/>
              <w:r w:rsidR="00EB3E17" w:rsidRPr="00154069">
                <w:rPr>
                  <w:rFonts w:ascii="Calibri" w:eastAsia="Times New Roman" w:hAnsi="Calibri" w:cs="Calibri"/>
                  <w:sz w:val="10"/>
                  <w:szCs w:val="16"/>
                  <w:u w:val="single"/>
                </w:rPr>
                <w:t>Ögmundarson_et_al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29</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7.9</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0.3621147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2.91</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1.673976</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3.211758</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80" w:history="1">
              <w:proofErr w:type="spellStart"/>
              <w:r w:rsidR="00EB3E17" w:rsidRPr="00154069">
                <w:rPr>
                  <w:rFonts w:ascii="Calibri" w:eastAsia="Times New Roman" w:hAnsi="Calibri" w:cs="Calibri"/>
                  <w:sz w:val="10"/>
                  <w:szCs w:val="16"/>
                  <w:u w:val="single"/>
                </w:rPr>
                <w:t>Ögmundarson_et_al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PAG BIOADHESIVE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soybean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-0.2231436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81" w:anchor="Tab1" w:history="1">
              <w:proofErr w:type="spellStart"/>
              <w:r w:rsidR="00EB3E17" w:rsidRPr="00154069">
                <w:rPr>
                  <w:rFonts w:ascii="Calibri" w:eastAsia="Times New Roman" w:hAnsi="Calibri" w:cs="Calibri"/>
                  <w:sz w:val="10"/>
                  <w:szCs w:val="16"/>
                  <w:u w:val="single"/>
                </w:rPr>
                <w:t>Yang_and_Rosentrater</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31</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PSA BIOADHESIVE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soybean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-0.4732877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82" w:anchor="app1-energies-12-04502" w:history="1">
              <w:r w:rsidR="00EB3E17" w:rsidRPr="00154069">
                <w:rPr>
                  <w:rFonts w:ascii="Calibri" w:eastAsia="Times New Roman" w:hAnsi="Calibri" w:cs="Calibri"/>
                  <w:sz w:val="10"/>
                  <w:szCs w:val="16"/>
                  <w:u w:val="single"/>
                </w:rPr>
                <w:t>Yang_and_Rosentrater_1</w:t>
              </w:r>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SOY BIOADHESIVE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soybean meal </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Food Processing waste</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2.79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2.895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-0.0369435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83" w:history="1">
              <w:proofErr w:type="spellStart"/>
              <w:r w:rsidR="00EB3E17" w:rsidRPr="00154069">
                <w:rPr>
                  <w:rFonts w:ascii="Calibri" w:eastAsia="Times New Roman" w:hAnsi="Calibri" w:cs="Calibri"/>
                  <w:sz w:val="10"/>
                  <w:szCs w:val="16"/>
                  <w:u w:val="single"/>
                </w:rPr>
                <w:t>Arias_et_al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LIGNIN BIOADHESIVE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Kraft lignin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8.34</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2.895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1.0580781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84" w:history="1">
              <w:proofErr w:type="spellStart"/>
              <w:r w:rsidR="00EB3E17" w:rsidRPr="00154069">
                <w:rPr>
                  <w:rFonts w:ascii="Calibri" w:eastAsia="Times New Roman" w:hAnsi="Calibri" w:cs="Calibri"/>
                  <w:sz w:val="10"/>
                  <w:szCs w:val="16"/>
                  <w:u w:val="single"/>
                </w:rPr>
                <w:t>Arias_et_al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LIGNIN BIOADHESIVE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Organosolv</w:t>
            </w:r>
            <w:proofErr w:type="spellEnd"/>
            <w:r w:rsidRPr="00154069">
              <w:rPr>
                <w:rFonts w:ascii="Calibri" w:eastAsia="Times New Roman" w:hAnsi="Calibri" w:cs="Calibri"/>
                <w:sz w:val="10"/>
                <w:szCs w:val="16"/>
              </w:rPr>
              <w:t xml:space="preserve"> lignin </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15.54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2.895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1.6804322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Arias_et_al</w:t>
            </w:r>
            <w:proofErr w:type="spellEnd"/>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TANNIN BIOADHESIVE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Bark chips </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2.97</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2.895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0.0255768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85" w:history="1">
              <w:proofErr w:type="spellStart"/>
              <w:r w:rsidR="00EB3E17" w:rsidRPr="00154069">
                <w:rPr>
                  <w:rFonts w:ascii="Calibri" w:eastAsia="Times New Roman" w:hAnsi="Calibri" w:cs="Calibri"/>
                  <w:sz w:val="10"/>
                  <w:szCs w:val="16"/>
                  <w:u w:val="single"/>
                </w:rPr>
                <w:t>Arias_et_al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FLAX MAT/PLA BIOCOMPOSITE LAMINATES </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Flax fiber</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glass/polyester composites</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3.3828714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10.053583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-1.0892043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0.47025</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0.47025</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-0.954798</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86" w:history="1">
              <w:proofErr w:type="spellStart"/>
              <w:r w:rsidR="00EB3E17" w:rsidRPr="00154069">
                <w:rPr>
                  <w:rFonts w:ascii="Calibri" w:eastAsia="Times New Roman" w:hAnsi="Calibri" w:cs="Calibri"/>
                  <w:sz w:val="10"/>
                  <w:szCs w:val="16"/>
                  <w:u w:val="single"/>
                </w:rPr>
                <w:t>Le_Duigou_et_al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FLAX MAT/PLLA/BALSA BIO-SANDWICH PANELS </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Flax fiber, balsa</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glass/polyester/balsa sandwich</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2.6399703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6.7380563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-0.9370038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0.47025</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0.47025</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-0.849228</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87" w:history="1">
              <w:proofErr w:type="spellStart"/>
              <w:r w:rsidR="00EB3E17" w:rsidRPr="00154069">
                <w:rPr>
                  <w:rFonts w:ascii="Calibri" w:eastAsia="Times New Roman" w:hAnsi="Calibri" w:cs="Calibri"/>
                  <w:sz w:val="10"/>
                  <w:szCs w:val="16"/>
                  <w:u w:val="single"/>
                </w:rPr>
                <w:t>Le_Duigou_et_al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34</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FIBRE/PLA BIOCOMPOSITE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Maize, wood </w:t>
            </w:r>
            <w:proofErr w:type="spellStart"/>
            <w:r w:rsidRPr="00154069">
              <w:rPr>
                <w:rFonts w:ascii="Calibri" w:eastAsia="Times New Roman" w:hAnsi="Calibri" w:cs="Calibri"/>
                <w:sz w:val="10"/>
                <w:szCs w:val="16"/>
              </w:rPr>
              <w:t>fibre</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PP</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0.227017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-2.6396116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0.637017</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-1.527123</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88" w:history="1">
              <w:proofErr w:type="spellStart"/>
              <w:r w:rsidR="00EB3E17" w:rsidRPr="00154069">
                <w:rPr>
                  <w:rFonts w:ascii="Calibri" w:eastAsia="Times New Roman" w:hAnsi="Calibri" w:cs="Calibri"/>
                  <w:sz w:val="10"/>
                  <w:szCs w:val="16"/>
                  <w:u w:val="single"/>
                </w:rPr>
                <w:t>Mahalle_et_al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FIBRE/PLA/TPS BIOCOMPOSITE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Maize, wood </w:t>
            </w:r>
            <w:proofErr w:type="spellStart"/>
            <w:r w:rsidRPr="00154069">
              <w:rPr>
                <w:rFonts w:ascii="Calibri" w:eastAsia="Times New Roman" w:hAnsi="Calibri" w:cs="Calibri"/>
                <w:sz w:val="10"/>
                <w:szCs w:val="16"/>
              </w:rPr>
              <w:t>fibre</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PP</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0.203114</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-2.7508691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0.613114</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-1.218333</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89" w:history="1">
              <w:proofErr w:type="spellStart"/>
              <w:r w:rsidR="00EB3E17" w:rsidRPr="00154069">
                <w:rPr>
                  <w:rFonts w:ascii="Calibri" w:eastAsia="Times New Roman" w:hAnsi="Calibri" w:cs="Calibri"/>
                  <w:sz w:val="10"/>
                  <w:szCs w:val="16"/>
                  <w:u w:val="single"/>
                </w:rPr>
                <w:t>Mahalle_et_al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LINSEED OIL/FLAX FIBRE/MMP BIOCOMPOSITE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Flax </w:t>
            </w:r>
            <w:proofErr w:type="spellStart"/>
            <w:r w:rsidRPr="00154069">
              <w:rPr>
                <w:rFonts w:ascii="Calibri" w:eastAsia="Times New Roman" w:hAnsi="Calibri" w:cs="Calibri"/>
                <w:sz w:val="10"/>
                <w:szCs w:val="16"/>
              </w:rPr>
              <w:t>fibres</w:t>
            </w:r>
            <w:proofErr w:type="spellEnd"/>
            <w:r w:rsidRPr="00154069">
              <w:rPr>
                <w:rFonts w:ascii="Calibri" w:eastAsia="Times New Roman" w:hAnsi="Calibri" w:cs="Calibri"/>
                <w:sz w:val="10"/>
                <w:szCs w:val="16"/>
              </w:rPr>
              <w:t xml:space="preserve"> and linseed oil </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Epoxy resin reinforced by woven glass </w:t>
            </w:r>
            <w:proofErr w:type="spellStart"/>
            <w:r w:rsidRPr="00154069">
              <w:rPr>
                <w:rFonts w:ascii="Calibri" w:eastAsia="Times New Roman" w:hAnsi="Calibri" w:cs="Calibri"/>
                <w:sz w:val="10"/>
                <w:szCs w:val="16"/>
              </w:rPr>
              <w:t>fibre</w:t>
            </w:r>
            <w:proofErr w:type="spellEnd"/>
            <w:r w:rsidRPr="00154069">
              <w:rPr>
                <w:rFonts w:ascii="Calibri" w:eastAsia="Times New Roman" w:hAnsi="Calibri" w:cs="Calibri"/>
                <w:sz w:val="10"/>
                <w:szCs w:val="16"/>
              </w:rPr>
              <w:t xml:space="preserve"> fabric and flame retardant TBBPA</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7.9843478</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11.141935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-0.3332329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3.69</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2.64</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-0.394654</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0.521637</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Deng_et_al</w:t>
            </w:r>
            <w:proofErr w:type="spellEnd"/>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36</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EPOXY RESIN SUPERSAP</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Flax </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Gypsum plasterboard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2.2612333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2.9678029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-0.2719115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90" w:history="1">
              <w:proofErr w:type="spellStart"/>
              <w:r w:rsidR="00EB3E17" w:rsidRPr="00154069">
                <w:rPr>
                  <w:rFonts w:ascii="Calibri" w:eastAsia="Times New Roman" w:hAnsi="Calibri" w:cs="Calibri"/>
                  <w:sz w:val="10"/>
                  <w:szCs w:val="16"/>
                  <w:u w:val="single"/>
                </w:rPr>
                <w:t>Quintana_et_al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36</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EPOXY RESIN SUPERSAP</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Hemp</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Gypsum plasterboard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3.0118402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2.9678029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0.0147293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91" w:history="1">
              <w:proofErr w:type="spellStart"/>
              <w:r w:rsidR="00EB3E17" w:rsidRPr="00154069">
                <w:rPr>
                  <w:rFonts w:ascii="Calibri" w:eastAsia="Times New Roman" w:hAnsi="Calibri" w:cs="Calibri"/>
                  <w:sz w:val="10"/>
                  <w:szCs w:val="16"/>
                  <w:u w:val="single"/>
                </w:rPr>
                <w:t>Quintana_et_al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36</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EPOXY RESIN SUPERSAP</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Jute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Gypsum plasterboard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2.5695227</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2.9678029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-0.1441018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92" w:history="1">
              <w:proofErr w:type="spellStart"/>
              <w:r w:rsidR="00EB3E17" w:rsidRPr="00154069">
                <w:rPr>
                  <w:rFonts w:ascii="Calibri" w:eastAsia="Times New Roman" w:hAnsi="Calibri" w:cs="Calibri"/>
                  <w:sz w:val="10"/>
                  <w:szCs w:val="16"/>
                  <w:u w:val="single"/>
                </w:rPr>
                <w:t>Quintana_et_al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BIOPOLYETHYLENE/BAGASSE FIBERS BIOCOMPOSITE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bagasse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5.15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-1.3388921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1.293367</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2.694821</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93" w:history="1">
              <w:proofErr w:type="spellStart"/>
              <w:r w:rsidR="00EB3E17" w:rsidRPr="00154069">
                <w:rPr>
                  <w:rFonts w:ascii="Calibri" w:eastAsia="Times New Roman" w:hAnsi="Calibri" w:cs="Calibri"/>
                  <w:sz w:val="10"/>
                  <w:szCs w:val="16"/>
                  <w:u w:val="single"/>
                </w:rPr>
                <w:t>Ita-Nagy_et_al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BIOPOLYETHYLENE/BAGASSE FIBERS BIOCOMPOSITE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bagasse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5.15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-1.3538178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1.256029</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2.660335</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94" w:history="1">
              <w:proofErr w:type="spellStart"/>
              <w:r w:rsidR="00EB3E17" w:rsidRPr="00154069">
                <w:rPr>
                  <w:rFonts w:ascii="Calibri" w:eastAsia="Times New Roman" w:hAnsi="Calibri" w:cs="Calibri"/>
                  <w:sz w:val="10"/>
                  <w:szCs w:val="16"/>
                  <w:u w:val="single"/>
                </w:rPr>
                <w:t>Ita-Nagy_et_al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38</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PHA</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Soybean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3.52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3.75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-0.0632949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3.26</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2.05</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95" w:history="1">
              <w:proofErr w:type="spellStart"/>
              <w:r w:rsidR="00EB3E17" w:rsidRPr="00154069">
                <w:rPr>
                  <w:rFonts w:ascii="Calibri" w:eastAsia="Times New Roman" w:hAnsi="Calibri" w:cs="Calibri"/>
                  <w:sz w:val="10"/>
                  <w:szCs w:val="16"/>
                  <w:u w:val="single"/>
                </w:rPr>
                <w:t>Akiyama_et_al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38</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3.75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-0.1523745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2.77</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2.05</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96" w:history="1">
              <w:proofErr w:type="spellStart"/>
              <w:r w:rsidR="00EB3E17" w:rsidRPr="00154069">
                <w:rPr>
                  <w:rFonts w:ascii="Calibri" w:eastAsia="Times New Roman" w:hAnsi="Calibri" w:cs="Calibri"/>
                  <w:sz w:val="10"/>
                  <w:szCs w:val="16"/>
                  <w:u w:val="single"/>
                </w:rPr>
                <w:t>Akiyama_et_al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39</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PHA</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Polystyrene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0.1053605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2.05</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97" w:history="1">
              <w:proofErr w:type="spellStart"/>
              <w:r w:rsidR="00EB3E17" w:rsidRPr="00154069">
                <w:rPr>
                  <w:rFonts w:ascii="Calibri" w:eastAsia="Times New Roman" w:hAnsi="Calibri" w:cs="Calibri"/>
                  <w:sz w:val="10"/>
                  <w:szCs w:val="16"/>
                  <w:u w:val="single"/>
                </w:rPr>
                <w:t>Kim_and_Dale</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39</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Polystyrene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-1.3370233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2.05</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98" w:history="1">
              <w:proofErr w:type="spellStart"/>
              <w:r w:rsidR="00EB3E17" w:rsidRPr="00154069">
                <w:rPr>
                  <w:rFonts w:ascii="Calibri" w:eastAsia="Times New Roman" w:hAnsi="Calibri" w:cs="Calibri"/>
                  <w:sz w:val="10"/>
                  <w:szCs w:val="16"/>
                  <w:u w:val="single"/>
                </w:rPr>
                <w:t>Kim_and_Dale</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PHB</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 starch</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LDPE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4.69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5.03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-0.0699874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1.69</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1.504077</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-0.756863</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99" w:history="1">
              <w:proofErr w:type="spellStart"/>
              <w:r w:rsidR="00EB3E17" w:rsidRPr="00154069">
                <w:rPr>
                  <w:rFonts w:ascii="Calibri" w:eastAsia="Times New Roman" w:hAnsi="Calibri" w:cs="Calibri"/>
                  <w:sz w:val="10"/>
                  <w:szCs w:val="16"/>
                  <w:u w:val="single"/>
                </w:rPr>
                <w:t>Broeren_et_al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40</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PHB</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Wastewater</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Municipal waste</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3.19</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5.03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-0.4553991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1.69</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1.252763</w:t>
            </w: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-0.783531</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00" w:history="1">
              <w:proofErr w:type="spellStart"/>
              <w:r w:rsidR="00EB3E17" w:rsidRPr="00154069">
                <w:rPr>
                  <w:rFonts w:ascii="Calibri" w:eastAsia="Times New Roman" w:hAnsi="Calibri" w:cs="Calibri"/>
                  <w:sz w:val="10"/>
                  <w:szCs w:val="16"/>
                  <w:u w:val="single"/>
                </w:rPr>
                <w:t>Broeren_et_al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41</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NANOCELLULOSE YARN</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Carrot Pomace </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Food Processing waste</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Carbon fiber</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13.3</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7.69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0.5478433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3.66</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01" w:history="1">
              <w:proofErr w:type="spellStart"/>
              <w:r w:rsidR="00EB3E17" w:rsidRPr="00154069">
                <w:rPr>
                  <w:rFonts w:ascii="Calibri" w:eastAsia="Times New Roman" w:hAnsi="Calibri" w:cs="Calibri"/>
                  <w:sz w:val="10"/>
                  <w:szCs w:val="16"/>
                  <w:u w:val="single"/>
                </w:rPr>
                <w:t>Piccinno_et_al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CNC FOAM</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pulp</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Carbon fiber</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42.5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7.69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1.7095833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02" w:history="1">
              <w:proofErr w:type="spellStart"/>
              <w:r w:rsidR="00EB3E17" w:rsidRPr="00154069">
                <w:rPr>
                  <w:rFonts w:ascii="Calibri" w:eastAsia="Times New Roman" w:hAnsi="Calibri" w:cs="Calibri"/>
                  <w:sz w:val="10"/>
                  <w:szCs w:val="16"/>
                  <w:u w:val="single"/>
                </w:rPr>
                <w:t>Tan_et_al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CNC FOAM</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pulp</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Carbon fiber</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36.49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7.69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1.5571175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3.66</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03" w:history="1">
              <w:proofErr w:type="spellStart"/>
              <w:r w:rsidR="00EB3E17" w:rsidRPr="00154069">
                <w:rPr>
                  <w:rFonts w:ascii="Calibri" w:eastAsia="Times New Roman" w:hAnsi="Calibri" w:cs="Calibri"/>
                  <w:sz w:val="10"/>
                  <w:szCs w:val="16"/>
                  <w:u w:val="single"/>
                </w:rPr>
                <w:t>Tan_et_al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CNC FOAM</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pulp</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Carbon fiber</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21.99</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7.69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1.050667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04" w:history="1">
              <w:proofErr w:type="spellStart"/>
              <w:r w:rsidR="00EB3E17" w:rsidRPr="00154069">
                <w:rPr>
                  <w:rFonts w:ascii="Calibri" w:eastAsia="Times New Roman" w:hAnsi="Calibri" w:cs="Calibri"/>
                  <w:sz w:val="10"/>
                  <w:szCs w:val="16"/>
                  <w:u w:val="single"/>
                </w:rPr>
                <w:t>Tan_et_al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BIOLUBRICANT</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Rapeseed</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but only marginal land is considered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Mineral oil-based base fluid (TMP </w:t>
            </w:r>
            <w:proofErr w:type="spellStart"/>
            <w:r w:rsidRPr="00154069">
              <w:rPr>
                <w:rFonts w:ascii="Calibri" w:eastAsia="Times New Roman" w:hAnsi="Calibri" w:cs="Calibri"/>
                <w:sz w:val="10"/>
                <w:szCs w:val="16"/>
              </w:rPr>
              <w:t>oleate</w:t>
            </w:r>
            <w:proofErr w:type="spellEnd"/>
            <w:r w:rsidRPr="00154069">
              <w:rPr>
                <w:rFonts w:ascii="Calibri" w:eastAsia="Times New Roman" w:hAnsi="Calibri" w:cs="Calibri"/>
                <w:sz w:val="10"/>
                <w:szCs w:val="16"/>
              </w:rPr>
              <w: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1.426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6.632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-1.5370331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2.54</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0.743829</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3.088974</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05" w:history="1">
              <w:r w:rsidR="00EB3E17" w:rsidRPr="00154069">
                <w:rPr>
                  <w:rFonts w:ascii="Calibri" w:eastAsia="Times New Roman" w:hAnsi="Calibri" w:cs="Calibri"/>
                  <w:sz w:val="10"/>
                  <w:szCs w:val="16"/>
                  <w:u w:val="single"/>
                </w:rPr>
                <w:t>Ekman_&amp;_</w:t>
              </w:r>
              <w:proofErr w:type="spellStart"/>
              <w:r w:rsidR="00EB3E17" w:rsidRPr="00154069">
                <w:rPr>
                  <w:rFonts w:ascii="Calibri" w:eastAsia="Times New Roman" w:hAnsi="Calibri" w:cs="Calibri"/>
                  <w:sz w:val="10"/>
                  <w:szCs w:val="16"/>
                  <w:u w:val="single"/>
                </w:rPr>
                <w:t>Borjesson</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ALKYL POLYGLYCOSIDES</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Wheat straw</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APG (via Fischer </w:t>
            </w:r>
            <w:proofErr w:type="spellStart"/>
            <w:r w:rsidRPr="00154069">
              <w:rPr>
                <w:rFonts w:ascii="Calibri" w:eastAsia="Times New Roman" w:hAnsi="Calibri" w:cs="Calibri"/>
                <w:sz w:val="10"/>
                <w:szCs w:val="16"/>
              </w:rPr>
              <w:t>glycosidation</w:t>
            </w:r>
            <w:proofErr w:type="spellEnd"/>
            <w:r w:rsidRPr="00154069">
              <w:rPr>
                <w:rFonts w:ascii="Calibri" w:eastAsia="Times New Roman" w:hAnsi="Calibri" w:cs="Calibri"/>
                <w:sz w:val="10"/>
                <w:szCs w:val="16"/>
              </w:rPr>
              <w:t>)</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1.870856</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3.55956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-0.6432409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1.31882</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-0.348342</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-0.310812</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Brière_et_al</w:t>
            </w:r>
            <w:proofErr w:type="spellEnd"/>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CURED WOOD FLOORING COATING</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 and Soy</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low-VOC UV- cured wood flooring coating</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-1.4888099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-0.297738</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0.020203</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06" w:anchor="appsec1" w:history="1">
              <w:proofErr w:type="spellStart"/>
              <w:r w:rsidR="00EB3E17" w:rsidRPr="00154069">
                <w:rPr>
                  <w:rFonts w:ascii="Calibri" w:eastAsia="Times New Roman" w:hAnsi="Calibri" w:cs="Calibri"/>
                  <w:sz w:val="10"/>
                  <w:szCs w:val="16"/>
                  <w:u w:val="single"/>
                </w:rPr>
                <w:t>Montazeri_et_al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46</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-0.4397899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1.45</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07" w:history="1">
              <w:proofErr w:type="spellStart"/>
              <w:r w:rsidR="00EB3E17" w:rsidRPr="00154069">
                <w:rPr>
                  <w:rFonts w:ascii="Calibri" w:eastAsia="Times New Roman" w:hAnsi="Calibri" w:cs="Calibri"/>
                  <w:sz w:val="10"/>
                  <w:szCs w:val="16"/>
                  <w:u w:val="single"/>
                </w:rPr>
                <w:t>Adom</w:t>
              </w:r>
              <w:proofErr w:type="spellEnd"/>
              <w:r w:rsidR="00EB3E17" w:rsidRPr="00154069">
                <w:rPr>
                  <w:rFonts w:ascii="Calibri" w:eastAsia="Times New Roman" w:hAnsi="Calibri" w:cs="Calibri"/>
                  <w:sz w:val="10"/>
                  <w:szCs w:val="16"/>
                  <w:u w:val="single"/>
                </w:rPr>
                <w:t>_&amp;_Dunn</w:t>
              </w:r>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46</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 LACTATE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 lactate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-0.6440445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1.87</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08" w:history="1">
              <w:proofErr w:type="spellStart"/>
              <w:r w:rsidR="00EB3E17" w:rsidRPr="00154069">
                <w:rPr>
                  <w:rFonts w:ascii="Calibri" w:eastAsia="Times New Roman" w:hAnsi="Calibri" w:cs="Calibri"/>
                  <w:sz w:val="10"/>
                  <w:szCs w:val="16"/>
                  <w:u w:val="single"/>
                </w:rPr>
                <w:t>Adom</w:t>
              </w:r>
              <w:proofErr w:type="spellEnd"/>
              <w:r w:rsidR="00EB3E17" w:rsidRPr="00154069">
                <w:rPr>
                  <w:rFonts w:ascii="Calibri" w:eastAsia="Times New Roman" w:hAnsi="Calibri" w:cs="Calibri"/>
                  <w:sz w:val="10"/>
                  <w:szCs w:val="16"/>
                  <w:u w:val="single"/>
                </w:rPr>
                <w:t>_&amp;_Dunn</w:t>
              </w:r>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46</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2.9</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-0.1170165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1.45</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09" w:history="1">
              <w:proofErr w:type="spellStart"/>
              <w:r w:rsidR="00EB3E17" w:rsidRPr="00154069">
                <w:rPr>
                  <w:rFonts w:ascii="Calibri" w:eastAsia="Times New Roman" w:hAnsi="Calibri" w:cs="Calibri"/>
                  <w:sz w:val="10"/>
                  <w:szCs w:val="16"/>
                  <w:u w:val="single"/>
                </w:rPr>
                <w:t>Adom</w:t>
              </w:r>
              <w:proofErr w:type="spellEnd"/>
              <w:r w:rsidR="00EB3E17" w:rsidRPr="00154069">
                <w:rPr>
                  <w:rFonts w:ascii="Calibri" w:eastAsia="Times New Roman" w:hAnsi="Calibri" w:cs="Calibri"/>
                  <w:sz w:val="10"/>
                  <w:szCs w:val="16"/>
                  <w:u w:val="single"/>
                </w:rPr>
                <w:t>_&amp;_Dunn</w:t>
              </w:r>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46</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 LACTATE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 lactate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-0.2667502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1.87</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10" w:history="1">
              <w:proofErr w:type="spellStart"/>
              <w:r w:rsidR="00EB3E17" w:rsidRPr="00154069">
                <w:rPr>
                  <w:rFonts w:ascii="Calibri" w:eastAsia="Times New Roman" w:hAnsi="Calibri" w:cs="Calibri"/>
                  <w:sz w:val="10"/>
                  <w:szCs w:val="16"/>
                  <w:u w:val="single"/>
                </w:rPr>
                <w:t>Adom</w:t>
              </w:r>
              <w:proofErr w:type="spellEnd"/>
              <w:r w:rsidR="00EB3E17" w:rsidRPr="00154069">
                <w:rPr>
                  <w:rFonts w:ascii="Calibri" w:eastAsia="Times New Roman" w:hAnsi="Calibri" w:cs="Calibri"/>
                  <w:sz w:val="10"/>
                  <w:szCs w:val="16"/>
                  <w:u w:val="single"/>
                </w:rPr>
                <w:t>_&amp;_Dunn</w:t>
              </w:r>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POLYESTER BINDERS</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Polyester binders</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10.56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-1.2256712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2.46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11" w:history="1">
              <w:proofErr w:type="spellStart"/>
              <w:r w:rsidR="00EB3E17" w:rsidRPr="00154069">
                <w:rPr>
                  <w:rFonts w:ascii="Calibri" w:eastAsia="Times New Roman" w:hAnsi="Calibri" w:cs="Calibri"/>
                  <w:sz w:val="10"/>
                  <w:szCs w:val="16"/>
                  <w:u w:val="single"/>
                </w:rPr>
                <w:t>Garcia_Gonzalez_et_al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48</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Sugarcane </w:t>
            </w:r>
            <w:r w:rsidRPr="00154069">
              <w:rPr>
                <w:rFonts w:ascii="Calibri" w:eastAsia="Times New Roman" w:hAnsi="Calibri" w:cs="Calibri"/>
                <w:sz w:val="10"/>
                <w:szCs w:val="16"/>
              </w:rPr>
              <w:lastRenderedPageBreak/>
              <w:t>molasses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lastRenderedPageBreak/>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4.63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-0.6996477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12" w:anchor="fig1" w:history="1">
              <w:proofErr w:type="spellStart"/>
              <w:r w:rsidR="00EB3E17" w:rsidRPr="00154069">
                <w:rPr>
                  <w:rFonts w:ascii="Calibri" w:eastAsia="Times New Roman" w:hAnsi="Calibri" w:cs="Calibri"/>
                  <w:sz w:val="10"/>
                  <w:szCs w:val="16"/>
                  <w:u w:val="single"/>
                </w:rPr>
                <w:t>Kikuchi_et_al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48</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PP</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molasses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PP</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4.21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4.66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-0.1015528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13" w:anchor="fig1" w:history="1">
              <w:proofErr w:type="spellStart"/>
              <w:r w:rsidR="00EB3E17" w:rsidRPr="00154069">
                <w:rPr>
                  <w:rFonts w:ascii="Calibri" w:eastAsia="Times New Roman" w:hAnsi="Calibri" w:cs="Calibri"/>
                  <w:sz w:val="10"/>
                  <w:szCs w:val="16"/>
                  <w:u w:val="single"/>
                </w:rPr>
                <w:t>Kikuchi_et_al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48</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PP</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Woody biomass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PP</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4.66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-0.2862525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14" w:anchor="fig1" w:history="1">
              <w:proofErr w:type="spellStart"/>
              <w:r w:rsidR="00EB3E17" w:rsidRPr="00154069">
                <w:rPr>
                  <w:rFonts w:ascii="Calibri" w:eastAsia="Times New Roman" w:hAnsi="Calibri" w:cs="Calibri"/>
                  <w:sz w:val="10"/>
                  <w:szCs w:val="16"/>
                  <w:u w:val="single"/>
                </w:rPr>
                <w:t>Kikuchi_et_al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49</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BIOFILM</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Cassava starch</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-0.1900436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1.261471</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7.205909</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de_Leis_et_al</w:t>
            </w:r>
            <w:proofErr w:type="spellEnd"/>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POLY(LACTIC ACID)/CELLULOSE NANOCRYSTAL/LIMONENE BIOFILM</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Citrus waste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PLA/3OMMT/16.5ATBC (PLA/</w:t>
            </w:r>
            <w:proofErr w:type="spellStart"/>
            <w:r w:rsidRPr="00154069">
              <w:rPr>
                <w:rFonts w:ascii="Calibri" w:eastAsia="Times New Roman" w:hAnsi="Calibri" w:cs="Calibri"/>
                <w:sz w:val="10"/>
                <w:szCs w:val="16"/>
              </w:rPr>
              <w:t>organomodified</w:t>
            </w:r>
            <w:proofErr w:type="spellEnd"/>
            <w:r w:rsidRPr="00154069">
              <w:rPr>
                <w:rFonts w:ascii="Calibri" w:eastAsia="Times New Roman" w:hAnsi="Calibri" w:cs="Calibri"/>
                <w:sz w:val="10"/>
                <w:szCs w:val="16"/>
              </w:rPr>
              <w:t xml:space="preserve"> montmorillonite reference film plasticized with ATBC)</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5.3</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3.79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0.3353408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0.300105</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-0.011542</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15" w:history="1">
              <w:proofErr w:type="spellStart"/>
              <w:r w:rsidR="00EB3E17" w:rsidRPr="00154069">
                <w:rPr>
                  <w:rFonts w:ascii="Calibri" w:eastAsia="Times New Roman" w:hAnsi="Calibri" w:cs="Calibri"/>
                  <w:sz w:val="10"/>
                  <w:szCs w:val="16"/>
                  <w:u w:val="single"/>
                </w:rPr>
                <w:t>Petrucci_et_al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51</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POLYLIMONENE CARBONATE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Citrus waste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Polycarbonate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2.48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11.37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-1.5227197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2.77</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16" w:anchor="appSB" w:history="1">
              <w:r w:rsidR="00EB3E17" w:rsidRPr="00154069">
                <w:rPr>
                  <w:rFonts w:ascii="Calibri" w:eastAsia="Times New Roman" w:hAnsi="Calibri" w:cs="Calibri"/>
                  <w:sz w:val="10"/>
                  <w:szCs w:val="16"/>
                  <w:u w:val="single"/>
                </w:rPr>
                <w:t>Zhang_et_al_1</w:t>
              </w:r>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POLYESTER BINDERS</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Sugarbeet</w:t>
            </w:r>
            <w:proofErr w:type="spellEnd"/>
            <w:r w:rsidRPr="00154069">
              <w:rPr>
                <w:rFonts w:ascii="Calibri" w:eastAsia="Times New Roman" w:hAnsi="Calibri" w:cs="Calibri"/>
                <w:sz w:val="10"/>
                <w:szCs w:val="16"/>
              </w:rPr>
              <w:t xml:space="preserve"> </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Polyester binders</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4.21</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10.86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-0.9476237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2.46</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2.46</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-0.900787</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17" w:anchor="ref-CR24" w:history="1">
              <w:r w:rsidR="00EB3E17" w:rsidRPr="00154069">
                <w:rPr>
                  <w:rFonts w:ascii="Calibri" w:eastAsia="Times New Roman" w:hAnsi="Calibri" w:cs="Calibri"/>
                  <w:sz w:val="10"/>
                  <w:szCs w:val="16"/>
                  <w:u w:val="single"/>
                </w:rPr>
                <w:t>Garcia_Gonzalez_et_al_1</w:t>
              </w:r>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PBS</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and 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Polystyrene </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4.43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0.1533985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18" w:history="1">
              <w:proofErr w:type="spellStart"/>
              <w:r w:rsidR="00EB3E17" w:rsidRPr="00154069">
                <w:rPr>
                  <w:rFonts w:ascii="Calibri" w:eastAsia="Times New Roman" w:hAnsi="Calibri" w:cs="Calibri"/>
                  <w:sz w:val="10"/>
                  <w:szCs w:val="16"/>
                  <w:u w:val="single"/>
                </w:rPr>
                <w:t>Cheroennet_et_al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54</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PBS</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PP</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5.05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5.67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-0.1158009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0.182322</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19" w:history="1">
              <w:proofErr w:type="spellStart"/>
              <w:r w:rsidR="00EB3E17" w:rsidRPr="00154069">
                <w:rPr>
                  <w:rFonts w:ascii="Calibri" w:eastAsia="Times New Roman" w:hAnsi="Calibri" w:cs="Calibri"/>
                  <w:sz w:val="10"/>
                  <w:szCs w:val="16"/>
                  <w:u w:val="single"/>
                </w:rPr>
                <w:t>Patel_et_al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PBS</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PP</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3.56</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5.67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-0.4654286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-0.510826</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20" w:history="1">
              <w:proofErr w:type="spellStart"/>
              <w:r w:rsidR="00EB3E17" w:rsidRPr="00154069">
                <w:rPr>
                  <w:rFonts w:ascii="Calibri" w:eastAsia="Times New Roman" w:hAnsi="Calibri" w:cs="Calibri"/>
                  <w:sz w:val="10"/>
                  <w:szCs w:val="16"/>
                  <w:u w:val="single"/>
                </w:rPr>
                <w:t>Patel_et_al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SPIROCYCLIC DIOL</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Sugarbeet</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1,3-propanediol</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6.49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-0.8881841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21" w:anchor="!divAbstract" w:history="1">
              <w:proofErr w:type="spellStart"/>
              <w:r w:rsidR="00EB3E17" w:rsidRPr="00154069">
                <w:rPr>
                  <w:rFonts w:ascii="Calibri" w:eastAsia="Times New Roman" w:hAnsi="Calibri" w:cs="Calibri"/>
                  <w:sz w:val="10"/>
                  <w:szCs w:val="16"/>
                  <w:u w:val="single"/>
                </w:rPr>
                <w:t>Warlin_et_al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56</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PHB</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soybean oil</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High density polyethylene (HDPE) </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-2.1061646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2.05</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1.444061</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3.111964</w:t>
            </w: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-0.263499</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22" w:history="1">
              <w:proofErr w:type="spellStart"/>
              <w:r w:rsidR="00EB3E17" w:rsidRPr="00154069">
                <w:rPr>
                  <w:rFonts w:ascii="Calibri" w:eastAsia="Times New Roman" w:hAnsi="Calibri" w:cs="Calibri"/>
                  <w:sz w:val="10"/>
                  <w:szCs w:val="16"/>
                  <w:u w:val="single"/>
                </w:rPr>
                <w:t>Kookos_et_al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 FOAMS</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Lignin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polyurethane (PU) foams</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4.0095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5.79744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-0.3687499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-0.566238</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23" w:history="1">
              <w:proofErr w:type="spellStart"/>
              <w:r w:rsidR="00EB3E17" w:rsidRPr="00154069">
                <w:rPr>
                  <w:rFonts w:ascii="Calibri" w:eastAsia="Times New Roman" w:hAnsi="Calibri" w:cs="Calibri"/>
                  <w:sz w:val="10"/>
                  <w:szCs w:val="16"/>
                  <w:u w:val="single"/>
                </w:rPr>
                <w:t>Manzardo_et_al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58</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SPIRO-BISPHENOL</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vanillin, biomass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bisphenol</w:t>
            </w:r>
            <w:proofErr w:type="spellEnd"/>
            <w:r w:rsidRPr="00154069">
              <w:rPr>
                <w:rFonts w:ascii="Calibri" w:eastAsia="Times New Roman" w:hAnsi="Calibri" w:cs="Calibri"/>
                <w:sz w:val="10"/>
                <w:szCs w:val="16"/>
              </w:rPr>
              <w:t xml:space="preserve"> A</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7.01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-1.8703767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2.89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24" w:history="1">
              <w:proofErr w:type="spellStart"/>
              <w:r w:rsidR="00EB3E17" w:rsidRPr="00154069">
                <w:rPr>
                  <w:rFonts w:ascii="Calibri" w:eastAsia="Times New Roman" w:hAnsi="Calibri" w:cs="Calibri"/>
                  <w:sz w:val="10"/>
                  <w:szCs w:val="16"/>
                  <w:u w:val="single"/>
                </w:rPr>
                <w:t>Mankar_et_al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58</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DIOL V</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vanillin, biomass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1,3-propanediol</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6.49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-1.3049487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25" w:history="1">
              <w:proofErr w:type="spellStart"/>
              <w:r w:rsidR="00EB3E17" w:rsidRPr="00154069">
                <w:rPr>
                  <w:rFonts w:ascii="Calibri" w:eastAsia="Times New Roman" w:hAnsi="Calibri" w:cs="Calibri"/>
                  <w:sz w:val="10"/>
                  <w:szCs w:val="16"/>
                  <w:u w:val="single"/>
                </w:rPr>
                <w:t>Mankar_et_al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59</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PP</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used cooking oil (UCO)</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Food Processing waste</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PP</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4.78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-2.026476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Moretti_et_al</w:t>
            </w:r>
            <w:proofErr w:type="spellEnd"/>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POLYOLS</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Rapeseed</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polyols</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2.035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5.45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-0.9851198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1.45</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26" w:history="1">
              <w:proofErr w:type="spellStart"/>
              <w:r w:rsidR="00EB3E17" w:rsidRPr="00154069">
                <w:rPr>
                  <w:rFonts w:ascii="Calibri" w:eastAsia="Times New Roman" w:hAnsi="Calibri" w:cs="Calibri"/>
                  <w:sz w:val="10"/>
                  <w:szCs w:val="16"/>
                  <w:u w:val="single"/>
                </w:rPr>
                <w:t>Fridrihsone_et_al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60</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POLYOLS</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Rapeseed</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polyols</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2.095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5.45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-0.9560621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1.45</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27" w:history="1">
              <w:proofErr w:type="spellStart"/>
              <w:r w:rsidR="00EB3E17" w:rsidRPr="00154069">
                <w:rPr>
                  <w:rFonts w:ascii="Calibri" w:eastAsia="Times New Roman" w:hAnsi="Calibri" w:cs="Calibri"/>
                  <w:sz w:val="10"/>
                  <w:szCs w:val="16"/>
                  <w:u w:val="single"/>
                </w:rPr>
                <w:t>Fridrihsone_et_al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61</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alfalfa</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r w:rsidRPr="00154069">
              <w:rPr>
                <w:rFonts w:ascii="Calibri" w:eastAsia="Times New Roman" w:hAnsi="Calibri" w:cs="Calibri"/>
                <w:sz w:val="10"/>
                <w:szCs w:val="16"/>
              </w:rPr>
              <w:t xml:space="preserve"> and </w:t>
            </w:r>
            <w:proofErr w:type="spellStart"/>
            <w:r w:rsidRPr="00154069">
              <w:rPr>
                <w:rFonts w:ascii="Calibri" w:eastAsia="Times New Roman" w:hAnsi="Calibri" w:cs="Calibri"/>
                <w:sz w:val="10"/>
                <w:szCs w:val="16"/>
              </w:rPr>
              <w:t>iLUC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-0.1155129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4.598053</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28" w:anchor="s0205" w:history="1">
              <w:proofErr w:type="spellStart"/>
              <w:r w:rsidR="00EB3E17" w:rsidRPr="00154069">
                <w:rPr>
                  <w:rFonts w:ascii="Calibri" w:eastAsia="Times New Roman" w:hAnsi="Calibri" w:cs="Calibri"/>
                  <w:sz w:val="10"/>
                  <w:szCs w:val="16"/>
                  <w:u w:val="single"/>
                </w:rPr>
                <w:t>Parajuli_et_al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61</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alfalfa</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r w:rsidRPr="00154069">
              <w:rPr>
                <w:rFonts w:ascii="Calibri" w:eastAsia="Times New Roman" w:hAnsi="Calibri" w:cs="Calibri"/>
                <w:sz w:val="10"/>
                <w:szCs w:val="16"/>
              </w:rPr>
              <w:t xml:space="preserve"> and </w:t>
            </w:r>
            <w:proofErr w:type="spellStart"/>
            <w:r w:rsidRPr="00154069">
              <w:rPr>
                <w:rFonts w:ascii="Calibri" w:eastAsia="Times New Roman" w:hAnsi="Calibri" w:cs="Calibri"/>
                <w:sz w:val="10"/>
                <w:szCs w:val="16"/>
              </w:rPr>
              <w:t>iLUC</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-1.5058972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0.11</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2.443504</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29" w:anchor="s0205" w:history="1">
              <w:proofErr w:type="spellStart"/>
              <w:r w:rsidR="00EB3E17" w:rsidRPr="00154069">
                <w:rPr>
                  <w:rFonts w:ascii="Calibri" w:eastAsia="Times New Roman" w:hAnsi="Calibri" w:cs="Calibri"/>
                  <w:sz w:val="10"/>
                  <w:szCs w:val="16"/>
                  <w:u w:val="single"/>
                </w:rPr>
                <w:t>Parajuli_et_al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62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r w:rsidRPr="00154069">
              <w:rPr>
                <w:rFonts w:ascii="Calibri" w:eastAsia="Times New Roman" w:hAnsi="Calibri" w:cs="Calibri"/>
                <w:sz w:val="10"/>
                <w:szCs w:val="16"/>
              </w:rPr>
              <w:t xml:space="preserve"> (60 </w:t>
            </w:r>
            <w:proofErr w:type="spellStart"/>
            <w:r w:rsidRPr="00154069">
              <w:rPr>
                <w:rFonts w:ascii="Calibri" w:eastAsia="Times New Roman" w:hAnsi="Calibri" w:cs="Calibri"/>
                <w:sz w:val="10"/>
                <w:szCs w:val="16"/>
              </w:rPr>
              <w:t>wt</w:t>
            </w:r>
            <w:proofErr w:type="spellEnd"/>
            <w:r w:rsidRPr="00154069">
              <w:rPr>
                <w:rFonts w:ascii="Calibri" w:eastAsia="Times New Roman" w:hAnsi="Calibri" w:cs="Calibri"/>
                <w:sz w:val="10"/>
                <w:szCs w:val="16"/>
              </w:rPr>
              <w:t xml:space="preserve">%), </w:t>
            </w:r>
            <w:proofErr w:type="spellStart"/>
            <w:r w:rsidRPr="00154069">
              <w:rPr>
                <w:rFonts w:ascii="Calibri" w:eastAsia="Times New Roman" w:hAnsi="Calibri" w:cs="Calibri"/>
                <w:sz w:val="10"/>
                <w:szCs w:val="16"/>
              </w:rPr>
              <w:t>switchgrass</w:t>
            </w:r>
            <w:proofErr w:type="spellEnd"/>
            <w:r w:rsidRPr="00154069">
              <w:rPr>
                <w:rFonts w:ascii="Calibri" w:eastAsia="Times New Roman" w:hAnsi="Calibri" w:cs="Calibri"/>
                <w:sz w:val="10"/>
                <w:szCs w:val="16"/>
              </w:rPr>
              <w:t xml:space="preserve"> (35 </w:t>
            </w:r>
            <w:proofErr w:type="spellStart"/>
            <w:r w:rsidRPr="00154069">
              <w:rPr>
                <w:rFonts w:ascii="Calibri" w:eastAsia="Times New Roman" w:hAnsi="Calibri" w:cs="Calibri"/>
                <w:sz w:val="10"/>
                <w:szCs w:val="16"/>
              </w:rPr>
              <w:t>wt</w:t>
            </w:r>
            <w:proofErr w:type="spellEnd"/>
            <w:r w:rsidRPr="00154069">
              <w:rPr>
                <w:rFonts w:ascii="Calibri" w:eastAsia="Times New Roman" w:hAnsi="Calibri" w:cs="Calibri"/>
                <w:sz w:val="10"/>
                <w:szCs w:val="16"/>
              </w:rPr>
              <w:t xml:space="preserve">%), and municipal solid wastes (MSW, 5 </w:t>
            </w:r>
            <w:proofErr w:type="spellStart"/>
            <w:r w:rsidRPr="00154069">
              <w:rPr>
                <w:rFonts w:ascii="Calibri" w:eastAsia="Times New Roman" w:hAnsi="Calibri" w:cs="Calibri"/>
                <w:sz w:val="10"/>
                <w:szCs w:val="16"/>
              </w:rPr>
              <w:t>wt</w:t>
            </w:r>
            <w:proofErr w:type="spellEnd"/>
            <w:r w:rsidRPr="00154069">
              <w:rPr>
                <w:rFonts w:ascii="Calibri" w:eastAsia="Times New Roman" w:hAnsi="Calibri" w:cs="Calibri"/>
                <w:sz w:val="10"/>
                <w:szCs w:val="16"/>
              </w:rPr>
              <w:t>%)</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maleic anhydride </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4.61565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7.89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-0.5361434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30" w:history="1">
              <w:proofErr w:type="spellStart"/>
              <w:r w:rsidR="00EB3E17" w:rsidRPr="00154069">
                <w:rPr>
                  <w:rFonts w:ascii="Calibri" w:eastAsia="Times New Roman" w:hAnsi="Calibri" w:cs="Calibri"/>
                  <w:sz w:val="10"/>
                  <w:szCs w:val="16"/>
                  <w:u w:val="single"/>
                </w:rPr>
                <w:t>Cai_and_Davis</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ADIPIC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r w:rsidRPr="00154069">
              <w:rPr>
                <w:rFonts w:ascii="Calibri" w:eastAsia="Times New Roman" w:hAnsi="Calibri" w:cs="Calibri"/>
                <w:sz w:val="10"/>
                <w:szCs w:val="16"/>
              </w:rPr>
              <w:t xml:space="preserve"> (60 </w:t>
            </w:r>
            <w:proofErr w:type="spellStart"/>
            <w:r w:rsidRPr="00154069">
              <w:rPr>
                <w:rFonts w:ascii="Calibri" w:eastAsia="Times New Roman" w:hAnsi="Calibri" w:cs="Calibri"/>
                <w:sz w:val="10"/>
                <w:szCs w:val="16"/>
              </w:rPr>
              <w:t>wt</w:t>
            </w:r>
            <w:proofErr w:type="spellEnd"/>
            <w:r w:rsidRPr="00154069">
              <w:rPr>
                <w:rFonts w:ascii="Calibri" w:eastAsia="Times New Roman" w:hAnsi="Calibri" w:cs="Calibri"/>
                <w:sz w:val="10"/>
                <w:szCs w:val="16"/>
              </w:rPr>
              <w:t xml:space="preserve">%), </w:t>
            </w:r>
            <w:proofErr w:type="spellStart"/>
            <w:r w:rsidRPr="00154069">
              <w:rPr>
                <w:rFonts w:ascii="Calibri" w:eastAsia="Times New Roman" w:hAnsi="Calibri" w:cs="Calibri"/>
                <w:sz w:val="10"/>
                <w:szCs w:val="16"/>
              </w:rPr>
              <w:t>switchgrass</w:t>
            </w:r>
            <w:proofErr w:type="spellEnd"/>
            <w:r w:rsidRPr="00154069">
              <w:rPr>
                <w:rFonts w:ascii="Calibri" w:eastAsia="Times New Roman" w:hAnsi="Calibri" w:cs="Calibri"/>
                <w:sz w:val="10"/>
                <w:szCs w:val="16"/>
              </w:rPr>
              <w:t xml:space="preserve"> (35 </w:t>
            </w:r>
            <w:proofErr w:type="spellStart"/>
            <w:r w:rsidRPr="00154069">
              <w:rPr>
                <w:rFonts w:ascii="Calibri" w:eastAsia="Times New Roman" w:hAnsi="Calibri" w:cs="Calibri"/>
                <w:sz w:val="10"/>
                <w:szCs w:val="16"/>
              </w:rPr>
              <w:t>wt</w:t>
            </w:r>
            <w:proofErr w:type="spellEnd"/>
            <w:r w:rsidRPr="00154069">
              <w:rPr>
                <w:rFonts w:ascii="Calibri" w:eastAsia="Times New Roman" w:hAnsi="Calibri" w:cs="Calibri"/>
                <w:sz w:val="10"/>
                <w:szCs w:val="16"/>
              </w:rPr>
              <w:t xml:space="preserve">%), and municipal solid wastes (MSW, 5 </w:t>
            </w:r>
            <w:proofErr w:type="spellStart"/>
            <w:r w:rsidRPr="00154069">
              <w:rPr>
                <w:rFonts w:ascii="Calibri" w:eastAsia="Times New Roman" w:hAnsi="Calibri" w:cs="Calibri"/>
                <w:sz w:val="10"/>
                <w:szCs w:val="16"/>
              </w:rPr>
              <w:t>wt</w:t>
            </w:r>
            <w:proofErr w:type="spellEnd"/>
            <w:r w:rsidRPr="00154069">
              <w:rPr>
                <w:rFonts w:ascii="Calibri" w:eastAsia="Times New Roman" w:hAnsi="Calibri" w:cs="Calibri"/>
                <w:sz w:val="10"/>
                <w:szCs w:val="16"/>
              </w:rPr>
              <w:t>%)</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adipic</w:t>
            </w:r>
            <w:proofErr w:type="spellEnd"/>
            <w:r w:rsidRPr="00154069">
              <w:rPr>
                <w:rFonts w:ascii="Calibri" w:eastAsia="Times New Roman" w:hAnsi="Calibri" w:cs="Calibri"/>
                <w:sz w:val="10"/>
                <w:szCs w:val="16"/>
              </w:rPr>
              <w:t xml:space="preserve">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3.9228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14.01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-1.2729657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1.81</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31" w:history="1">
              <w:proofErr w:type="spellStart"/>
              <w:r w:rsidR="00EB3E17" w:rsidRPr="00154069">
                <w:rPr>
                  <w:rFonts w:ascii="Calibri" w:eastAsia="Times New Roman" w:hAnsi="Calibri" w:cs="Calibri"/>
                  <w:sz w:val="10"/>
                  <w:szCs w:val="16"/>
                  <w:u w:val="single"/>
                </w:rPr>
                <w:t>Cai_and_Davis</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-0.4045564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r w:rsidRPr="00154069">
              <w:rPr>
                <w:rFonts w:ascii="Calibri" w:eastAsia="Times New Roman" w:hAnsi="Calibri" w:cs="Calibri"/>
                <w:sz w:val="10"/>
                <w:szCs w:val="16"/>
                <w:u w:val="single"/>
              </w:rPr>
              <w:t>Fernandez-</w:t>
            </w:r>
            <w:proofErr w:type="spellStart"/>
            <w:r w:rsidRPr="00154069">
              <w:rPr>
                <w:rFonts w:ascii="Calibri" w:eastAsia="Times New Roman" w:hAnsi="Calibri" w:cs="Calibri"/>
                <w:sz w:val="10"/>
                <w:szCs w:val="16"/>
                <w:u w:val="single"/>
              </w:rPr>
              <w:t>Dacosta_et_al</w:t>
            </w:r>
            <w:proofErr w:type="spellEnd"/>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BIOPOLYMER</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 starch</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1.524</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-1.2273202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32" w:history="1">
              <w:proofErr w:type="spellStart"/>
              <w:r w:rsidR="00EB3E17" w:rsidRPr="00154069">
                <w:rPr>
                  <w:rFonts w:ascii="Calibri" w:eastAsia="Times New Roman" w:hAnsi="Calibri" w:cs="Calibri"/>
                  <w:sz w:val="10"/>
                  <w:szCs w:val="16"/>
                  <w:u w:val="single"/>
                </w:rPr>
                <w:t>Mercado_et_al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POLYLACTIDE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LDPE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-1.2840155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33" w:history="1">
              <w:proofErr w:type="spellStart"/>
              <w:r w:rsidR="00EB3E17" w:rsidRPr="00154069">
                <w:rPr>
                  <w:rFonts w:ascii="Calibri" w:eastAsia="Times New Roman" w:hAnsi="Calibri" w:cs="Calibri"/>
                  <w:sz w:val="10"/>
                  <w:szCs w:val="16"/>
                  <w:u w:val="single"/>
                </w:rPr>
                <w:t>Vink_et_al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66</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PHB</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5.09</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5.64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-0.1026062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0.101352</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1.856221</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34" w:history="1">
              <w:proofErr w:type="spellStart"/>
              <w:r w:rsidR="00EB3E17" w:rsidRPr="00154069">
                <w:rPr>
                  <w:rFonts w:ascii="Calibri" w:eastAsia="Times New Roman" w:hAnsi="Calibri" w:cs="Calibri"/>
                  <w:sz w:val="10"/>
                  <w:szCs w:val="16"/>
                  <w:u w:val="single"/>
                </w:rPr>
                <w:t>Harding_et_al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vine shoots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-0.5230209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1.616505</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Páchon_et_al</w:t>
            </w:r>
            <w:proofErr w:type="spellEnd"/>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LACTIDE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bagasse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2.753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4.49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-0.4891615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1.825</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35" w:history="1">
              <w:proofErr w:type="spellStart"/>
              <w:r w:rsidR="00EB3E17" w:rsidRPr="00154069">
                <w:rPr>
                  <w:rFonts w:ascii="Calibri" w:eastAsia="Times New Roman" w:hAnsi="Calibri" w:cs="Calibri"/>
                  <w:sz w:val="10"/>
                  <w:szCs w:val="16"/>
                  <w:u w:val="single"/>
                </w:rPr>
                <w:t>Vera_et_al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LACTIDE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Sugarbeet</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2.793</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4.49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-0.4747364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1.825</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36" w:history="1">
              <w:proofErr w:type="spellStart"/>
              <w:r w:rsidR="00EB3E17" w:rsidRPr="00154069">
                <w:rPr>
                  <w:rFonts w:ascii="Calibri" w:eastAsia="Times New Roman" w:hAnsi="Calibri" w:cs="Calibri"/>
                  <w:sz w:val="10"/>
                  <w:szCs w:val="16"/>
                  <w:u w:val="single"/>
                </w:rPr>
                <w:t>Vera_et_al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LACTIDE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Woody biomass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2.595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4.49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-0.5482662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1.825</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37" w:history="1">
              <w:proofErr w:type="spellStart"/>
              <w:r w:rsidR="00EB3E17" w:rsidRPr="00154069">
                <w:rPr>
                  <w:rFonts w:ascii="Calibri" w:eastAsia="Times New Roman" w:hAnsi="Calibri" w:cs="Calibri"/>
                  <w:sz w:val="10"/>
                  <w:szCs w:val="16"/>
                  <w:u w:val="single"/>
                </w:rPr>
                <w:t>Vera_et_al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LACTIDE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Sawmill residues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2.518</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4.49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-0.5783878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1.825</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38" w:history="1">
              <w:proofErr w:type="spellStart"/>
              <w:r w:rsidR="00EB3E17" w:rsidRPr="00154069">
                <w:rPr>
                  <w:rFonts w:ascii="Calibri" w:eastAsia="Times New Roman" w:hAnsi="Calibri" w:cs="Calibri"/>
                  <w:sz w:val="10"/>
                  <w:szCs w:val="16"/>
                  <w:u w:val="single"/>
                </w:rPr>
                <w:t>Vera_et_al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LACTIDE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2.579</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4.49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-0.554451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1.825</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39" w:history="1">
              <w:proofErr w:type="spellStart"/>
              <w:r w:rsidR="00EB3E17" w:rsidRPr="00154069">
                <w:rPr>
                  <w:rFonts w:ascii="Calibri" w:eastAsia="Times New Roman" w:hAnsi="Calibri" w:cs="Calibri"/>
                  <w:sz w:val="10"/>
                  <w:szCs w:val="16"/>
                  <w:u w:val="single"/>
                </w:rPr>
                <w:t>Vera_et_al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LACTIDE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Woody biomass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2.724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4.49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-0.4997513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1.825</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40" w:history="1">
              <w:proofErr w:type="spellStart"/>
              <w:r w:rsidR="00EB3E17" w:rsidRPr="00154069">
                <w:rPr>
                  <w:rFonts w:ascii="Calibri" w:eastAsia="Times New Roman" w:hAnsi="Calibri" w:cs="Calibri"/>
                  <w:sz w:val="10"/>
                  <w:szCs w:val="16"/>
                  <w:u w:val="single"/>
                </w:rPr>
                <w:t>Vera_et_al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LACTIDE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Sawmill residues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2.558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4.49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-0.562627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1.825</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41" w:history="1">
              <w:proofErr w:type="spellStart"/>
              <w:r w:rsidR="00EB3E17" w:rsidRPr="00154069">
                <w:rPr>
                  <w:rFonts w:ascii="Calibri" w:eastAsia="Times New Roman" w:hAnsi="Calibri" w:cs="Calibri"/>
                  <w:sz w:val="10"/>
                  <w:szCs w:val="16"/>
                  <w:u w:val="single"/>
                </w:rPr>
                <w:t>Vera_et_al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LACTIDE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2.631</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4.49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-0.5344887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1.825</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42" w:history="1">
              <w:proofErr w:type="spellStart"/>
              <w:r w:rsidR="00EB3E17" w:rsidRPr="00154069">
                <w:rPr>
                  <w:rFonts w:ascii="Calibri" w:eastAsia="Times New Roman" w:hAnsi="Calibri" w:cs="Calibri"/>
                  <w:sz w:val="10"/>
                  <w:szCs w:val="16"/>
                  <w:u w:val="single"/>
                </w:rPr>
                <w:t>Vera_et_al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69</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CURAUÁ/PP COMPOSITE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Curauá</w:t>
            </w:r>
            <w:proofErr w:type="spellEnd"/>
            <w:r w:rsidRPr="00154069">
              <w:rPr>
                <w:rFonts w:ascii="Calibri" w:eastAsia="Times New Roman" w:hAnsi="Calibri" w:cs="Calibri"/>
                <w:sz w:val="10"/>
                <w:szCs w:val="16"/>
              </w:rPr>
              <w:t xml:space="preserve"> fiber</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glass fiber/PP composite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4.2162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-0.7558374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1.0962</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-0.293348</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1.058607</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43" w:anchor="bib18" w:history="1">
              <w:proofErr w:type="spellStart"/>
              <w:r w:rsidR="00EB3E17" w:rsidRPr="00154069">
                <w:rPr>
                  <w:rFonts w:ascii="Calibri" w:eastAsia="Times New Roman" w:hAnsi="Calibri" w:cs="Calibri"/>
                  <w:sz w:val="10"/>
                  <w:szCs w:val="16"/>
                  <w:u w:val="single"/>
                </w:rPr>
                <w:t>Zah_et_al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PHB/KENAF COMPOSITE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Kenaf</w:t>
            </w:r>
            <w:proofErr w:type="spellEnd"/>
            <w:r w:rsidRPr="00154069">
              <w:rPr>
                <w:rFonts w:ascii="Calibri" w:eastAsia="Times New Roman" w:hAnsi="Calibri" w:cs="Calibri"/>
                <w:sz w:val="10"/>
                <w:szCs w:val="16"/>
              </w:rPr>
              <w:t xml:space="preserve"> fiber, 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glass fiber/PP composite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3.95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5.3462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-0.3026704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1.0962</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-0.245122</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44" w:history="1">
              <w:proofErr w:type="spellStart"/>
              <w:r w:rsidR="00EB3E17" w:rsidRPr="00154069">
                <w:rPr>
                  <w:rFonts w:ascii="Calibri" w:eastAsia="Times New Roman" w:hAnsi="Calibri" w:cs="Calibri"/>
                  <w:sz w:val="10"/>
                  <w:szCs w:val="16"/>
                  <w:u w:val="single"/>
                </w:rPr>
                <w:t>Kim_et_al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71</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CELLULOSE NANOWHISKERS</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coconut</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carbon nanofibers</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1086.412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1003.66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0.0792272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45" w:history="1">
              <w:proofErr w:type="spellStart"/>
              <w:r w:rsidR="00EB3E17" w:rsidRPr="00154069">
                <w:rPr>
                  <w:rFonts w:ascii="Calibri" w:eastAsia="Times New Roman" w:hAnsi="Calibri" w:cs="Calibri"/>
                  <w:sz w:val="10"/>
                  <w:szCs w:val="16"/>
                  <w:u w:val="single"/>
                </w:rPr>
                <w:t>Britode_Figueirêdo_et_al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71</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CELLULOSE NANOWHISKERS</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cotton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carbon nanofibers</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122.171</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1003.66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-2.1059869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3.66</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46" w:history="1">
              <w:proofErr w:type="spellStart"/>
              <w:r w:rsidR="00EB3E17" w:rsidRPr="00154069">
                <w:rPr>
                  <w:rFonts w:ascii="Calibri" w:eastAsia="Times New Roman" w:hAnsi="Calibri" w:cs="Calibri"/>
                  <w:sz w:val="10"/>
                  <w:szCs w:val="16"/>
                  <w:u w:val="single"/>
                </w:rPr>
                <w:t>Britode_Figueirêdo_et_al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NANOCELLULOSE (MICROFIBRILLATED CELLULOSE (MFC))</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pulp</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carbon nanofibers</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980</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1003.66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-0.023856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47" w:history="1">
              <w:proofErr w:type="spellStart"/>
              <w:r w:rsidR="00EB3E17" w:rsidRPr="00154069">
                <w:rPr>
                  <w:rFonts w:ascii="Calibri" w:eastAsia="Times New Roman" w:hAnsi="Calibri" w:cs="Calibri"/>
                  <w:sz w:val="10"/>
                  <w:szCs w:val="16"/>
                  <w:u w:val="single"/>
                </w:rPr>
                <w:t>Li_et_al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NANOCELLULOSE (MICROFIBRILLATED CELLULOSE (MFC))</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pulp</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carbon nanofibers</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190</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1003.66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-1.6643845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3.66</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48" w:history="1">
              <w:proofErr w:type="spellStart"/>
              <w:r w:rsidR="00EB3E17" w:rsidRPr="00154069">
                <w:rPr>
                  <w:rFonts w:ascii="Calibri" w:eastAsia="Times New Roman" w:hAnsi="Calibri" w:cs="Calibri"/>
                  <w:sz w:val="10"/>
                  <w:szCs w:val="16"/>
                  <w:u w:val="single"/>
                </w:rPr>
                <w:t>Li_et_al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NANOCELLULOSE (MICROFIBRILLATED CELLULOSE (MFC))</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pulp</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carbon nanofibers</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1160</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1003.66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0.1447667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49" w:history="1">
              <w:proofErr w:type="spellStart"/>
              <w:r w:rsidR="00EB3E17" w:rsidRPr="00154069">
                <w:rPr>
                  <w:rFonts w:ascii="Calibri" w:eastAsia="Times New Roman" w:hAnsi="Calibri" w:cs="Calibri"/>
                  <w:sz w:val="10"/>
                  <w:szCs w:val="16"/>
                  <w:u w:val="single"/>
                </w:rPr>
                <w:t>Li_et_al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NANOCELLULOSE (MICROFIBRILLATED CELLULOSE (MFC))</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pulp</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carbon nanofibers</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360</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1003.66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-1.0253046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3.66</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50" w:history="1">
              <w:proofErr w:type="spellStart"/>
              <w:r w:rsidR="00EB3E17" w:rsidRPr="00154069">
                <w:rPr>
                  <w:rFonts w:ascii="Calibri" w:eastAsia="Times New Roman" w:hAnsi="Calibri" w:cs="Calibri"/>
                  <w:sz w:val="10"/>
                  <w:szCs w:val="16"/>
                  <w:u w:val="single"/>
                </w:rPr>
                <w:t>Li_et_al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MODAL ANTI BACTERIAL FABRIC</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pulp</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polyester (</w:t>
            </w:r>
            <w:proofErr w:type="spellStart"/>
            <w:r w:rsidRPr="00154069">
              <w:rPr>
                <w:rFonts w:ascii="Calibri" w:eastAsia="Times New Roman" w:hAnsi="Calibri" w:cs="Calibri"/>
                <w:sz w:val="10"/>
                <w:szCs w:val="16"/>
              </w:rPr>
              <w:t>NanoAg</w:t>
            </w:r>
            <w:proofErr w:type="spellEnd"/>
            <w:r w:rsidRPr="00154069">
              <w:rPr>
                <w:rFonts w:ascii="Calibri" w:eastAsia="Times New Roman" w:hAnsi="Calibri" w:cs="Calibri"/>
                <w:sz w:val="10"/>
                <w:szCs w:val="16"/>
              </w:rPr>
              <w:t xml:space="preserve"> coated polyester)</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10.826772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12.841181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-0.1706354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51" w:history="1">
              <w:proofErr w:type="spellStart"/>
              <w:r w:rsidR="00EB3E17" w:rsidRPr="00154069">
                <w:rPr>
                  <w:rFonts w:ascii="Calibri" w:eastAsia="Times New Roman" w:hAnsi="Calibri" w:cs="Calibri"/>
                  <w:sz w:val="10"/>
                  <w:szCs w:val="16"/>
                  <w:u w:val="single"/>
                </w:rPr>
                <w:t>Manda_et_al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MODAL ANTI BACTERIAL FABRIC</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pulp</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polyester (</w:t>
            </w:r>
            <w:proofErr w:type="spellStart"/>
            <w:r w:rsidRPr="00154069">
              <w:rPr>
                <w:rFonts w:ascii="Calibri" w:eastAsia="Times New Roman" w:hAnsi="Calibri" w:cs="Calibri"/>
                <w:sz w:val="10"/>
                <w:szCs w:val="16"/>
              </w:rPr>
              <w:t>NanoAg</w:t>
            </w:r>
            <w:proofErr w:type="spellEnd"/>
            <w:r w:rsidRPr="00154069">
              <w:rPr>
                <w:rFonts w:ascii="Calibri" w:eastAsia="Times New Roman" w:hAnsi="Calibri" w:cs="Calibri"/>
                <w:sz w:val="10"/>
                <w:szCs w:val="16"/>
              </w:rPr>
              <w:t xml:space="preserve"> coated polyester)</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9.7637795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12.841181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-0.2739777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52" w:history="1">
              <w:proofErr w:type="spellStart"/>
              <w:r w:rsidR="00EB3E17" w:rsidRPr="00154069">
                <w:rPr>
                  <w:rFonts w:ascii="Calibri" w:eastAsia="Times New Roman" w:hAnsi="Calibri" w:cs="Calibri"/>
                  <w:sz w:val="10"/>
                  <w:szCs w:val="16"/>
                  <w:u w:val="single"/>
                </w:rPr>
                <w:t>Manda_et_al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NANOCELLULOSE (MICROFIBRILLATED CELLULOSE (MFC))</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Carrot Pomace </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carbon nanofibers</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106.8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1003.66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-2.2404507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53" w:history="1">
              <w:r w:rsidR="00EB3E17" w:rsidRPr="00154069">
                <w:rPr>
                  <w:rFonts w:ascii="Calibri" w:eastAsia="Times New Roman" w:hAnsi="Calibri" w:cs="Calibri"/>
                  <w:sz w:val="10"/>
                  <w:szCs w:val="16"/>
                  <w:u w:val="single"/>
                </w:rPr>
                <w:t>Piccinno_et_al_1</w:t>
              </w:r>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74</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NANOCELLULOSE (MICROFIBRILLATED CELLULOSE (MFC))</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Biofiber</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Carrot Pomace </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carbon nanofibers</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141.6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1003.66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-1.9584024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3.66</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54" w:history="1">
              <w:r w:rsidR="00EB3E17" w:rsidRPr="00154069">
                <w:rPr>
                  <w:rFonts w:ascii="Calibri" w:eastAsia="Times New Roman" w:hAnsi="Calibri" w:cs="Calibri"/>
                  <w:sz w:val="10"/>
                  <w:szCs w:val="16"/>
                  <w:u w:val="single"/>
                </w:rPr>
                <w:t>Piccinno_et_al_1</w:t>
              </w:r>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BACTERIAL CELLULOSE (BC)-REINFORCED EPOXY COMPOSITES</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Kraft pulp</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glass fiber/PP composite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11.82906</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5.2825161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0.8061567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1.218</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55" w:history="1">
              <w:proofErr w:type="spellStart"/>
              <w:r w:rsidR="00EB3E17" w:rsidRPr="00154069">
                <w:rPr>
                  <w:rFonts w:ascii="Calibri" w:eastAsia="Times New Roman" w:hAnsi="Calibri" w:cs="Calibri"/>
                  <w:sz w:val="10"/>
                  <w:szCs w:val="16"/>
                  <w:u w:val="single"/>
                </w:rPr>
                <w:t>Hervy_et_al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NANOFIBRILLATED CELLULOSE (NFC)-REINFORCED EPOXY COMPOSITES</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Kraft pulp</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glass fiber/PP composite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8.66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5.2825161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0.4943122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1.218</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56" w:history="1">
              <w:proofErr w:type="spellStart"/>
              <w:r w:rsidR="00EB3E17" w:rsidRPr="00154069">
                <w:rPr>
                  <w:rFonts w:ascii="Calibri" w:eastAsia="Times New Roman" w:hAnsi="Calibri" w:cs="Calibri"/>
                  <w:sz w:val="10"/>
                  <w:szCs w:val="16"/>
                  <w:u w:val="single"/>
                </w:rPr>
                <w:t>Hervy_et_al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76</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WAX ESTERS</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Rapeseed</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paraffin wax</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3.778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-1.1894328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3.12</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1.309063</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3.854933</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57" w:history="1">
              <w:proofErr w:type="spellStart"/>
              <w:r w:rsidR="00EB3E17" w:rsidRPr="00154069">
                <w:rPr>
                  <w:rFonts w:ascii="Calibri" w:eastAsia="Times New Roman" w:hAnsi="Calibri" w:cs="Calibri"/>
                  <w:sz w:val="10"/>
                  <w:szCs w:val="16"/>
                  <w:u w:val="single"/>
                </w:rPr>
                <w:t>Tufvesson_and_Borjesson</w:t>
              </w:r>
              <w:proofErr w:type="spellEnd"/>
              <w:r w:rsidR="00EB3E17" w:rsidRPr="00154069">
                <w:rPr>
                  <w:rFonts w:ascii="Calibri" w:eastAsia="Times New Roman" w:hAnsi="Calibri" w:cs="Calibri"/>
                  <w:sz w:val="10"/>
                  <w:szCs w:val="16"/>
                  <w:u w:val="single"/>
                </w:rPr>
                <w:t xml:space="preserve"> </w:t>
              </w:r>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LIGNIN POWDER</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Woody biomass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polyol (polyethylene glycol)</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2.87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5.43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-0.6376271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1.42</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-0.616311</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58" w:history="1">
              <w:proofErr w:type="spellStart"/>
              <w:r w:rsidR="00EB3E17" w:rsidRPr="00154069">
                <w:rPr>
                  <w:rFonts w:ascii="Calibri" w:eastAsia="Times New Roman" w:hAnsi="Calibri" w:cs="Calibri"/>
                  <w:sz w:val="10"/>
                  <w:szCs w:val="16"/>
                  <w:u w:val="single"/>
                </w:rPr>
                <w:t>Bernier_et_al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78</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WHEAT-GLUTEN-BASED PACKAGING FILM</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Wheat </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2.0214286</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5.6502899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-1.0279024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0.678758</w:t>
            </w:r>
          </w:p>
        </w:tc>
        <w:tc>
          <w:tcPr>
            <w:tcW w:w="718"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59" w:history="1">
              <w:r w:rsidR="00EB3E17" w:rsidRPr="00154069">
                <w:rPr>
                  <w:rFonts w:ascii="Calibri" w:eastAsia="Times New Roman" w:hAnsi="Calibri" w:cs="Calibri"/>
                  <w:sz w:val="10"/>
                  <w:szCs w:val="16"/>
                  <w:u w:val="single"/>
                </w:rPr>
                <w:t>Deng_et_al_1</w:t>
              </w:r>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79</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STARCH-FILLED POLYPROPYLENE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waste seed (AWS)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talc-filled PP thermoformed tray</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6.934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-0.6444532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2.504</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60" w:history="1">
              <w:proofErr w:type="spellStart"/>
              <w:r w:rsidR="00EB3E17" w:rsidRPr="00154069">
                <w:rPr>
                  <w:rFonts w:ascii="Calibri" w:eastAsia="Times New Roman" w:hAnsi="Calibri" w:cs="Calibri"/>
                  <w:sz w:val="10"/>
                  <w:szCs w:val="16"/>
                  <w:u w:val="single"/>
                </w:rPr>
                <w:t>Pang_et_al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79</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STARCH-FILLED POLYPROPYLENE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waste tuber (AWT)</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talc-filled PP thermoformed tray</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6.934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-0.6335241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2.504</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61" w:history="1">
              <w:proofErr w:type="spellStart"/>
              <w:r w:rsidR="00EB3E17" w:rsidRPr="00154069">
                <w:rPr>
                  <w:rFonts w:ascii="Calibri" w:eastAsia="Times New Roman" w:hAnsi="Calibri" w:cs="Calibri"/>
                  <w:sz w:val="10"/>
                  <w:szCs w:val="16"/>
                  <w:u w:val="single"/>
                </w:rPr>
                <w:t>Pang_et_al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HEMP SHIV/SOL-GEL COATING MATERIAL</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Bioadhesive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Hemp</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reference wall</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-0.14842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1.84</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62" w:anchor="supplementary" w:history="1">
              <w:proofErr w:type="spellStart"/>
              <w:r w:rsidR="00EB3E17" w:rsidRPr="00154069">
                <w:rPr>
                  <w:rFonts w:ascii="Calibri" w:eastAsia="Times New Roman" w:hAnsi="Calibri" w:cs="Calibri"/>
                  <w:sz w:val="10"/>
                  <w:szCs w:val="16"/>
                  <w:u w:val="single"/>
                </w:rPr>
                <w:t>Heidari_et_al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81</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PHENOLIC</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Olive mill wastewaters (OMWs) </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Food Processing waste</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phenol</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4.488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-0.2735452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2.8</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63" w:history="1">
              <w:proofErr w:type="spellStart"/>
              <w:r w:rsidR="00EB3E17" w:rsidRPr="00154069">
                <w:rPr>
                  <w:rFonts w:ascii="Calibri" w:eastAsia="Times New Roman" w:hAnsi="Calibri" w:cs="Calibri"/>
                  <w:sz w:val="10"/>
                  <w:szCs w:val="16"/>
                  <w:u w:val="single"/>
                </w:rPr>
                <w:t>Frascari_et_al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EPOXIDIZED SUCROSE SOYATE COMPOSITES</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Biocomposite</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Soybean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bisphenol</w:t>
            </w:r>
            <w:proofErr w:type="spellEnd"/>
            <w:r w:rsidRPr="00154069">
              <w:rPr>
                <w:rFonts w:ascii="Calibri" w:eastAsia="Times New Roman" w:hAnsi="Calibri" w:cs="Calibri"/>
                <w:sz w:val="10"/>
                <w:szCs w:val="16"/>
              </w:rPr>
              <w:t xml:space="preserve"> A (BPA)-based resins</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3.93</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4.67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-0.1725196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2.75</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2.89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Ghasemi_et_al</w:t>
            </w:r>
            <w:proofErr w:type="spellEnd"/>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marcoalgae</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3rd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0.645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-1.9580182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64" w:history="1">
              <w:proofErr w:type="spellStart"/>
              <w:r w:rsidR="00EB3E17" w:rsidRPr="00154069">
                <w:rPr>
                  <w:rFonts w:ascii="Calibri" w:eastAsia="Times New Roman" w:hAnsi="Calibri" w:cs="Calibri"/>
                  <w:sz w:val="10"/>
                  <w:szCs w:val="16"/>
                  <w:u w:val="single"/>
                </w:rPr>
                <w:t>Sadhukan_et_al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Biorefinery</w:t>
            </w:r>
            <w:proofErr w:type="spellEnd"/>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marcoalgae</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3rd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-2.1594842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65" w:history="1">
              <w:proofErr w:type="spellStart"/>
              <w:r w:rsidR="00EB3E17" w:rsidRPr="00154069">
                <w:rPr>
                  <w:rFonts w:ascii="Calibri" w:eastAsia="Times New Roman" w:hAnsi="Calibri" w:cs="Calibri"/>
                  <w:sz w:val="10"/>
                  <w:szCs w:val="16"/>
                  <w:u w:val="single"/>
                </w:rPr>
                <w:t>Sadhukan_et_al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P-XYLENE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red oak</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p-xylene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1.7314</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5.04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-1.0684758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3.32</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44" w:type="dxa"/>
            <w:shd w:val="clear" w:color="auto" w:fill="F2F2F2" w:themeFill="background1" w:themeFillShade="F2"/>
            <w:noWrap/>
          </w:tcPr>
          <w:p w:rsidR="0009124B" w:rsidRPr="00154069" w:rsidRDefault="000912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Lin_et_al</w:t>
            </w:r>
            <w:proofErr w:type="spellEnd"/>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84</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P-XYLENE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maize starch</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p-xylene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8.5665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5.04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0.5304532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3.32</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44" w:type="dxa"/>
            <w:noWrap/>
          </w:tcPr>
          <w:p w:rsidR="0009124B" w:rsidRPr="00154069" w:rsidRDefault="0009124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66" w:history="1">
              <w:proofErr w:type="spellStart"/>
              <w:r w:rsidR="00EB3E17" w:rsidRPr="00154069">
                <w:rPr>
                  <w:rFonts w:ascii="Calibri" w:eastAsia="Times New Roman" w:hAnsi="Calibri" w:cs="Calibri"/>
                  <w:sz w:val="10"/>
                  <w:szCs w:val="16"/>
                  <w:u w:val="single"/>
                </w:rPr>
                <w:t>Lin_et_al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HEXAMETHYLENEDIAMINE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Potatoes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Hexamethylenediamine</w:t>
            </w:r>
            <w:proofErr w:type="spellEnd"/>
            <w:r w:rsidRPr="00154069">
              <w:rPr>
                <w:rFonts w:ascii="Calibri" w:eastAsia="Times New Roman" w:hAnsi="Calibri" w:cs="Calibri"/>
                <w:sz w:val="10"/>
                <w:szCs w:val="16"/>
              </w:rPr>
              <w:t xml:space="preserve"> (HMDA)</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-0.1082136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1.237874</w:t>
            </w: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0.04879</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67" w:anchor="!divAbstract" w:history="1">
              <w:proofErr w:type="spellStart"/>
              <w:r w:rsidR="00EB3E17" w:rsidRPr="00154069">
                <w:rPr>
                  <w:rFonts w:ascii="Calibri" w:eastAsia="Times New Roman" w:hAnsi="Calibri" w:cs="Calibri"/>
                  <w:sz w:val="10"/>
                  <w:szCs w:val="16"/>
                  <w:u w:val="single"/>
                </w:rPr>
                <w:t>Dros_et_al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HEXAMETHYLENEDIAMINE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Grain maize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Hexamethylenediamine</w:t>
            </w:r>
            <w:proofErr w:type="spellEnd"/>
            <w:r w:rsidRPr="00154069">
              <w:rPr>
                <w:rFonts w:ascii="Calibri" w:eastAsia="Times New Roman" w:hAnsi="Calibri" w:cs="Calibri"/>
                <w:sz w:val="10"/>
                <w:szCs w:val="16"/>
              </w:rPr>
              <w:t xml:space="preserve"> (HMDA)</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8.1</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0.0377403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1.420196</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0.139762</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68" w:anchor="!divAbstract" w:history="1">
              <w:proofErr w:type="spellStart"/>
              <w:r w:rsidR="00EB3E17" w:rsidRPr="00154069">
                <w:rPr>
                  <w:rFonts w:ascii="Calibri" w:eastAsia="Times New Roman" w:hAnsi="Calibri" w:cs="Calibri"/>
                  <w:sz w:val="10"/>
                  <w:szCs w:val="16"/>
                  <w:u w:val="single"/>
                </w:rPr>
                <w:t>Dros_et_al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HEXAMETHYLENEDIAMINE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Potatoes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Hexamethylenediamine</w:t>
            </w:r>
            <w:proofErr w:type="spellEnd"/>
            <w:r w:rsidRPr="00154069">
              <w:rPr>
                <w:rFonts w:ascii="Calibri" w:eastAsia="Times New Roman" w:hAnsi="Calibri" w:cs="Calibri"/>
                <w:sz w:val="10"/>
                <w:szCs w:val="16"/>
              </w:rPr>
              <w:t xml:space="preserve"> (HMDA)</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-0.2623643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1.132514</w:t>
            </w: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-0.097455</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69" w:anchor="!divAbstract" w:history="1">
              <w:proofErr w:type="spellStart"/>
              <w:r w:rsidR="00EB3E17" w:rsidRPr="00154069">
                <w:rPr>
                  <w:rFonts w:ascii="Calibri" w:eastAsia="Times New Roman" w:hAnsi="Calibri" w:cs="Calibri"/>
                  <w:sz w:val="10"/>
                  <w:szCs w:val="16"/>
                  <w:u w:val="single"/>
                </w:rPr>
                <w:t>Dros_et_al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HEXAMETHYLENEDIAMINE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Grain maize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Hexamethylenediamine</w:t>
            </w:r>
            <w:proofErr w:type="spellEnd"/>
            <w:r w:rsidRPr="00154069">
              <w:rPr>
                <w:rFonts w:ascii="Calibri" w:eastAsia="Times New Roman" w:hAnsi="Calibri" w:cs="Calibri"/>
                <w:sz w:val="10"/>
                <w:szCs w:val="16"/>
              </w:rPr>
              <w:t xml:space="preserve"> (HMDA)</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-0.1082136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1.237874</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70" w:anchor="!divAbstract" w:history="1">
              <w:proofErr w:type="spellStart"/>
              <w:r w:rsidR="00EB3E17" w:rsidRPr="00154069">
                <w:rPr>
                  <w:rFonts w:ascii="Calibri" w:eastAsia="Times New Roman" w:hAnsi="Calibri" w:cs="Calibri"/>
                  <w:sz w:val="10"/>
                  <w:szCs w:val="16"/>
                  <w:u w:val="single"/>
                </w:rPr>
                <w:t>Dros_et_al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HEXAMETHYLENEDIAMINE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Potatoes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Hexamethylenediamine</w:t>
            </w:r>
            <w:proofErr w:type="spellEnd"/>
            <w:r w:rsidRPr="00154069">
              <w:rPr>
                <w:rFonts w:ascii="Calibri" w:eastAsia="Times New Roman" w:hAnsi="Calibri" w:cs="Calibri"/>
                <w:sz w:val="10"/>
                <w:szCs w:val="16"/>
              </w:rPr>
              <w:t xml:space="preserve"> (HMDA)</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-0.1823216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1.175999</w:t>
            </w: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-0.028988</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71" w:anchor="!divAbstract" w:history="1">
              <w:proofErr w:type="spellStart"/>
              <w:r w:rsidR="00EB3E17" w:rsidRPr="00154069">
                <w:rPr>
                  <w:rFonts w:ascii="Calibri" w:eastAsia="Times New Roman" w:hAnsi="Calibri" w:cs="Calibri"/>
                  <w:sz w:val="10"/>
                  <w:szCs w:val="16"/>
                  <w:u w:val="single"/>
                </w:rPr>
                <w:t>Dros_et_al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HEXAMETHYLENEDIAMINE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Grain maize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Hexamethylenediamine</w:t>
            </w:r>
            <w:proofErr w:type="spellEnd"/>
            <w:r w:rsidRPr="00154069">
              <w:rPr>
                <w:rFonts w:ascii="Calibri" w:eastAsia="Times New Roman" w:hAnsi="Calibri" w:cs="Calibri"/>
                <w:sz w:val="10"/>
                <w:szCs w:val="16"/>
              </w:rPr>
              <w:t xml:space="preserve"> (HMDA)</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-0.0392207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1.333185</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0.062304</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72" w:anchor="!divAbstract" w:history="1">
              <w:proofErr w:type="spellStart"/>
              <w:r w:rsidR="00EB3E17" w:rsidRPr="00154069">
                <w:rPr>
                  <w:rFonts w:ascii="Calibri" w:eastAsia="Times New Roman" w:hAnsi="Calibri" w:cs="Calibri"/>
                  <w:sz w:val="10"/>
                  <w:szCs w:val="16"/>
                  <w:u w:val="single"/>
                </w:rPr>
                <w:t>Dros_et_al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HEXAMETHYLENEDIAMINE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Potatoes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Hexamethylenediamine</w:t>
            </w:r>
            <w:proofErr w:type="spellEnd"/>
            <w:r w:rsidRPr="00154069">
              <w:rPr>
                <w:rFonts w:ascii="Calibri" w:eastAsia="Times New Roman" w:hAnsi="Calibri" w:cs="Calibri"/>
                <w:sz w:val="10"/>
                <w:szCs w:val="16"/>
              </w:rPr>
              <w:t xml:space="preserve"> (HMDA)</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8.7</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0.071459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1.564986</w:t>
            </w: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0.035091</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73" w:anchor="!divAbstract" w:history="1">
              <w:proofErr w:type="spellStart"/>
              <w:r w:rsidR="00EB3E17" w:rsidRPr="00154069">
                <w:rPr>
                  <w:rFonts w:ascii="Calibri" w:eastAsia="Times New Roman" w:hAnsi="Calibri" w:cs="Calibri"/>
                  <w:sz w:val="10"/>
                  <w:szCs w:val="16"/>
                  <w:u w:val="single"/>
                </w:rPr>
                <w:t>Dros_et_al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HEXAMETHYLENEDIAMINE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Grain maize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Hexamethylenediamine</w:t>
            </w:r>
            <w:proofErr w:type="spellEnd"/>
            <w:r w:rsidRPr="00154069">
              <w:rPr>
                <w:rFonts w:ascii="Calibri" w:eastAsia="Times New Roman" w:hAnsi="Calibri" w:cs="Calibri"/>
                <w:sz w:val="10"/>
                <w:szCs w:val="16"/>
              </w:rPr>
              <w:t xml:space="preserve"> (HMDA)</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0.2006707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0.633428</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0.127262</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74" w:anchor="!divAbstract" w:history="1">
              <w:proofErr w:type="spellStart"/>
              <w:r w:rsidR="00EB3E17" w:rsidRPr="00154069">
                <w:rPr>
                  <w:rFonts w:ascii="Calibri" w:eastAsia="Times New Roman" w:hAnsi="Calibri" w:cs="Calibri"/>
                  <w:sz w:val="10"/>
                  <w:szCs w:val="16"/>
                  <w:u w:val="single"/>
                </w:rPr>
                <w:t>Dros_et_al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HEXAMETHYLENEDIAMINE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Potatoes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Hexamethylenediamine</w:t>
            </w:r>
            <w:proofErr w:type="spellEnd"/>
            <w:r w:rsidRPr="00154069">
              <w:rPr>
                <w:rFonts w:ascii="Calibri" w:eastAsia="Times New Roman" w:hAnsi="Calibri" w:cs="Calibri"/>
                <w:sz w:val="10"/>
                <w:szCs w:val="16"/>
              </w:rPr>
              <w:t xml:space="preserve"> (HMDA)</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-0.076961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1.435774</w:t>
            </w: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-0.113329</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75" w:anchor="!divAbstract" w:history="1">
              <w:proofErr w:type="spellStart"/>
              <w:r w:rsidR="00EB3E17" w:rsidRPr="00154069">
                <w:rPr>
                  <w:rFonts w:ascii="Calibri" w:eastAsia="Times New Roman" w:hAnsi="Calibri" w:cs="Calibri"/>
                  <w:sz w:val="10"/>
                  <w:szCs w:val="16"/>
                  <w:u w:val="single"/>
                </w:rPr>
                <w:t>Dros_et_al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HEXAMETHYLENEDIAMINE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Grain maize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Hexamethylenediamine</w:t>
            </w:r>
            <w:proofErr w:type="spellEnd"/>
            <w:r w:rsidRPr="00154069">
              <w:rPr>
                <w:rFonts w:ascii="Calibri" w:eastAsia="Times New Roman" w:hAnsi="Calibri" w:cs="Calibri"/>
                <w:sz w:val="10"/>
                <w:szCs w:val="16"/>
              </w:rPr>
              <w:t xml:space="preserve"> (HMDA)</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0.0598981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1.534214</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-0.014389</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76" w:anchor="!divAbstract" w:history="1">
              <w:proofErr w:type="spellStart"/>
              <w:r w:rsidR="00EB3E17" w:rsidRPr="00154069">
                <w:rPr>
                  <w:rFonts w:ascii="Calibri" w:eastAsia="Times New Roman" w:hAnsi="Calibri" w:cs="Calibri"/>
                  <w:sz w:val="10"/>
                  <w:szCs w:val="16"/>
                  <w:u w:val="single"/>
                </w:rPr>
                <w:t>Dros_et_al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HEXAMETHYLENEDIAMINE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Potatoes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Hexamethylenediamine</w:t>
            </w:r>
            <w:proofErr w:type="spellEnd"/>
            <w:r w:rsidRPr="00154069">
              <w:rPr>
                <w:rFonts w:ascii="Calibri" w:eastAsia="Times New Roman" w:hAnsi="Calibri" w:cs="Calibri"/>
                <w:sz w:val="10"/>
                <w:szCs w:val="16"/>
              </w:rPr>
              <w:t xml:space="preserve"> (HMDA)</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-0.0124225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1.435774</w:t>
            </w: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-0.051293</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77" w:anchor="!divAbstract" w:history="1">
              <w:proofErr w:type="spellStart"/>
              <w:r w:rsidR="00EB3E17" w:rsidRPr="00154069">
                <w:rPr>
                  <w:rFonts w:ascii="Calibri" w:eastAsia="Times New Roman" w:hAnsi="Calibri" w:cs="Calibri"/>
                  <w:sz w:val="10"/>
                  <w:szCs w:val="16"/>
                  <w:u w:val="single"/>
                </w:rPr>
                <w:t>Dros_et_al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HEXAMETHYLENEDIAMINE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Grain maize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Hexamethylenediamine</w:t>
            </w:r>
            <w:proofErr w:type="spellEnd"/>
            <w:r w:rsidRPr="00154069">
              <w:rPr>
                <w:rFonts w:ascii="Calibri" w:eastAsia="Times New Roman" w:hAnsi="Calibri" w:cs="Calibri"/>
                <w:sz w:val="10"/>
                <w:szCs w:val="16"/>
              </w:rPr>
              <w:t xml:space="preserve"> (HMDA)</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0.1053605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 to 3</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1.534214</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0.04879</w:t>
            </w:r>
          </w:p>
        </w:tc>
        <w:tc>
          <w:tcPr>
            <w:tcW w:w="68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Dros_et_al</w:t>
            </w:r>
            <w:proofErr w:type="spellEnd"/>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86</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6.064</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10.11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-0.5111554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5.78</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5.78</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0.149212</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0.689569</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78" w:history="1">
              <w:proofErr w:type="spellStart"/>
              <w:r w:rsidR="00EB3E17" w:rsidRPr="00154069">
                <w:rPr>
                  <w:rFonts w:ascii="Calibri" w:eastAsia="Times New Roman" w:hAnsi="Calibri" w:cs="Calibri"/>
                  <w:sz w:val="10"/>
                  <w:szCs w:val="16"/>
                  <w:u w:val="single"/>
                </w:rPr>
                <w:t>Liptow_et_al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86</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6.09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10.15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-0.5108256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5.82</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5.82</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0.175273</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0.721318</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79" w:history="1">
              <w:proofErr w:type="spellStart"/>
              <w:r w:rsidR="00EB3E17" w:rsidRPr="00154069">
                <w:rPr>
                  <w:rFonts w:ascii="Calibri" w:eastAsia="Times New Roman" w:hAnsi="Calibri" w:cs="Calibri"/>
                  <w:sz w:val="10"/>
                  <w:szCs w:val="16"/>
                  <w:u w:val="single"/>
                </w:rPr>
                <w:t>Liptow_et_al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86</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7.968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10.99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-0.3215522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6.66</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6.66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0.650088</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0.998529</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80" w:history="1">
              <w:proofErr w:type="spellStart"/>
              <w:r w:rsidR="00EB3E17" w:rsidRPr="00154069">
                <w:rPr>
                  <w:rFonts w:ascii="Calibri" w:eastAsia="Times New Roman" w:hAnsi="Calibri" w:cs="Calibri"/>
                  <w:sz w:val="10"/>
                  <w:szCs w:val="16"/>
                  <w:u w:val="single"/>
                </w:rPr>
                <w:t>Liptow_et_al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86</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16.72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19.45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-0.1512415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15.12</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15.12</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0.964898</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1.178655</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Liptow_et_al</w:t>
            </w:r>
            <w:proofErr w:type="spellEnd"/>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ACETONE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Wheat straw</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Acetone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5.88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4.5346212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0.2598152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2.2746212</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1.696449</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2.847312</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81" w:anchor="!divAbstract" w:history="1">
              <w:proofErr w:type="spellStart"/>
              <w:r w:rsidR="00EB3E17" w:rsidRPr="00154069">
                <w:rPr>
                  <w:rFonts w:ascii="Calibri" w:eastAsia="Times New Roman" w:hAnsi="Calibri" w:cs="Calibri"/>
                  <w:sz w:val="10"/>
                  <w:szCs w:val="16"/>
                  <w:u w:val="single"/>
                </w:rPr>
                <w:t>Khoo_et_al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ACETONE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Rice straw</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Acetone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4.64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4.5346212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0.0229728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2.2746212</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1.408767</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1.991646</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82" w:anchor="!divAbstract" w:history="1">
              <w:proofErr w:type="spellStart"/>
              <w:r w:rsidR="00EB3E17" w:rsidRPr="00154069">
                <w:rPr>
                  <w:rFonts w:ascii="Calibri" w:eastAsia="Times New Roman" w:hAnsi="Calibri" w:cs="Calibri"/>
                  <w:sz w:val="10"/>
                  <w:szCs w:val="16"/>
                  <w:u w:val="single"/>
                </w:rPr>
                <w:t>Khoo_et_al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FORMIC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Wheat straw</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Formic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3.4167988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-0.8434417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0.9567988</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0.310155</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0.541916</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83" w:anchor="!divAbstract" w:history="1">
              <w:proofErr w:type="spellStart"/>
              <w:r w:rsidR="00EB3E17" w:rsidRPr="00154069">
                <w:rPr>
                  <w:rFonts w:ascii="Calibri" w:eastAsia="Times New Roman" w:hAnsi="Calibri" w:cs="Calibri"/>
                  <w:sz w:val="10"/>
                  <w:szCs w:val="16"/>
                  <w:u w:val="single"/>
                </w:rPr>
                <w:t>Khoo_et_al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FORMIC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Formic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3.4167988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-1.0547508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0.9567988</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1.430746</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1.57735</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84" w:anchor="!divAbstract" w:history="1">
              <w:proofErr w:type="spellStart"/>
              <w:r w:rsidR="00EB3E17" w:rsidRPr="00154069">
                <w:rPr>
                  <w:rFonts w:ascii="Calibri" w:eastAsia="Times New Roman" w:hAnsi="Calibri" w:cs="Calibri"/>
                  <w:sz w:val="10"/>
                  <w:szCs w:val="16"/>
                  <w:u w:val="single"/>
                </w:rPr>
                <w:t>Khoo_et_al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METHANOL</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Rice straw</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Methanol</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4.72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1.8944278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0.912892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1.3744278</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3.829331</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3.247836</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85" w:anchor="!divAbstract" w:history="1">
              <w:proofErr w:type="spellStart"/>
              <w:r w:rsidR="00EB3E17" w:rsidRPr="00154069">
                <w:rPr>
                  <w:rFonts w:ascii="Calibri" w:eastAsia="Times New Roman" w:hAnsi="Calibri" w:cs="Calibri"/>
                  <w:sz w:val="10"/>
                  <w:szCs w:val="16"/>
                  <w:u w:val="single"/>
                </w:rPr>
                <w:t>Khoo_et_al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METHANOL</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bagasse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Methanol</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1.8944278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-0.9002816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1.3744278</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0.308884</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1.927461</w:t>
            </w:r>
          </w:p>
        </w:tc>
        <w:tc>
          <w:tcPr>
            <w:tcW w:w="644"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86" w:anchor="!divAbstract" w:history="1">
              <w:proofErr w:type="spellStart"/>
              <w:r w:rsidR="00EB3E17" w:rsidRPr="00154069">
                <w:rPr>
                  <w:rFonts w:ascii="Calibri" w:eastAsia="Times New Roman" w:hAnsi="Calibri" w:cs="Calibri"/>
                  <w:sz w:val="10"/>
                  <w:szCs w:val="16"/>
                  <w:u w:val="single"/>
                </w:rPr>
                <w:t>Khoo_et_al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88</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1,4-BUTANEDIOL</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Wheat straw</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1,4-butanediol</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3.55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6.35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-0.5815072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1.95</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1.95</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-0.182322</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4.248495</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87" w:history="1">
              <w:proofErr w:type="spellStart"/>
              <w:r w:rsidR="00EB3E17" w:rsidRPr="00154069">
                <w:rPr>
                  <w:rFonts w:ascii="Calibri" w:eastAsia="Times New Roman" w:hAnsi="Calibri" w:cs="Calibri"/>
                  <w:sz w:val="10"/>
                  <w:szCs w:val="16"/>
                  <w:u w:val="single"/>
                </w:rPr>
                <w:t>Forte_et_al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89</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BUTYLCATECHOL</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Candlenut shell</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tert-butylcatechol</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16.15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-0.1866653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2.65</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0.617161</w:t>
            </w:r>
          </w:p>
        </w:tc>
        <w:tc>
          <w:tcPr>
            <w:tcW w:w="718"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88" w:history="1">
              <w:proofErr w:type="spellStart"/>
              <w:r w:rsidR="00EB3E17" w:rsidRPr="00154069">
                <w:rPr>
                  <w:rFonts w:ascii="Calibri" w:eastAsia="Times New Roman" w:hAnsi="Calibri" w:cs="Calibri"/>
                  <w:sz w:val="10"/>
                  <w:szCs w:val="16"/>
                  <w:u w:val="single"/>
                </w:rPr>
                <w:t>Montazeri</w:t>
              </w:r>
              <w:proofErr w:type="spellEnd"/>
              <w:r w:rsidR="00EB3E17" w:rsidRPr="00154069">
                <w:rPr>
                  <w:rFonts w:ascii="Calibri" w:eastAsia="Times New Roman" w:hAnsi="Calibri" w:cs="Calibri"/>
                  <w:sz w:val="10"/>
                  <w:szCs w:val="16"/>
                  <w:u w:val="single"/>
                </w:rPr>
                <w:t>_&amp;_</w:t>
              </w:r>
              <w:proofErr w:type="spellStart"/>
              <w:r w:rsidR="00EB3E17" w:rsidRPr="00154069">
                <w:rPr>
                  <w:rFonts w:ascii="Calibri" w:eastAsia="Times New Roman" w:hAnsi="Calibri" w:cs="Calibri"/>
                  <w:sz w:val="10"/>
                  <w:szCs w:val="16"/>
                  <w:u w:val="single"/>
                </w:rPr>
                <w:t>Eckelman</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90</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 bagasse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0.4125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5.808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-2.6447554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-2.874963</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-3.089064</w:t>
            </w:r>
          </w:p>
        </w:tc>
        <w:tc>
          <w:tcPr>
            <w:tcW w:w="644"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89" w:history="1">
              <w:proofErr w:type="spellStart"/>
              <w:r w:rsidR="00EB3E17" w:rsidRPr="00154069">
                <w:rPr>
                  <w:rFonts w:ascii="Calibri" w:eastAsia="Times New Roman" w:hAnsi="Calibri" w:cs="Calibri"/>
                  <w:sz w:val="10"/>
                  <w:szCs w:val="16"/>
                  <w:u w:val="single"/>
                </w:rPr>
                <w:t>Daful_et_al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91</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Sorghum grains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0.87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4.8395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-1.7160735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90" w:history="1">
              <w:proofErr w:type="spellStart"/>
              <w:r w:rsidR="00EB3E17" w:rsidRPr="00154069">
                <w:rPr>
                  <w:rFonts w:ascii="Calibri" w:eastAsia="Times New Roman" w:hAnsi="Calibri" w:cs="Calibri"/>
                  <w:sz w:val="10"/>
                  <w:szCs w:val="16"/>
                  <w:u w:val="single"/>
                </w:rPr>
                <w:t>Moussa_et_al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91</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Dextrose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1.4964</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4.8395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-1.1737492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91" w:history="1">
              <w:proofErr w:type="spellStart"/>
              <w:r w:rsidR="00EB3E17" w:rsidRPr="00154069">
                <w:rPr>
                  <w:rFonts w:ascii="Calibri" w:eastAsia="Times New Roman" w:hAnsi="Calibri" w:cs="Calibri"/>
                  <w:sz w:val="10"/>
                  <w:szCs w:val="16"/>
                  <w:u w:val="single"/>
                </w:rPr>
                <w:t>Moussa_et_al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0.8835009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92" w:anchor="!divAbstract" w:history="1">
              <w:proofErr w:type="spellStart"/>
              <w:r w:rsidR="00EB3E17" w:rsidRPr="00154069">
                <w:rPr>
                  <w:rFonts w:ascii="Calibri" w:eastAsia="Times New Roman" w:hAnsi="Calibri" w:cs="Calibri"/>
                  <w:sz w:val="10"/>
                  <w:szCs w:val="16"/>
                  <w:u w:val="single"/>
                </w:rPr>
                <w:t>Morales_et_al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29.6</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1.7863686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93" w:anchor="!divAbstract" w:history="1">
              <w:proofErr w:type="spellStart"/>
              <w:r w:rsidR="00EB3E17" w:rsidRPr="00154069">
                <w:rPr>
                  <w:rFonts w:ascii="Calibri" w:eastAsia="Times New Roman" w:hAnsi="Calibri" w:cs="Calibri"/>
                  <w:sz w:val="10"/>
                  <w:szCs w:val="16"/>
                  <w:u w:val="single"/>
                </w:rPr>
                <w:t>Morales_et_al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1.0658225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94" w:anchor="!divAbstract" w:history="1">
              <w:proofErr w:type="spellStart"/>
              <w:r w:rsidR="00EB3E17" w:rsidRPr="00154069">
                <w:rPr>
                  <w:rFonts w:ascii="Calibri" w:eastAsia="Times New Roman" w:hAnsi="Calibri" w:cs="Calibri"/>
                  <w:sz w:val="10"/>
                  <w:szCs w:val="16"/>
                  <w:u w:val="single"/>
                </w:rPr>
                <w:t>Morales_et_al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10.18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0.7190193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95" w:anchor="!divAbstract" w:history="1">
              <w:proofErr w:type="spellStart"/>
              <w:r w:rsidR="00EB3E17" w:rsidRPr="00154069">
                <w:rPr>
                  <w:rFonts w:ascii="Calibri" w:eastAsia="Times New Roman" w:hAnsi="Calibri" w:cs="Calibri"/>
                  <w:sz w:val="10"/>
                  <w:szCs w:val="16"/>
                  <w:u w:val="single"/>
                </w:rPr>
                <w:t>Morales_et_al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Forest residues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0.7499695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96" w:anchor="!divAbstract" w:history="1">
              <w:proofErr w:type="spellStart"/>
              <w:r w:rsidR="00EB3E17" w:rsidRPr="00154069">
                <w:rPr>
                  <w:rFonts w:ascii="Calibri" w:eastAsia="Times New Roman" w:hAnsi="Calibri" w:cs="Calibri"/>
                  <w:sz w:val="10"/>
                  <w:szCs w:val="16"/>
                  <w:u w:val="single"/>
                </w:rPr>
                <w:t>Morales_et_al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Sugarbeet</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succinic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0.7011794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Morales_et_al</w:t>
            </w:r>
            <w:proofErr w:type="spellEnd"/>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1,3-BUTADIENE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 wheat, rye sugar</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1,3 </w:t>
            </w:r>
            <w:proofErr w:type="spellStart"/>
            <w:r w:rsidRPr="00154069">
              <w:rPr>
                <w:rFonts w:ascii="Calibri" w:eastAsia="Times New Roman" w:hAnsi="Calibri" w:cs="Calibri"/>
                <w:sz w:val="10"/>
                <w:szCs w:val="16"/>
              </w:rPr>
              <w:t>butadine</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5.37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-0.9777304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3.26</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97" w:anchor="!divAbstract" w:history="1">
              <w:proofErr w:type="spellStart"/>
              <w:r w:rsidR="00EB3E17" w:rsidRPr="00154069">
                <w:rPr>
                  <w:rFonts w:ascii="Calibri" w:eastAsia="Times New Roman" w:hAnsi="Calibri" w:cs="Calibri"/>
                  <w:sz w:val="10"/>
                  <w:szCs w:val="16"/>
                  <w:u w:val="single"/>
                </w:rPr>
                <w:t>Cespi_et_al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1,3-BUTADIENE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Surgarcane</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1,3 </w:t>
            </w:r>
            <w:proofErr w:type="spellStart"/>
            <w:r w:rsidRPr="00154069">
              <w:rPr>
                <w:rFonts w:ascii="Calibri" w:eastAsia="Times New Roman" w:hAnsi="Calibri" w:cs="Calibri"/>
                <w:sz w:val="10"/>
                <w:szCs w:val="16"/>
              </w:rPr>
              <w:t>butadine</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5.37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-1.6610253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98" w:anchor="!divAbstract" w:history="1">
              <w:proofErr w:type="spellStart"/>
              <w:r w:rsidR="00EB3E17" w:rsidRPr="00154069">
                <w:rPr>
                  <w:rFonts w:ascii="Calibri" w:eastAsia="Times New Roman" w:hAnsi="Calibri" w:cs="Calibri"/>
                  <w:sz w:val="10"/>
                  <w:szCs w:val="16"/>
                  <w:u w:val="single"/>
                </w:rPr>
                <w:t>Cespi_et_al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1,3-BUTADIENE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1,3 </w:t>
            </w:r>
            <w:proofErr w:type="spellStart"/>
            <w:r w:rsidRPr="00154069">
              <w:rPr>
                <w:rFonts w:ascii="Calibri" w:eastAsia="Times New Roman" w:hAnsi="Calibri" w:cs="Calibri"/>
                <w:sz w:val="10"/>
                <w:szCs w:val="16"/>
              </w:rPr>
              <w:t>butadine</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5.37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-0.8522761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3.26</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199" w:anchor="!divAbstract" w:history="1">
              <w:proofErr w:type="spellStart"/>
              <w:r w:rsidR="00EB3E17" w:rsidRPr="00154069">
                <w:rPr>
                  <w:rFonts w:ascii="Calibri" w:eastAsia="Times New Roman" w:hAnsi="Calibri" w:cs="Calibri"/>
                  <w:sz w:val="10"/>
                  <w:szCs w:val="16"/>
                  <w:u w:val="single"/>
                </w:rPr>
                <w:t>Cespi_et_al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1,3-BUTADIENE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 wheat, rye sugar</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1,3 </w:t>
            </w:r>
            <w:proofErr w:type="spellStart"/>
            <w:r w:rsidRPr="00154069">
              <w:rPr>
                <w:rFonts w:ascii="Calibri" w:eastAsia="Times New Roman" w:hAnsi="Calibri" w:cs="Calibri"/>
                <w:sz w:val="10"/>
                <w:szCs w:val="16"/>
              </w:rPr>
              <w:t>butadine</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5.37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-0.3971201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00" w:anchor="!divAbstract" w:history="1">
              <w:proofErr w:type="spellStart"/>
              <w:r w:rsidR="00EB3E17" w:rsidRPr="00154069">
                <w:rPr>
                  <w:rFonts w:ascii="Calibri" w:eastAsia="Times New Roman" w:hAnsi="Calibri" w:cs="Calibri"/>
                  <w:sz w:val="10"/>
                  <w:szCs w:val="16"/>
                  <w:u w:val="single"/>
                </w:rPr>
                <w:t>Cespi_et_al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93</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1,3-BUTADIENE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1,3 </w:t>
            </w:r>
            <w:proofErr w:type="spellStart"/>
            <w:r w:rsidRPr="00154069">
              <w:rPr>
                <w:rFonts w:ascii="Calibri" w:eastAsia="Times New Roman" w:hAnsi="Calibri" w:cs="Calibri"/>
                <w:sz w:val="10"/>
                <w:szCs w:val="16"/>
              </w:rPr>
              <w:t>butadine</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2.18</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5.37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-0.901503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3.26</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01" w:anchor="!divAbstract" w:history="1">
              <w:proofErr w:type="spellStart"/>
              <w:r w:rsidR="00EB3E17" w:rsidRPr="00154069">
                <w:rPr>
                  <w:rFonts w:ascii="Calibri" w:eastAsia="Times New Roman" w:hAnsi="Calibri" w:cs="Calibri"/>
                  <w:sz w:val="10"/>
                  <w:szCs w:val="16"/>
                  <w:u w:val="single"/>
                </w:rPr>
                <w:t>Cespi_et_al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93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1,3-BUTADIENE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1,3 </w:t>
            </w:r>
            <w:proofErr w:type="spellStart"/>
            <w:r w:rsidRPr="00154069">
              <w:rPr>
                <w:rFonts w:ascii="Calibri" w:eastAsia="Times New Roman" w:hAnsi="Calibri" w:cs="Calibri"/>
                <w:sz w:val="10"/>
                <w:szCs w:val="16"/>
              </w:rPr>
              <w:t>butadine</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5.37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-0.2945335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3.26</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02" w:anchor="!divAbstract" w:history="1">
              <w:proofErr w:type="spellStart"/>
              <w:r w:rsidR="00EB3E17" w:rsidRPr="00154069">
                <w:rPr>
                  <w:rFonts w:ascii="Calibri" w:eastAsia="Times New Roman" w:hAnsi="Calibri" w:cs="Calibri"/>
                  <w:sz w:val="10"/>
                  <w:szCs w:val="16"/>
                  <w:u w:val="single"/>
                </w:rPr>
                <w:t>Cespi_et_al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94</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palm oil</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-1.1108182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03" w:history="1">
              <w:proofErr w:type="spellStart"/>
              <w:r w:rsidR="00EB3E17" w:rsidRPr="00154069">
                <w:rPr>
                  <w:rFonts w:ascii="Calibri" w:eastAsia="Times New Roman" w:hAnsi="Calibri" w:cs="Calibri"/>
                  <w:sz w:val="10"/>
                  <w:szCs w:val="16"/>
                  <w:u w:val="single"/>
                </w:rPr>
                <w:t>Gargalo_et_al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PROPIONIC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palm oil</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propionic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2.84</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-0.2591087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1.78</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04" w:history="1">
              <w:proofErr w:type="spellStart"/>
              <w:r w:rsidR="00EB3E17" w:rsidRPr="00154069">
                <w:rPr>
                  <w:rFonts w:ascii="Calibri" w:eastAsia="Times New Roman" w:hAnsi="Calibri" w:cs="Calibri"/>
                  <w:sz w:val="10"/>
                  <w:szCs w:val="16"/>
                  <w:u w:val="single"/>
                </w:rPr>
                <w:t>Gargalo_et_al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94</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1,3-PROPANEDIOL</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palm oil</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1,3 </w:t>
            </w:r>
            <w:proofErr w:type="spellStart"/>
            <w:r w:rsidRPr="00154069">
              <w:rPr>
                <w:rFonts w:ascii="Calibri" w:eastAsia="Times New Roman" w:hAnsi="Calibri" w:cs="Calibri"/>
                <w:sz w:val="10"/>
                <w:szCs w:val="16"/>
              </w:rPr>
              <w:t>propanediol</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3.3</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-0.6778797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1.74</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05" w:history="1">
              <w:proofErr w:type="spellStart"/>
              <w:r w:rsidR="00EB3E17" w:rsidRPr="00154069">
                <w:rPr>
                  <w:rFonts w:ascii="Calibri" w:eastAsia="Times New Roman" w:hAnsi="Calibri" w:cs="Calibri"/>
                  <w:sz w:val="10"/>
                  <w:szCs w:val="16"/>
                  <w:u w:val="single"/>
                </w:rPr>
                <w:t>Gargalo_et_al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1,3-DIHYDROXYACETONE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biodiesel</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7.01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0.1946656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06" w:anchor="!divAbstract" w:history="1">
              <w:proofErr w:type="spellStart"/>
              <w:r w:rsidR="00EB3E17" w:rsidRPr="00154069">
                <w:rPr>
                  <w:rFonts w:ascii="Calibri" w:eastAsia="Times New Roman" w:hAnsi="Calibri" w:cs="Calibri"/>
                  <w:sz w:val="10"/>
                  <w:szCs w:val="16"/>
                  <w:u w:val="single"/>
                </w:rPr>
                <w:t>Morales_et_al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1,3-DIHYDROXYACETONE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biodiesel</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4.91</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-0.1613981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07" w:anchor="!divAbstract" w:history="1">
              <w:proofErr w:type="spellStart"/>
              <w:r w:rsidR="00EB3E17" w:rsidRPr="00154069">
                <w:rPr>
                  <w:rFonts w:ascii="Calibri" w:eastAsia="Times New Roman" w:hAnsi="Calibri" w:cs="Calibri"/>
                  <w:sz w:val="10"/>
                  <w:szCs w:val="16"/>
                  <w:u w:val="single"/>
                </w:rPr>
                <w:t>Morales_et_al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1,3-DIHYDROXYACETONE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biodiesel</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3.86</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-0.4020049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08" w:anchor="!divAbstract" w:history="1">
              <w:proofErr w:type="spellStart"/>
              <w:r w:rsidR="00EB3E17" w:rsidRPr="00154069">
                <w:rPr>
                  <w:rFonts w:ascii="Calibri" w:eastAsia="Times New Roman" w:hAnsi="Calibri" w:cs="Calibri"/>
                  <w:sz w:val="10"/>
                  <w:szCs w:val="16"/>
                  <w:u w:val="single"/>
                </w:rPr>
                <w:t>Morales_et_al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biodiesel</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7.32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0.2379382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09" w:anchor="!divAbstract" w:history="1">
              <w:proofErr w:type="spellStart"/>
              <w:r w:rsidR="00EB3E17" w:rsidRPr="00154069">
                <w:rPr>
                  <w:rFonts w:ascii="Calibri" w:eastAsia="Times New Roman" w:hAnsi="Calibri" w:cs="Calibri"/>
                  <w:sz w:val="10"/>
                  <w:szCs w:val="16"/>
                  <w:u w:val="single"/>
                </w:rPr>
                <w:t>Morales_et_al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biodiesel</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6.91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0.1802976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10" w:anchor="!divAbstract" w:history="1">
              <w:proofErr w:type="spellStart"/>
              <w:r w:rsidR="00EB3E17" w:rsidRPr="00154069">
                <w:rPr>
                  <w:rFonts w:ascii="Calibri" w:eastAsia="Times New Roman" w:hAnsi="Calibri" w:cs="Calibri"/>
                  <w:sz w:val="10"/>
                  <w:szCs w:val="16"/>
                  <w:u w:val="single"/>
                </w:rPr>
                <w:t>Morales_et_al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biodiesel</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6.29</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0.086289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11" w:anchor="!divAbstract" w:history="1">
              <w:proofErr w:type="spellStart"/>
              <w:r w:rsidR="00EB3E17" w:rsidRPr="00154069">
                <w:rPr>
                  <w:rFonts w:ascii="Calibri" w:eastAsia="Times New Roman" w:hAnsi="Calibri" w:cs="Calibri"/>
                  <w:sz w:val="10"/>
                  <w:szCs w:val="16"/>
                  <w:u w:val="single"/>
                </w:rPr>
                <w:t>Morales_et_al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glycerol from biodiesel</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Lactic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5.79</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5.77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0.0034602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12" w:anchor="!divAbstract" w:history="1">
              <w:proofErr w:type="spellStart"/>
              <w:r w:rsidR="00EB3E17" w:rsidRPr="00154069">
                <w:rPr>
                  <w:rFonts w:ascii="Calibri" w:eastAsia="Times New Roman" w:hAnsi="Calibri" w:cs="Calibri"/>
                  <w:sz w:val="10"/>
                  <w:szCs w:val="16"/>
                  <w:u w:val="single"/>
                </w:rPr>
                <w:t>Morales_et_al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96</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PHA</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Agricultural &amp; Forestry residues</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-1.0278321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1.51</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13" w:history="1">
              <w:proofErr w:type="spellStart"/>
              <w:r w:rsidR="00EB3E17" w:rsidRPr="00154069">
                <w:rPr>
                  <w:rFonts w:ascii="Calibri" w:eastAsia="Times New Roman" w:hAnsi="Calibri" w:cs="Calibri"/>
                  <w:sz w:val="10"/>
                  <w:szCs w:val="16"/>
                  <w:u w:val="single"/>
                </w:rPr>
                <w:t>Yu_and_Chen</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4.19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-0.9564666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14" w:history="1">
              <w:proofErr w:type="spellStart"/>
              <w:r w:rsidR="00EB3E17" w:rsidRPr="00154069">
                <w:rPr>
                  <w:rFonts w:ascii="Calibri" w:eastAsia="Times New Roman" w:hAnsi="Calibri" w:cs="Calibri"/>
                  <w:sz w:val="10"/>
                  <w:szCs w:val="16"/>
                  <w:u w:val="single"/>
                </w:rPr>
                <w:t>Kim_and_Dale</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98</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PHA</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Cellulosic fraction of organic residuals from material recovery facilities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4.49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0.0457098</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15" w:history="1">
              <w:proofErr w:type="spellStart"/>
              <w:r w:rsidR="00EB3E17" w:rsidRPr="00154069">
                <w:rPr>
                  <w:rFonts w:ascii="Calibri" w:eastAsia="Times New Roman" w:hAnsi="Calibri" w:cs="Calibri"/>
                  <w:sz w:val="10"/>
                  <w:szCs w:val="16"/>
                  <w:u w:val="single"/>
                </w:rPr>
                <w:t>Kendall_et_al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99</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4.44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-0.6577453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16" w:anchor="!divAbstract" w:history="1">
              <w:proofErr w:type="spellStart"/>
              <w:r w:rsidR="00EB3E17" w:rsidRPr="00154069">
                <w:rPr>
                  <w:rFonts w:ascii="Calibri" w:eastAsia="Times New Roman" w:hAnsi="Calibri" w:cs="Calibri"/>
                  <w:sz w:val="10"/>
                  <w:szCs w:val="16"/>
                  <w:u w:val="single"/>
                </w:rPr>
                <w:t>Eerhart_et_al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POLYITACONIC ACID</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Woody biomass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Polyacrylic</w:t>
            </w:r>
            <w:proofErr w:type="spellEnd"/>
            <w:r w:rsidRPr="00154069">
              <w:rPr>
                <w:rFonts w:ascii="Calibri" w:eastAsia="Times New Roman" w:hAnsi="Calibri" w:cs="Calibri"/>
                <w:sz w:val="10"/>
                <w:szCs w:val="16"/>
              </w:rPr>
              <w:t xml:space="preserve"> acid</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4.19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-1.155069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1.45</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17" w:history="1">
              <w:proofErr w:type="spellStart"/>
              <w:r w:rsidR="00EB3E17" w:rsidRPr="00154069">
                <w:rPr>
                  <w:rFonts w:ascii="Calibri" w:eastAsia="Times New Roman" w:hAnsi="Calibri" w:cs="Calibri"/>
                  <w:sz w:val="10"/>
                  <w:szCs w:val="16"/>
                  <w:u w:val="single"/>
                </w:rPr>
                <w:t>Nuss_and_Gardner</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100</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POLYITACONIC ACID</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Polyacrylic</w:t>
            </w:r>
            <w:proofErr w:type="spellEnd"/>
            <w:r w:rsidRPr="00154069">
              <w:rPr>
                <w:rFonts w:ascii="Calibri" w:eastAsia="Times New Roman" w:hAnsi="Calibri" w:cs="Calibri"/>
                <w:sz w:val="10"/>
                <w:szCs w:val="16"/>
              </w:rPr>
              <w:t xml:space="preserve"> acid</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2.19</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4.19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-0.6487992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1.45</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18" w:history="1">
              <w:proofErr w:type="spellStart"/>
              <w:r w:rsidR="00EB3E17" w:rsidRPr="00154069">
                <w:rPr>
                  <w:rFonts w:ascii="Calibri" w:eastAsia="Times New Roman" w:hAnsi="Calibri" w:cs="Calibri"/>
                  <w:sz w:val="10"/>
                  <w:szCs w:val="16"/>
                  <w:u w:val="single"/>
                </w:rPr>
                <w:t>Nuss_and_Gardner</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101</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Wheat </w:t>
            </w:r>
            <w:proofErr w:type="spellStart"/>
            <w:r w:rsidRPr="00154069">
              <w:rPr>
                <w:rFonts w:ascii="Calibri" w:eastAsia="Times New Roman" w:hAnsi="Calibri" w:cs="Calibri"/>
                <w:sz w:val="10"/>
                <w:szCs w:val="16"/>
              </w:rPr>
              <w:t>stover</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7.1</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0.2391155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1.128179</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0.908259</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-0.105361</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19" w:history="1">
              <w:proofErr w:type="spellStart"/>
              <w:r w:rsidR="00EB3E17" w:rsidRPr="00154069">
                <w:rPr>
                  <w:rFonts w:ascii="Calibri" w:eastAsia="Times New Roman" w:hAnsi="Calibri" w:cs="Calibri"/>
                  <w:sz w:val="10"/>
                  <w:szCs w:val="16"/>
                  <w:u w:val="single"/>
                </w:rPr>
                <w:t>Akanuma_et_al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101</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6.81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0.1974128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1.203973</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1.660891</w:t>
            </w: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-0.303186</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20" w:history="1">
              <w:proofErr w:type="spellStart"/>
              <w:r w:rsidR="00EB3E17" w:rsidRPr="00154069">
                <w:rPr>
                  <w:rFonts w:ascii="Calibri" w:eastAsia="Times New Roman" w:hAnsi="Calibri" w:cs="Calibri"/>
                  <w:sz w:val="10"/>
                  <w:szCs w:val="16"/>
                  <w:u w:val="single"/>
                </w:rPr>
                <w:t>Akanuma_et_al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101</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Poplar</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4.31</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-0.2600414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0.509365</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0.416603</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-0.643834</w:t>
            </w:r>
          </w:p>
        </w:tc>
        <w:tc>
          <w:tcPr>
            <w:tcW w:w="68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Akanuma_et_al</w:t>
            </w:r>
            <w:proofErr w:type="spellEnd"/>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PLA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Cassava</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5.2276876</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6.4551376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-0.2109073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0.210743</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1.89637</w:t>
            </w: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-0.97689</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21" w:history="1">
              <w:proofErr w:type="spellStart"/>
              <w:r w:rsidR="00EB3E17" w:rsidRPr="00154069">
                <w:rPr>
                  <w:rFonts w:ascii="Calibri" w:eastAsia="Times New Roman" w:hAnsi="Calibri" w:cs="Calibri"/>
                  <w:sz w:val="10"/>
                  <w:szCs w:val="16"/>
                  <w:u w:val="single"/>
                </w:rPr>
                <w:t>Papong_et_al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102</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PLA</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Cassava</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4.274428</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6.4551376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-0.412226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1.47</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0.125446</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1.017121</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-1.105012</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22" w:history="1">
              <w:proofErr w:type="spellStart"/>
              <w:r w:rsidR="00EB3E17" w:rsidRPr="00154069">
                <w:rPr>
                  <w:rFonts w:ascii="Calibri" w:eastAsia="Times New Roman" w:hAnsi="Calibri" w:cs="Calibri"/>
                  <w:sz w:val="10"/>
                  <w:szCs w:val="16"/>
                  <w:u w:val="single"/>
                </w:rPr>
                <w:t>Papong_et_al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103</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PHB</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TC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Poplar</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PP</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4.73316</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-0.0548449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23" w:history="1">
              <w:proofErr w:type="spellStart"/>
              <w:r w:rsidR="00EB3E17" w:rsidRPr="00154069">
                <w:rPr>
                  <w:rFonts w:ascii="Calibri" w:eastAsia="Times New Roman" w:hAnsi="Calibri" w:cs="Calibri"/>
                  <w:sz w:val="10"/>
                  <w:szCs w:val="16"/>
                  <w:u w:val="single"/>
                </w:rPr>
                <w:t>Hohenschuh_et_al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104</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PHA</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Wastewater</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Municipal waste</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8.42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0.4096305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24" w:history="1">
              <w:proofErr w:type="spellStart"/>
              <w:r w:rsidR="00EB3E17" w:rsidRPr="00154069">
                <w:rPr>
                  <w:rFonts w:ascii="Calibri" w:eastAsia="Times New Roman" w:hAnsi="Calibri" w:cs="Calibri"/>
                  <w:sz w:val="10"/>
                  <w:szCs w:val="16"/>
                  <w:u w:val="single"/>
                </w:rPr>
                <w:t>Heimersson_et_al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104</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5.35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-0.0438827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25" w:history="1">
              <w:proofErr w:type="spellStart"/>
              <w:r w:rsidR="00EB3E17" w:rsidRPr="00154069">
                <w:rPr>
                  <w:rFonts w:ascii="Calibri" w:eastAsia="Times New Roman" w:hAnsi="Calibri" w:cs="Calibri"/>
                  <w:sz w:val="10"/>
                  <w:szCs w:val="16"/>
                  <w:u w:val="single"/>
                </w:rPr>
                <w:t>Heimersson_et_al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105</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POLYOLS</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Palm fruit branches</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polyol</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1.308</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4.95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-1.3308883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1.45</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26" w:history="1">
              <w:proofErr w:type="spellStart"/>
              <w:r w:rsidR="00EB3E17" w:rsidRPr="00154069">
                <w:rPr>
                  <w:rFonts w:ascii="Calibri" w:eastAsia="Times New Roman" w:hAnsi="Calibri" w:cs="Calibri"/>
                  <w:sz w:val="10"/>
                  <w:szCs w:val="16"/>
                  <w:u w:val="single"/>
                </w:rPr>
                <w:t>Zolkarinain_et_al</w:t>
              </w:r>
              <w:proofErr w:type="spellEnd"/>
            </w:hyperlink>
          </w:p>
        </w:tc>
      </w:tr>
      <w:tr w:rsidR="004F5BDD" w:rsidRPr="00154069" w:rsidTr="00154069">
        <w:trPr>
          <w:trHeight w:val="29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106</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PHLA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Sweet sorghum</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PBT</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8.6</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0.1638879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2.4</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2.4</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27" w:history="1">
              <w:proofErr w:type="spellStart"/>
              <w:r w:rsidR="00EB3E17" w:rsidRPr="00154069">
                <w:rPr>
                  <w:rFonts w:ascii="Calibri" w:eastAsia="Times New Roman" w:hAnsi="Calibri" w:cs="Calibri"/>
                  <w:sz w:val="10"/>
                  <w:szCs w:val="16"/>
                  <w:u w:val="single"/>
                </w:rPr>
                <w:t>Sun_et_al</w:t>
              </w:r>
              <w:proofErr w:type="spellEnd"/>
            </w:hyperlink>
          </w:p>
        </w:tc>
      </w:tr>
      <w:tr w:rsidR="0009124B" w:rsidRPr="00154069" w:rsidTr="00154069">
        <w:trPr>
          <w:trHeight w:val="29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PBS</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Maze starch</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8.64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4.79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0.5898722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2.05</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28" w:history="1">
              <w:proofErr w:type="spellStart"/>
              <w:r w:rsidR="00EB3E17" w:rsidRPr="00154069">
                <w:rPr>
                  <w:rFonts w:ascii="Calibri" w:eastAsia="Times New Roman" w:hAnsi="Calibri" w:cs="Calibri"/>
                  <w:sz w:val="10"/>
                  <w:szCs w:val="16"/>
                  <w:u w:val="single"/>
                </w:rPr>
                <w:t>Tecchio_et_al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107</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PBS</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Sugarcane</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7.63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4.79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0.4655574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2.05</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29" w:history="1">
              <w:proofErr w:type="spellStart"/>
              <w:r w:rsidR="00EB3E17" w:rsidRPr="00154069">
                <w:rPr>
                  <w:rFonts w:ascii="Calibri" w:eastAsia="Times New Roman" w:hAnsi="Calibri" w:cs="Calibri"/>
                  <w:sz w:val="10"/>
                  <w:szCs w:val="16"/>
                  <w:u w:val="single"/>
                </w:rPr>
                <w:t>Tecchio_et_al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107</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PBS</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Lignocellulosics</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7.94</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4.79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0.5053829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2.05</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30" w:history="1">
              <w:proofErr w:type="spellStart"/>
              <w:r w:rsidR="00EB3E17" w:rsidRPr="00154069">
                <w:rPr>
                  <w:rFonts w:ascii="Calibri" w:eastAsia="Times New Roman" w:hAnsi="Calibri" w:cs="Calibri"/>
                  <w:sz w:val="10"/>
                  <w:szCs w:val="16"/>
                  <w:u w:val="single"/>
                </w:rPr>
                <w:t>Tecchio_et_al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108</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SODIUM POLYACRYLATE (NA-PA)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pulp</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Sodium </w:t>
            </w:r>
            <w:proofErr w:type="spellStart"/>
            <w:r w:rsidRPr="00154069">
              <w:rPr>
                <w:rFonts w:ascii="Calibri" w:eastAsia="Times New Roman" w:hAnsi="Calibri" w:cs="Calibri"/>
                <w:sz w:val="10"/>
                <w:szCs w:val="16"/>
              </w:rPr>
              <w:t>polyacrylate</w:t>
            </w:r>
            <w:proofErr w:type="spellEnd"/>
            <w:r w:rsidRPr="00154069">
              <w:rPr>
                <w:rFonts w:ascii="Calibri" w:eastAsia="Times New Roman" w:hAnsi="Calibri" w:cs="Calibri"/>
                <w:sz w:val="10"/>
                <w:szCs w:val="16"/>
              </w:rPr>
              <w:t xml:space="preserve"> (Na-PA)</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-0.5108256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0.995428</w:t>
            </w:r>
          </w:p>
        </w:tc>
        <w:tc>
          <w:tcPr>
            <w:tcW w:w="71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0.52501</w:t>
            </w:r>
          </w:p>
        </w:tc>
        <w:tc>
          <w:tcPr>
            <w:tcW w:w="644"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-0.220062</w:t>
            </w: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31" w:history="1">
              <w:proofErr w:type="spellStart"/>
              <w:r w:rsidR="00EB3E17" w:rsidRPr="00154069">
                <w:rPr>
                  <w:rFonts w:ascii="Calibri" w:eastAsia="Times New Roman" w:hAnsi="Calibri" w:cs="Calibri"/>
                  <w:sz w:val="10"/>
                  <w:szCs w:val="16"/>
                  <w:u w:val="single"/>
                </w:rPr>
                <w:t>Gontia_and_Janssen</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108</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SODIUM POLYACRYLATE (NA-PA)</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 pulp</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Industrial Side Stream</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Sodium </w:t>
            </w:r>
            <w:proofErr w:type="spellStart"/>
            <w:r w:rsidRPr="00154069">
              <w:rPr>
                <w:rFonts w:ascii="Calibri" w:eastAsia="Times New Roman" w:hAnsi="Calibri" w:cs="Calibri"/>
                <w:sz w:val="10"/>
                <w:szCs w:val="16"/>
              </w:rPr>
              <w:t>polyacrylate</w:t>
            </w:r>
            <w:proofErr w:type="spellEnd"/>
            <w:r w:rsidRPr="00154069">
              <w:rPr>
                <w:rFonts w:ascii="Calibri" w:eastAsia="Times New Roman" w:hAnsi="Calibri" w:cs="Calibri"/>
                <w:sz w:val="10"/>
                <w:szCs w:val="16"/>
              </w:rPr>
              <w:t xml:space="preserve"> (Na-PA)</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-0.4914075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1.4</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0.567984</w:t>
            </w:r>
          </w:p>
        </w:tc>
        <w:tc>
          <w:tcPr>
            <w:tcW w:w="71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0.389465</w:t>
            </w:r>
          </w:p>
        </w:tc>
        <w:tc>
          <w:tcPr>
            <w:tcW w:w="644"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-0.405465</w:t>
            </w: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32" w:history="1">
              <w:proofErr w:type="spellStart"/>
              <w:r w:rsidR="00EB3E17" w:rsidRPr="00154069">
                <w:rPr>
                  <w:rFonts w:ascii="Calibri" w:eastAsia="Times New Roman" w:hAnsi="Calibri" w:cs="Calibri"/>
                  <w:sz w:val="10"/>
                  <w:szCs w:val="16"/>
                  <w:u w:val="single"/>
                </w:rPr>
                <w:t>Gontia_and_Janssen</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109</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Woody biomass and 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PET </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7.19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-0.100889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0.927987</w:t>
            </w:r>
          </w:p>
        </w:tc>
        <w:tc>
          <w:tcPr>
            <w:tcW w:w="718"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33" w:history="1">
              <w:proofErr w:type="spellStart"/>
              <w:r w:rsidR="00EB3E17" w:rsidRPr="00154069">
                <w:rPr>
                  <w:rFonts w:ascii="Calibri" w:eastAsia="Times New Roman" w:hAnsi="Calibri" w:cs="Calibri"/>
                  <w:sz w:val="10"/>
                  <w:szCs w:val="16"/>
                  <w:u w:val="single"/>
                </w:rPr>
                <w:t>Chen_et_al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109</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Woody biomass and </w:t>
            </w:r>
            <w:proofErr w:type="spellStart"/>
            <w:r w:rsidRPr="00154069">
              <w:rPr>
                <w:rFonts w:ascii="Calibri" w:eastAsia="Times New Roman" w:hAnsi="Calibri" w:cs="Calibri"/>
                <w:sz w:val="10"/>
                <w:szCs w:val="16"/>
              </w:rPr>
              <w:t>switchgrass</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PET </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7.19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0.0554571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1.137079</w:t>
            </w:r>
          </w:p>
        </w:tc>
        <w:tc>
          <w:tcPr>
            <w:tcW w:w="718"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34" w:history="1">
              <w:proofErr w:type="spellStart"/>
              <w:r w:rsidR="00EB3E17" w:rsidRPr="00154069">
                <w:rPr>
                  <w:rFonts w:ascii="Calibri" w:eastAsia="Times New Roman" w:hAnsi="Calibri" w:cs="Calibri"/>
                  <w:sz w:val="10"/>
                  <w:szCs w:val="16"/>
                  <w:u w:val="single"/>
                </w:rPr>
                <w:t>Chen_et_al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109</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Woody biomass and wheat straw</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PET </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6.7</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7.19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-0.0705836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1.371479</w:t>
            </w:r>
          </w:p>
        </w:tc>
        <w:tc>
          <w:tcPr>
            <w:tcW w:w="718"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35" w:history="1">
              <w:proofErr w:type="spellStart"/>
              <w:r w:rsidR="00EB3E17" w:rsidRPr="00154069">
                <w:rPr>
                  <w:rFonts w:ascii="Calibri" w:eastAsia="Times New Roman" w:hAnsi="Calibri" w:cs="Calibri"/>
                  <w:sz w:val="10"/>
                  <w:szCs w:val="16"/>
                  <w:u w:val="single"/>
                </w:rPr>
                <w:t>Chen_et_al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109</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r w:rsidRPr="00154069">
              <w:rPr>
                <w:rFonts w:ascii="Calibri" w:eastAsia="Times New Roman" w:hAnsi="Calibri" w:cs="Calibri"/>
                <w:sz w:val="10"/>
                <w:szCs w:val="16"/>
              </w:rPr>
              <w:t xml:space="preserve"> and 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PET </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9.5</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7.19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0.2786006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1.523495</w:t>
            </w:r>
          </w:p>
        </w:tc>
        <w:tc>
          <w:tcPr>
            <w:tcW w:w="718"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36" w:history="1">
              <w:proofErr w:type="spellStart"/>
              <w:r w:rsidR="00EB3E17" w:rsidRPr="00154069">
                <w:rPr>
                  <w:rFonts w:ascii="Calibri" w:eastAsia="Times New Roman" w:hAnsi="Calibri" w:cs="Calibri"/>
                  <w:sz w:val="10"/>
                  <w:szCs w:val="16"/>
                  <w:u w:val="single"/>
                </w:rPr>
                <w:t>Chen_et_al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109</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r w:rsidRPr="00154069">
              <w:rPr>
                <w:rFonts w:ascii="Calibri" w:eastAsia="Times New Roman" w:hAnsi="Calibri" w:cs="Calibri"/>
                <w:sz w:val="10"/>
                <w:szCs w:val="16"/>
              </w:rPr>
              <w:t xml:space="preserve"> and </w:t>
            </w:r>
            <w:proofErr w:type="spellStart"/>
            <w:r w:rsidRPr="00154069">
              <w:rPr>
                <w:rFonts w:ascii="Calibri" w:eastAsia="Times New Roman" w:hAnsi="Calibri" w:cs="Calibri"/>
                <w:sz w:val="10"/>
                <w:szCs w:val="16"/>
              </w:rPr>
              <w:lastRenderedPageBreak/>
              <w:t>switchgrass</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lastRenderedPageBreak/>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PET </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9.5</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7.19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0.2786006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1.644123</w:t>
            </w:r>
          </w:p>
        </w:tc>
        <w:tc>
          <w:tcPr>
            <w:tcW w:w="718"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37" w:history="1">
              <w:proofErr w:type="spellStart"/>
              <w:r w:rsidR="00EB3E17" w:rsidRPr="00154069">
                <w:rPr>
                  <w:rFonts w:ascii="Calibri" w:eastAsia="Times New Roman" w:hAnsi="Calibri" w:cs="Calibri"/>
                  <w:sz w:val="10"/>
                  <w:szCs w:val="16"/>
                  <w:u w:val="single"/>
                </w:rPr>
                <w:t>Chen_et_al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109</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PET</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Corn </w:t>
            </w:r>
            <w:proofErr w:type="spellStart"/>
            <w:r w:rsidRPr="00154069">
              <w:rPr>
                <w:rFonts w:ascii="Calibri" w:eastAsia="Times New Roman" w:hAnsi="Calibri" w:cs="Calibri"/>
                <w:sz w:val="10"/>
                <w:szCs w:val="16"/>
              </w:rPr>
              <w:t>stover</w:t>
            </w:r>
            <w:proofErr w:type="spellEnd"/>
            <w:r w:rsidRPr="00154069">
              <w:rPr>
                <w:rFonts w:ascii="Calibri" w:eastAsia="Times New Roman" w:hAnsi="Calibri" w:cs="Calibri"/>
                <w:sz w:val="10"/>
                <w:szCs w:val="16"/>
              </w:rPr>
              <w:t xml:space="preserve"> and wheat straw</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Pure feedstock (1st generation) </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PET </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8.6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7.19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0.179071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1.573506</w:t>
            </w:r>
          </w:p>
        </w:tc>
        <w:tc>
          <w:tcPr>
            <w:tcW w:w="718"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Chen_et_al</w:t>
            </w:r>
            <w:proofErr w:type="spellEnd"/>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PLA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PET </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4.76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-0.3970969</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38" w:history="1">
              <w:proofErr w:type="spellStart"/>
              <w:r w:rsidR="00EB3E17" w:rsidRPr="00154069">
                <w:rPr>
                  <w:rFonts w:ascii="Calibri" w:eastAsia="Times New Roman" w:hAnsi="Calibri" w:cs="Calibri"/>
                  <w:sz w:val="10"/>
                  <w:szCs w:val="16"/>
                  <w:u w:val="single"/>
                </w:rPr>
                <w:t>Posen_et_al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PLA</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Switchgrass</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PET </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3.11</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4.76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-0.4256249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1.8</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2.29</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39" w:history="1">
              <w:proofErr w:type="spellStart"/>
              <w:r w:rsidR="00EB3E17" w:rsidRPr="00154069">
                <w:rPr>
                  <w:rFonts w:ascii="Calibri" w:eastAsia="Times New Roman" w:hAnsi="Calibri" w:cs="Calibri"/>
                  <w:sz w:val="10"/>
                  <w:szCs w:val="16"/>
                  <w:u w:val="single"/>
                </w:rPr>
                <w:t>Posen_et_al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PHB</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5.41</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0.030021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40" w:history="1">
              <w:proofErr w:type="spellStart"/>
              <w:r w:rsidR="00EB3E17" w:rsidRPr="00154069">
                <w:rPr>
                  <w:rFonts w:ascii="Calibri" w:eastAsia="Times New Roman" w:hAnsi="Calibri" w:cs="Calibri"/>
                  <w:sz w:val="10"/>
                  <w:szCs w:val="16"/>
                  <w:u w:val="single"/>
                </w:rPr>
                <w:t>Posen_et_al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PHB</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Switchgrass</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5.02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-0.0447981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41" w:history="1">
              <w:proofErr w:type="spellStart"/>
              <w:r w:rsidR="00EB3E17" w:rsidRPr="00154069">
                <w:rPr>
                  <w:rFonts w:ascii="Calibri" w:eastAsia="Times New Roman" w:hAnsi="Calibri" w:cs="Calibri"/>
                  <w:sz w:val="10"/>
                  <w:szCs w:val="16"/>
                  <w:u w:val="single"/>
                </w:rPr>
                <w:t>Posen_et_al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2.603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4.25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-0.4902544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42" w:history="1">
              <w:proofErr w:type="spellStart"/>
              <w:r w:rsidR="00EB3E17" w:rsidRPr="00154069">
                <w:rPr>
                  <w:rFonts w:ascii="Calibri" w:eastAsia="Times New Roman" w:hAnsi="Calibri" w:cs="Calibri"/>
                  <w:sz w:val="10"/>
                  <w:szCs w:val="16"/>
                  <w:u w:val="single"/>
                </w:rPr>
                <w:t>Posen_et_al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Biochemical</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Switchgrass</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ethylene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4.7</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4.25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0.1006435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3.14</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43" w:history="1">
              <w:proofErr w:type="spellStart"/>
              <w:r w:rsidR="00EB3E17" w:rsidRPr="00154069">
                <w:rPr>
                  <w:rFonts w:ascii="Calibri" w:eastAsia="Times New Roman" w:hAnsi="Calibri" w:cs="Calibri"/>
                  <w:sz w:val="10"/>
                  <w:szCs w:val="16"/>
                  <w:u w:val="single"/>
                </w:rPr>
                <w:t>Posen_et_al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2.98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5.25</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-0.5663048</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44" w:history="1">
              <w:proofErr w:type="spellStart"/>
              <w:r w:rsidR="00EB3E17" w:rsidRPr="00154069">
                <w:rPr>
                  <w:rFonts w:ascii="Calibri" w:eastAsia="Times New Roman" w:hAnsi="Calibri" w:cs="Calibri"/>
                  <w:sz w:val="10"/>
                  <w:szCs w:val="16"/>
                  <w:u w:val="single"/>
                </w:rPr>
                <w:t>Posen_et_al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LDPE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LDPE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3.22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5.54</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-0.5426131</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45" w:history="1">
              <w:proofErr w:type="spellStart"/>
              <w:r w:rsidR="00EB3E17" w:rsidRPr="00154069">
                <w:rPr>
                  <w:rFonts w:ascii="Calibri" w:eastAsia="Times New Roman" w:hAnsi="Calibri" w:cs="Calibri"/>
                  <w:sz w:val="10"/>
                  <w:szCs w:val="16"/>
                  <w:u w:val="single"/>
                </w:rPr>
                <w:t>Posen_et_al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LLDPE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LLDPE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2.97</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-0.5715691</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46" w:history="1">
              <w:proofErr w:type="spellStart"/>
              <w:r w:rsidR="00EB3E17" w:rsidRPr="00154069">
                <w:rPr>
                  <w:rFonts w:ascii="Calibri" w:eastAsia="Times New Roman" w:hAnsi="Calibri" w:cs="Calibri"/>
                  <w:sz w:val="10"/>
                  <w:szCs w:val="16"/>
                  <w:u w:val="single"/>
                </w:rPr>
                <w:t>Posen_et_al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Switchgrass</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6.46</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0.2074012</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47" w:history="1">
              <w:proofErr w:type="spellStart"/>
              <w:r w:rsidR="00EB3E17" w:rsidRPr="00154069">
                <w:rPr>
                  <w:rFonts w:ascii="Calibri" w:eastAsia="Times New Roman" w:hAnsi="Calibri" w:cs="Calibri"/>
                  <w:sz w:val="10"/>
                  <w:szCs w:val="16"/>
                  <w:u w:val="single"/>
                </w:rPr>
                <w:t>Posen_et_al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LDPE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Switchgrass</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6.77</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5.54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0.2005066</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48" w:history="1">
              <w:proofErr w:type="spellStart"/>
              <w:r w:rsidR="00EB3E17" w:rsidRPr="00154069">
                <w:rPr>
                  <w:rFonts w:ascii="Calibri" w:eastAsia="Times New Roman" w:hAnsi="Calibri" w:cs="Calibri"/>
                  <w:sz w:val="10"/>
                  <w:szCs w:val="16"/>
                  <w:u w:val="single"/>
                </w:rPr>
                <w:t>Posen_et_al</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LLDPE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Switchgrass</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(2nd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Yes, </w:t>
            </w:r>
            <w:proofErr w:type="spellStart"/>
            <w:r w:rsidRPr="00154069">
              <w:rPr>
                <w:rFonts w:ascii="Calibri" w:eastAsia="Times New Roman" w:hAnsi="Calibri" w:cs="Calibri"/>
                <w:sz w:val="10"/>
                <w:szCs w:val="16"/>
              </w:rPr>
              <w:t>dLUC</w:t>
            </w:r>
            <w:proofErr w:type="spellEnd"/>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LLDPE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6.48</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5.26</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0.2085895</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 to 9</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49" w:history="1">
              <w:proofErr w:type="spellStart"/>
              <w:r w:rsidR="00EB3E17" w:rsidRPr="00154069">
                <w:rPr>
                  <w:rFonts w:ascii="Calibri" w:eastAsia="Times New Roman" w:hAnsi="Calibri" w:cs="Calibri"/>
                  <w:sz w:val="10"/>
                  <w:szCs w:val="16"/>
                  <w:u w:val="single"/>
                </w:rPr>
                <w:t>Posen_et_al</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111</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Sugarbeet</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5.2</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7.23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-0.3295804</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50" w:history="1">
              <w:proofErr w:type="spellStart"/>
              <w:r w:rsidR="00EB3E17" w:rsidRPr="00154069">
                <w:rPr>
                  <w:rFonts w:ascii="Calibri" w:eastAsia="Times New Roman" w:hAnsi="Calibri" w:cs="Calibri"/>
                  <w:sz w:val="10"/>
                  <w:szCs w:val="16"/>
                  <w:u w:val="single"/>
                </w:rPr>
                <w:t>Belboom_and_Léonard</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111</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Wheat </w:t>
            </w:r>
            <w:proofErr w:type="spellStart"/>
            <w:r w:rsidRPr="00154069">
              <w:rPr>
                <w:rFonts w:ascii="Calibri" w:eastAsia="Times New Roman" w:hAnsi="Calibri" w:cs="Calibri"/>
                <w:sz w:val="10"/>
                <w:szCs w:val="16"/>
              </w:rPr>
              <w:t>stover</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6.78</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7.23</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-0.0642619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51" w:history="1">
              <w:proofErr w:type="spellStart"/>
              <w:r w:rsidR="00EB3E17" w:rsidRPr="00154069">
                <w:rPr>
                  <w:rFonts w:ascii="Calibri" w:eastAsia="Times New Roman" w:hAnsi="Calibri" w:cs="Calibri"/>
                  <w:sz w:val="10"/>
                  <w:szCs w:val="16"/>
                  <w:u w:val="single"/>
                </w:rPr>
                <w:t>Belboom_and_Léonard</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111</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Sugarbeet</w:t>
            </w:r>
            <w:proofErr w:type="spellEnd"/>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2.73</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4.77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-0.5580447</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52" w:history="1">
              <w:proofErr w:type="spellStart"/>
              <w:r w:rsidR="00EB3E17" w:rsidRPr="00154069">
                <w:rPr>
                  <w:rFonts w:ascii="Calibri" w:eastAsia="Times New Roman" w:hAnsi="Calibri" w:cs="Calibri"/>
                  <w:sz w:val="10"/>
                  <w:szCs w:val="16"/>
                  <w:u w:val="single"/>
                </w:rPr>
                <w:t>Belboom_and_Léonard</w:t>
              </w:r>
              <w:proofErr w:type="spellEnd"/>
            </w:hyperlink>
          </w:p>
        </w:tc>
      </w:tr>
      <w:tr w:rsidR="0009124B"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111</w:t>
            </w:r>
          </w:p>
        </w:tc>
        <w:tc>
          <w:tcPr>
            <w:tcW w:w="94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681"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 xml:space="preserve">Wheat </w:t>
            </w:r>
            <w:proofErr w:type="spellStart"/>
            <w:r w:rsidRPr="00154069">
              <w:rPr>
                <w:rFonts w:ascii="Calibri" w:eastAsia="Times New Roman" w:hAnsi="Calibri" w:cs="Calibri"/>
                <w:sz w:val="10"/>
                <w:szCs w:val="16"/>
              </w:rPr>
              <w:t>stover</w:t>
            </w:r>
            <w:proofErr w:type="spellEnd"/>
          </w:p>
        </w:tc>
        <w:tc>
          <w:tcPr>
            <w:tcW w:w="992"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HDPE</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4.32</w:t>
            </w:r>
          </w:p>
        </w:tc>
        <w:tc>
          <w:tcPr>
            <w:tcW w:w="708"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4.77</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-0.0990909</w:t>
            </w:r>
          </w:p>
        </w:tc>
        <w:tc>
          <w:tcPr>
            <w:tcW w:w="709"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noWrap/>
          </w:tcPr>
          <w:p w:rsidR="0009124B" w:rsidRPr="00154069" w:rsidRDefault="004F5BD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hyperlink r:id="rId253" w:history="1">
              <w:proofErr w:type="spellStart"/>
              <w:r w:rsidR="00EB3E17" w:rsidRPr="00154069">
                <w:rPr>
                  <w:rFonts w:ascii="Calibri" w:eastAsia="Times New Roman" w:hAnsi="Calibri" w:cs="Calibri"/>
                  <w:sz w:val="10"/>
                  <w:szCs w:val="16"/>
                  <w:u w:val="single"/>
                </w:rPr>
                <w:t>Belboom_and_Léonard</w:t>
              </w:r>
              <w:proofErr w:type="spellEnd"/>
            </w:hyperlink>
          </w:p>
        </w:tc>
      </w:tr>
      <w:tr w:rsidR="004F5BDD" w:rsidRPr="00154069" w:rsidTr="00154069">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09124B" w:rsidRPr="00154069" w:rsidRDefault="00EB3E17">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112</w:t>
            </w:r>
          </w:p>
        </w:tc>
        <w:tc>
          <w:tcPr>
            <w:tcW w:w="94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PHA</w:t>
            </w:r>
          </w:p>
        </w:tc>
        <w:tc>
          <w:tcPr>
            <w:tcW w:w="681"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roofErr w:type="spellStart"/>
            <w:r w:rsidRPr="00154069">
              <w:rPr>
                <w:rFonts w:ascii="Calibri" w:eastAsia="Times New Roman" w:hAnsi="Calibri" w:cs="Calibri"/>
                <w:sz w:val="10"/>
                <w:szCs w:val="16"/>
              </w:rPr>
              <w:t>Bioplast</w:t>
            </w:r>
            <w:proofErr w:type="spellEnd"/>
            <w:r w:rsidRPr="00154069">
              <w:rPr>
                <w:rFonts w:ascii="Calibri" w:eastAsia="Times New Roman" w:hAnsi="Calibri" w:cs="Calibri"/>
                <w:sz w:val="10"/>
                <w:szCs w:val="16"/>
              </w:rPr>
              <w:t>/biopolymer</w:t>
            </w:r>
          </w:p>
        </w:tc>
        <w:tc>
          <w:tcPr>
            <w:tcW w:w="504"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BC</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Corn</w:t>
            </w:r>
          </w:p>
        </w:tc>
        <w:tc>
          <w:tcPr>
            <w:tcW w:w="99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Pure feedstock (1st generation)</w:t>
            </w:r>
          </w:p>
        </w:tc>
        <w:tc>
          <w:tcPr>
            <w:tcW w:w="567"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No, pure feedstock</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LDPE</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3.68</w:t>
            </w:r>
          </w:p>
        </w:tc>
        <w:tc>
          <w:tcPr>
            <w:tcW w:w="708"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5.03</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-0.3125072</w:t>
            </w:r>
          </w:p>
        </w:tc>
        <w:tc>
          <w:tcPr>
            <w:tcW w:w="709"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0</w:t>
            </w:r>
          </w:p>
        </w:tc>
        <w:tc>
          <w:tcPr>
            <w:tcW w:w="850"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3.13</w:t>
            </w:r>
          </w:p>
        </w:tc>
        <w:tc>
          <w:tcPr>
            <w:tcW w:w="471"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4 and 5</w:t>
            </w:r>
          </w:p>
        </w:tc>
        <w:tc>
          <w:tcPr>
            <w:tcW w:w="522" w:type="dxa"/>
            <w:shd w:val="clear" w:color="auto" w:fill="F2F2F2" w:themeFill="background1" w:themeFillShade="F2"/>
            <w:noWrap/>
          </w:tcPr>
          <w:p w:rsidR="0009124B" w:rsidRPr="00154069" w:rsidRDefault="00EB3E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r w:rsidRPr="00154069">
              <w:rPr>
                <w:rFonts w:ascii="Calibri" w:eastAsia="Times New Roman" w:hAnsi="Calibri" w:cs="Calibri"/>
                <w:sz w:val="10"/>
                <w:szCs w:val="16"/>
              </w:rPr>
              <w:t>9</w:t>
            </w:r>
          </w:p>
        </w:tc>
        <w:tc>
          <w:tcPr>
            <w:tcW w:w="841" w:type="dxa"/>
            <w:shd w:val="clear" w:color="auto" w:fill="F2F2F2" w:themeFill="background1" w:themeFillShade="F2"/>
            <w:noWrap/>
          </w:tcPr>
          <w:p w:rsidR="0009124B" w:rsidRPr="00154069" w:rsidRDefault="0009124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rPr>
            </w:pPr>
          </w:p>
        </w:tc>
        <w:tc>
          <w:tcPr>
            <w:tcW w:w="718"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44" w:type="dxa"/>
            <w:shd w:val="clear" w:color="auto" w:fill="F2F2F2" w:themeFill="background1" w:themeFillShade="F2"/>
            <w:noWrap/>
          </w:tcPr>
          <w:p w:rsidR="0009124B" w:rsidRPr="00154069" w:rsidRDefault="000912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0"/>
                <w:szCs w:val="16"/>
              </w:rPr>
            </w:pPr>
          </w:p>
        </w:tc>
        <w:tc>
          <w:tcPr>
            <w:tcW w:w="682" w:type="dxa"/>
            <w:shd w:val="clear" w:color="auto" w:fill="F2F2F2" w:themeFill="background1" w:themeFillShade="F2"/>
            <w:noWrap/>
          </w:tcPr>
          <w:p w:rsidR="0009124B" w:rsidRPr="00154069" w:rsidRDefault="00EB3E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0"/>
                <w:szCs w:val="16"/>
                <w:u w:val="single"/>
              </w:rPr>
            </w:pPr>
            <w:proofErr w:type="spellStart"/>
            <w:r w:rsidRPr="00154069">
              <w:rPr>
                <w:rFonts w:ascii="Calibri" w:eastAsia="Times New Roman" w:hAnsi="Calibri" w:cs="Calibri"/>
                <w:sz w:val="10"/>
                <w:szCs w:val="16"/>
                <w:u w:val="single"/>
              </w:rPr>
              <w:t>Kim_and_Dale</w:t>
            </w:r>
            <w:proofErr w:type="spellEnd"/>
          </w:p>
        </w:tc>
      </w:tr>
    </w:tbl>
    <w:p w:rsidR="0009124B" w:rsidRDefault="0009124B">
      <w:pPr>
        <w:tabs>
          <w:tab w:val="left" w:pos="1003"/>
        </w:tabs>
        <w:rPr>
          <w:rFonts w:cstheme="minorHAnsi"/>
          <w:lang w:val="it-IT"/>
        </w:rPr>
      </w:pPr>
    </w:p>
    <w:p w:rsidR="008D7E13" w:rsidRDefault="008D7E13" w:rsidP="008D7E13">
      <w:pPr>
        <w:pStyle w:val="Caption"/>
        <w:keepNext/>
      </w:pPr>
      <w:r>
        <w:rPr>
          <w:rStyle w:val="Heading2Char"/>
          <w:rFonts w:asciiTheme="minorHAnsi" w:hAnsiTheme="minorHAnsi" w:cstheme="minorHAnsi"/>
          <w:b/>
          <w:i w:val="0"/>
          <w:color w:val="auto"/>
          <w:sz w:val="18"/>
        </w:rPr>
        <w:t>Table S.9.b</w:t>
      </w:r>
      <w:r>
        <w:rPr>
          <w:b/>
          <w:i w:val="0"/>
        </w:rPr>
        <w:t>:</w:t>
      </w:r>
      <w:r>
        <w:rPr>
          <w:i w:val="0"/>
        </w:rPr>
        <w:t xml:space="preserve"> </w:t>
      </w:r>
      <w:r w:rsidRPr="008D7E13">
        <w:rPr>
          <w:color w:val="auto"/>
        </w:rPr>
        <w:t>Continuation data-table</w:t>
      </w:r>
      <w:r w:rsidR="00E4005E">
        <w:rPr>
          <w:color w:val="auto"/>
        </w:rPr>
        <w:t>;</w:t>
      </w:r>
      <w:r w:rsidR="001E4DA4">
        <w:rPr>
          <w:color w:val="auto"/>
        </w:rPr>
        <w:t xml:space="preserve"> additional background information on different upscaling processes, impact assessment method, year(s) of collected foreground data</w:t>
      </w:r>
      <w:r w:rsidR="00E4005E">
        <w:rPr>
          <w:color w:val="auto"/>
        </w:rPr>
        <w:t>,</w:t>
      </w:r>
      <w:r w:rsidR="001E4DA4">
        <w:rPr>
          <w:color w:val="auto"/>
        </w:rPr>
        <w:t xml:space="preserve"> </w:t>
      </w:r>
      <w:r w:rsidR="00E4005E">
        <w:rPr>
          <w:color w:val="auto"/>
        </w:rPr>
        <w:t>location of biomass cultivation and location of the</w:t>
      </w:r>
      <w:r w:rsidR="001E4DA4">
        <w:rPr>
          <w:color w:val="auto"/>
        </w:rPr>
        <w:t xml:space="preserve"> </w:t>
      </w:r>
      <w:r w:rsidR="00E4005E">
        <w:rPr>
          <w:color w:val="auto"/>
        </w:rPr>
        <w:t>production</w:t>
      </w:r>
      <w:r w:rsidR="001E4DA4">
        <w:rPr>
          <w:color w:val="auto"/>
        </w:rPr>
        <w:t xml:space="preserve"> of both</w:t>
      </w:r>
      <w:r w:rsidR="00E4005E">
        <w:rPr>
          <w:color w:val="auto"/>
        </w:rPr>
        <w:t xml:space="preserve"> the</w:t>
      </w:r>
      <w:r w:rsidR="001E4DA4">
        <w:rPr>
          <w:color w:val="auto"/>
        </w:rPr>
        <w:t xml:space="preserve"> fossil- and bio-products, including LCI</w:t>
      </w:r>
      <w:r w:rsidR="00E4005E">
        <w:rPr>
          <w:color w:val="auto"/>
        </w:rPr>
        <w:t xml:space="preserve"> source/</w:t>
      </w:r>
      <w:r w:rsidR="001E4DA4">
        <w:rPr>
          <w:color w:val="auto"/>
        </w:rPr>
        <w:t>database for</w:t>
      </w:r>
      <w:r w:rsidR="00E4005E">
        <w:rPr>
          <w:color w:val="auto"/>
        </w:rPr>
        <w:t xml:space="preserve"> the</w:t>
      </w:r>
      <w:r w:rsidR="00402131">
        <w:rPr>
          <w:color w:val="auto"/>
        </w:rPr>
        <w:t xml:space="preserve"> fossil-product</w:t>
      </w:r>
      <w:r w:rsidR="001E4DA4">
        <w:rPr>
          <w:color w:val="auto"/>
        </w:rPr>
        <w:t xml:space="preserve">. Not for all </w:t>
      </w:r>
      <w:r w:rsidR="00E4005E">
        <w:rPr>
          <w:color w:val="auto"/>
        </w:rPr>
        <w:t>categories the information was available</w:t>
      </w:r>
      <w:r w:rsidR="003F2A5A">
        <w:rPr>
          <w:color w:val="auto"/>
        </w:rPr>
        <w:t xml:space="preserve"> or could be retrieved</w:t>
      </w:r>
      <w:r w:rsidR="00E4005E">
        <w:rPr>
          <w:color w:val="auto"/>
        </w:rPr>
        <w:t>, indicated with NA.</w:t>
      </w:r>
    </w:p>
    <w:tbl>
      <w:tblPr>
        <w:tblStyle w:val="PlainTable11"/>
        <w:tblW w:w="11194" w:type="dxa"/>
        <w:tblLayout w:type="fixed"/>
        <w:tblLook w:val="04A0" w:firstRow="1" w:lastRow="0" w:firstColumn="1" w:lastColumn="0" w:noHBand="0" w:noVBand="1"/>
      </w:tblPr>
      <w:tblGrid>
        <w:gridCol w:w="421"/>
        <w:gridCol w:w="941"/>
        <w:gridCol w:w="681"/>
        <w:gridCol w:w="929"/>
        <w:gridCol w:w="709"/>
        <w:gridCol w:w="709"/>
        <w:gridCol w:w="708"/>
        <w:gridCol w:w="709"/>
        <w:gridCol w:w="851"/>
        <w:gridCol w:w="708"/>
        <w:gridCol w:w="709"/>
        <w:gridCol w:w="3119"/>
      </w:tblGrid>
      <w:tr w:rsidR="00650DF4" w:rsidRPr="00154069" w:rsidTr="00650DF4">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auto"/>
              <w:left w:val="single" w:sz="4" w:space="0" w:color="auto"/>
              <w:bottom w:val="single" w:sz="4" w:space="0" w:color="auto"/>
              <w:right w:val="single" w:sz="4" w:space="0" w:color="auto"/>
            </w:tcBorders>
            <w:noWrap/>
          </w:tcPr>
          <w:p w:rsidR="00CE1774" w:rsidRPr="00154069" w:rsidRDefault="00CE1774" w:rsidP="00CE1774">
            <w:pPr>
              <w:rPr>
                <w:rFonts w:ascii="Calibri" w:eastAsia="Times New Roman" w:hAnsi="Calibri" w:cs="Calibri"/>
                <w:b w:val="0"/>
                <w:bCs w:val="0"/>
                <w:sz w:val="10"/>
                <w:szCs w:val="16"/>
              </w:rPr>
            </w:pPr>
            <w:r w:rsidRPr="007A59AC">
              <w:rPr>
                <w:rFonts w:ascii="Calibri" w:eastAsia="Times New Roman" w:hAnsi="Calibri" w:cs="Calibri"/>
                <w:sz w:val="8"/>
                <w:szCs w:val="16"/>
              </w:rPr>
              <w:t>Study number</w:t>
            </w:r>
          </w:p>
        </w:tc>
        <w:tc>
          <w:tcPr>
            <w:tcW w:w="941" w:type="dxa"/>
            <w:tcBorders>
              <w:top w:val="single" w:sz="4" w:space="0" w:color="auto"/>
              <w:left w:val="single" w:sz="4" w:space="0" w:color="auto"/>
              <w:bottom w:val="single" w:sz="4" w:space="0" w:color="auto"/>
              <w:right w:val="single" w:sz="4" w:space="0" w:color="auto"/>
            </w:tcBorders>
            <w:noWrap/>
            <w:vAlign w:val="bottom"/>
          </w:tcPr>
          <w:p w:rsidR="00CE1774" w:rsidRPr="00CE1774" w:rsidRDefault="00650DF4" w:rsidP="00CE177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650DF4">
              <w:rPr>
                <w:rFonts w:ascii="Calibri" w:hAnsi="Calibri" w:cs="Calibri"/>
                <w:color w:val="000000"/>
                <w:sz w:val="10"/>
                <w:szCs w:val="10"/>
              </w:rPr>
              <w:t>Recovery and re-use of heat (heat integration)</w:t>
            </w:r>
          </w:p>
        </w:tc>
        <w:tc>
          <w:tcPr>
            <w:tcW w:w="681" w:type="dxa"/>
            <w:tcBorders>
              <w:top w:val="single" w:sz="4" w:space="0" w:color="auto"/>
              <w:left w:val="single" w:sz="4" w:space="0" w:color="auto"/>
              <w:bottom w:val="single" w:sz="4" w:space="0" w:color="auto"/>
              <w:right w:val="single" w:sz="4" w:space="0" w:color="auto"/>
            </w:tcBorders>
            <w:noWrap/>
            <w:vAlign w:val="bottom"/>
          </w:tcPr>
          <w:p w:rsidR="00CE1774" w:rsidRPr="00CE1774" w:rsidRDefault="00650DF4" w:rsidP="00CE177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650DF4">
              <w:rPr>
                <w:rFonts w:ascii="Calibri" w:hAnsi="Calibri" w:cs="Calibri"/>
                <w:color w:val="000000"/>
                <w:sz w:val="10"/>
                <w:szCs w:val="10"/>
              </w:rPr>
              <w:t>Recovery of solvents</w:t>
            </w:r>
          </w:p>
        </w:tc>
        <w:tc>
          <w:tcPr>
            <w:tcW w:w="929" w:type="dxa"/>
            <w:tcBorders>
              <w:top w:val="single" w:sz="4" w:space="0" w:color="auto"/>
              <w:left w:val="single" w:sz="4" w:space="0" w:color="auto"/>
              <w:bottom w:val="single" w:sz="4" w:space="0" w:color="auto"/>
              <w:right w:val="single" w:sz="4" w:space="0" w:color="auto"/>
            </w:tcBorders>
            <w:noWrap/>
            <w:vAlign w:val="bottom"/>
          </w:tcPr>
          <w:p w:rsidR="00CE1774" w:rsidRPr="00CE1774" w:rsidRDefault="00650DF4" w:rsidP="00CE177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T</w:t>
            </w:r>
            <w:r w:rsidRPr="00650DF4">
              <w:rPr>
                <w:rFonts w:ascii="Calibri" w:hAnsi="Calibri" w:cs="Calibri"/>
                <w:color w:val="000000"/>
                <w:sz w:val="10"/>
                <w:szCs w:val="10"/>
              </w:rPr>
              <w:t>reatment of waste including energy recovery</w:t>
            </w:r>
          </w:p>
        </w:tc>
        <w:tc>
          <w:tcPr>
            <w:tcW w:w="709" w:type="dxa"/>
            <w:tcBorders>
              <w:top w:val="single" w:sz="4" w:space="0" w:color="auto"/>
              <w:left w:val="single" w:sz="4" w:space="0" w:color="auto"/>
              <w:bottom w:val="single" w:sz="4" w:space="0" w:color="auto"/>
              <w:right w:val="single" w:sz="4" w:space="0" w:color="auto"/>
            </w:tcBorders>
            <w:noWrap/>
            <w:vAlign w:val="bottom"/>
          </w:tcPr>
          <w:p w:rsidR="00CE1774" w:rsidRPr="00CE1774" w:rsidRDefault="00650DF4" w:rsidP="00CE177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650DF4">
              <w:rPr>
                <w:rFonts w:ascii="Calibri" w:hAnsi="Calibri" w:cs="Calibri"/>
                <w:color w:val="000000"/>
                <w:sz w:val="10"/>
                <w:szCs w:val="10"/>
              </w:rPr>
              <w:t>Recycling of flows (waste streams)</w:t>
            </w:r>
          </w:p>
        </w:tc>
        <w:tc>
          <w:tcPr>
            <w:tcW w:w="709" w:type="dxa"/>
            <w:tcBorders>
              <w:top w:val="single" w:sz="4" w:space="0" w:color="auto"/>
              <w:left w:val="single" w:sz="4" w:space="0" w:color="auto"/>
              <w:bottom w:val="single" w:sz="4" w:space="0" w:color="auto"/>
              <w:right w:val="single" w:sz="4" w:space="0" w:color="auto"/>
            </w:tcBorders>
            <w:noWrap/>
            <w:vAlign w:val="bottom"/>
          </w:tcPr>
          <w:p w:rsidR="00CE1774" w:rsidRPr="00CE1774" w:rsidRDefault="007A59AC" w:rsidP="00CE177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Impact Assessment method</w:t>
            </w:r>
          </w:p>
        </w:tc>
        <w:tc>
          <w:tcPr>
            <w:tcW w:w="708" w:type="dxa"/>
            <w:tcBorders>
              <w:top w:val="single" w:sz="4" w:space="0" w:color="auto"/>
              <w:left w:val="single" w:sz="4" w:space="0" w:color="auto"/>
              <w:bottom w:val="single" w:sz="4" w:space="0" w:color="auto"/>
              <w:right w:val="single" w:sz="4" w:space="0" w:color="auto"/>
            </w:tcBorders>
            <w:noWrap/>
            <w:vAlign w:val="bottom"/>
          </w:tcPr>
          <w:p w:rsidR="00CE1774" w:rsidRPr="00CE1774" w:rsidRDefault="007A59AC" w:rsidP="00CE177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Uncertainty Analysis?</w:t>
            </w:r>
            <w:r w:rsidR="00CE1774" w:rsidRPr="00CE1774">
              <w:rPr>
                <w:rFonts w:ascii="Calibri" w:hAnsi="Calibri" w:cs="Calibri"/>
                <w:color w:val="000000"/>
                <w:sz w:val="10"/>
                <w:szCs w:val="10"/>
              </w:rPr>
              <w:t xml:space="preserve"> </w:t>
            </w:r>
          </w:p>
        </w:tc>
        <w:tc>
          <w:tcPr>
            <w:tcW w:w="709" w:type="dxa"/>
            <w:tcBorders>
              <w:top w:val="single" w:sz="4" w:space="0" w:color="auto"/>
              <w:left w:val="single" w:sz="4" w:space="0" w:color="auto"/>
              <w:bottom w:val="single" w:sz="4" w:space="0" w:color="auto"/>
              <w:right w:val="single" w:sz="4" w:space="0" w:color="auto"/>
            </w:tcBorders>
            <w:noWrap/>
            <w:vAlign w:val="bottom"/>
          </w:tcPr>
          <w:p w:rsidR="00CE1774" w:rsidRPr="00CE1774" w:rsidRDefault="007A59AC" w:rsidP="00CE177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Year of foreground data</w:t>
            </w:r>
          </w:p>
        </w:tc>
        <w:tc>
          <w:tcPr>
            <w:tcW w:w="851" w:type="dxa"/>
            <w:tcBorders>
              <w:top w:val="single" w:sz="4" w:space="0" w:color="auto"/>
              <w:left w:val="single" w:sz="4" w:space="0" w:color="auto"/>
              <w:bottom w:val="single" w:sz="4" w:space="0" w:color="auto"/>
              <w:right w:val="single" w:sz="4" w:space="0" w:color="auto"/>
            </w:tcBorders>
            <w:noWrap/>
            <w:vAlign w:val="bottom"/>
          </w:tcPr>
          <w:p w:rsidR="00CE1774" w:rsidRPr="00CE1774" w:rsidRDefault="007A59AC" w:rsidP="00CE177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Location foreground data</w:t>
            </w:r>
          </w:p>
        </w:tc>
        <w:tc>
          <w:tcPr>
            <w:tcW w:w="708" w:type="dxa"/>
            <w:tcBorders>
              <w:top w:val="single" w:sz="4" w:space="0" w:color="auto"/>
              <w:left w:val="single" w:sz="4" w:space="0" w:color="auto"/>
              <w:bottom w:val="single" w:sz="4" w:space="0" w:color="auto"/>
              <w:right w:val="single" w:sz="4" w:space="0" w:color="auto"/>
            </w:tcBorders>
            <w:noWrap/>
            <w:vAlign w:val="bottom"/>
          </w:tcPr>
          <w:p w:rsidR="00CE1774" w:rsidRPr="00CE1774" w:rsidRDefault="007A59AC" w:rsidP="00CE177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Location biomass cultivation</w:t>
            </w:r>
          </w:p>
        </w:tc>
        <w:tc>
          <w:tcPr>
            <w:tcW w:w="709" w:type="dxa"/>
            <w:tcBorders>
              <w:top w:val="single" w:sz="4" w:space="0" w:color="auto"/>
              <w:left w:val="single" w:sz="4" w:space="0" w:color="auto"/>
              <w:bottom w:val="single" w:sz="4" w:space="0" w:color="auto"/>
              <w:right w:val="single" w:sz="4" w:space="0" w:color="auto"/>
            </w:tcBorders>
            <w:noWrap/>
            <w:vAlign w:val="bottom"/>
          </w:tcPr>
          <w:p w:rsidR="00CE1774" w:rsidRPr="00CE1774" w:rsidRDefault="001E5ECD" w:rsidP="00CE177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Location production of fossil alternative</w:t>
            </w:r>
          </w:p>
        </w:tc>
        <w:tc>
          <w:tcPr>
            <w:tcW w:w="3119" w:type="dxa"/>
            <w:tcBorders>
              <w:top w:val="single" w:sz="4" w:space="0" w:color="auto"/>
              <w:left w:val="single" w:sz="4" w:space="0" w:color="auto"/>
              <w:bottom w:val="single" w:sz="4" w:space="0" w:color="auto"/>
              <w:right w:val="single" w:sz="4" w:space="0" w:color="auto"/>
            </w:tcBorders>
            <w:noWrap/>
            <w:vAlign w:val="bottom"/>
          </w:tcPr>
          <w:p w:rsidR="00CE1774" w:rsidRPr="00CE1774" w:rsidRDefault="001E5ECD" w:rsidP="00CE1774">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Fossil product LCI database/source</w:t>
            </w:r>
          </w:p>
        </w:tc>
      </w:tr>
      <w:tr w:rsidR="004F5BDD" w:rsidRPr="00154069" w:rsidTr="00650DF4">
        <w:tblPrEx>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56" w:type="dxa"/>
            <w:right w:w="56" w:type="dxa"/>
          </w:tblCellMar>
        </w:tblPrEx>
        <w:trPr>
          <w:trHeight w:val="135"/>
        </w:trPr>
        <w:tc>
          <w:tcPr>
            <w:cnfStyle w:val="001000000000" w:firstRow="0" w:lastRow="0" w:firstColumn="1" w:lastColumn="0" w:oddVBand="0" w:evenVBand="0" w:oddHBand="0" w:evenHBand="0" w:firstRowFirstColumn="0" w:firstRowLastColumn="0" w:lastRowFirstColumn="0" w:lastRowLastColumn="0"/>
            <w:tcW w:w="421" w:type="dxa"/>
            <w:tcBorders>
              <w:top w:val="single" w:sz="2" w:space="0" w:color="auto"/>
            </w:tcBorders>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w:t>
            </w:r>
          </w:p>
        </w:tc>
        <w:tc>
          <w:tcPr>
            <w:tcW w:w="941" w:type="dxa"/>
            <w:tcBorders>
              <w:top w:val="single" w:sz="2" w:space="0" w:color="auto"/>
            </w:tcBorders>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tcBorders>
              <w:top w:val="single" w:sz="2" w:space="0" w:color="auto"/>
            </w:tcBorders>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tcBorders>
              <w:top w:val="single" w:sz="2" w:space="0" w:color="auto"/>
            </w:tcBorders>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tcBorders>
              <w:top w:val="single" w:sz="2" w:space="0" w:color="auto"/>
            </w:tcBorders>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tcBorders>
              <w:top w:val="single" w:sz="2" w:space="0" w:color="auto"/>
            </w:tcBorders>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2.03</w:t>
            </w:r>
          </w:p>
        </w:tc>
        <w:tc>
          <w:tcPr>
            <w:tcW w:w="708" w:type="dxa"/>
            <w:tcBorders>
              <w:top w:val="single" w:sz="2" w:space="0" w:color="auto"/>
            </w:tcBorders>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tcBorders>
              <w:top w:val="single" w:sz="2" w:space="0" w:color="auto"/>
            </w:tcBorders>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2006</w:t>
            </w:r>
          </w:p>
        </w:tc>
        <w:tc>
          <w:tcPr>
            <w:tcW w:w="851" w:type="dxa"/>
            <w:tcBorders>
              <w:top w:val="single" w:sz="2" w:space="0" w:color="auto"/>
            </w:tcBorders>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tcBorders>
              <w:top w:val="single" w:sz="2" w:space="0" w:color="auto"/>
            </w:tcBorders>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tcBorders>
              <w:top w:val="single" w:sz="2" w:space="0" w:color="auto"/>
            </w:tcBorders>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tcBorders>
              <w:top w:val="single" w:sz="2" w:space="0" w:color="auto"/>
            </w:tcBorders>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Own modelling</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 xml:space="preserve">CML </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2012 - 2014</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3.1</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1991 - 2016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3</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1991 - 2016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1991 - 2016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1991 - 2016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1991 - 2016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1991 - 2016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1991 - 2016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1991 - 2016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1993 - 2010</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Ullmann’s Encyclopedia of Industrial Chemistry</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2004 - 2009</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StatoilHydro</w:t>
            </w:r>
            <w:proofErr w:type="spellEnd"/>
            <w:r w:rsidRPr="00F74586">
              <w:rPr>
                <w:rFonts w:ascii="Calibri" w:hAnsi="Calibri" w:cs="Calibri"/>
                <w:color w:val="000000"/>
                <w:sz w:val="10"/>
                <w:szCs w:val="10"/>
              </w:rPr>
              <w:t xml:space="preserve"> and NTM</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own calculations</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2007-2011</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Simapro</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 (</w:t>
            </w:r>
            <w:proofErr w:type="spellStart"/>
            <w:r w:rsidRPr="00F74586">
              <w:rPr>
                <w:rFonts w:ascii="Calibri" w:hAnsi="Calibri" w:cs="Calibri"/>
                <w:color w:val="000000"/>
                <w:sz w:val="10"/>
                <w:szCs w:val="10"/>
              </w:rPr>
              <w:t>Samel</w:t>
            </w:r>
            <w:proofErr w:type="spellEnd"/>
            <w:r w:rsidRPr="00F74586">
              <w:rPr>
                <w:rFonts w:ascii="Calibri" w:hAnsi="Calibri" w:cs="Calibri"/>
                <w:color w:val="000000"/>
                <w:sz w:val="10"/>
                <w:szCs w:val="10"/>
              </w:rPr>
              <w:t xml:space="preserve"> et al. (2005))</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 (</w:t>
            </w:r>
            <w:proofErr w:type="spellStart"/>
            <w:r w:rsidRPr="00F74586">
              <w:rPr>
                <w:rFonts w:ascii="Calibri" w:hAnsi="Calibri" w:cs="Calibri"/>
                <w:color w:val="000000"/>
                <w:sz w:val="10"/>
                <w:szCs w:val="10"/>
              </w:rPr>
              <w:t>Samel</w:t>
            </w:r>
            <w:proofErr w:type="spellEnd"/>
            <w:r w:rsidRPr="00F74586">
              <w:rPr>
                <w:rFonts w:ascii="Calibri" w:hAnsi="Calibri" w:cs="Calibri"/>
                <w:color w:val="000000"/>
                <w:sz w:val="10"/>
                <w:szCs w:val="10"/>
              </w:rPr>
              <w:t xml:space="preserve"> et al. (2005))</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 (</w:t>
            </w:r>
            <w:proofErr w:type="spellStart"/>
            <w:r w:rsidRPr="00F74586">
              <w:rPr>
                <w:rFonts w:ascii="Calibri" w:hAnsi="Calibri" w:cs="Calibri"/>
                <w:color w:val="000000"/>
                <w:sz w:val="10"/>
                <w:szCs w:val="10"/>
              </w:rPr>
              <w:t>Samel</w:t>
            </w:r>
            <w:proofErr w:type="spellEnd"/>
            <w:r w:rsidRPr="00F74586">
              <w:rPr>
                <w:rFonts w:ascii="Calibri" w:hAnsi="Calibri" w:cs="Calibri"/>
                <w:color w:val="000000"/>
                <w:sz w:val="10"/>
                <w:szCs w:val="10"/>
              </w:rPr>
              <w:t xml:space="preserve"> et al. (2005))</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 (</w:t>
            </w:r>
            <w:proofErr w:type="spellStart"/>
            <w:r w:rsidRPr="00F74586">
              <w:rPr>
                <w:rFonts w:ascii="Calibri" w:hAnsi="Calibri" w:cs="Calibri"/>
                <w:color w:val="000000"/>
                <w:sz w:val="10"/>
                <w:szCs w:val="10"/>
              </w:rPr>
              <w:t>Samel</w:t>
            </w:r>
            <w:proofErr w:type="spellEnd"/>
            <w:r w:rsidRPr="00F74586">
              <w:rPr>
                <w:rFonts w:ascii="Calibri" w:hAnsi="Calibri" w:cs="Calibri"/>
                <w:color w:val="000000"/>
                <w:sz w:val="10"/>
                <w:szCs w:val="10"/>
              </w:rPr>
              <w:t xml:space="preserve"> et al. (2005))</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2010-2014</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Global</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2013-2014</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SimaPro</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GREET</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2009</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GREET</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2014</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w:t>
            </w:r>
          </w:p>
        </w:tc>
        <w:tc>
          <w:tcPr>
            <w:tcW w:w="941" w:type="dxa"/>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GREET</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12</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own calculations</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1997 - 2013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(Tetrahydrofuran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12</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own calculations</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1997 - 2013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(Tetrahydrofuran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12</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own calculations</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1997 - 2013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China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China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(Tetrahydrofuran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13</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2001</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2012 - 2016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Encyclopedia of chemical processing and design</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13</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2001</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2012 - 2016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Encyclopedia of chemical processing and design</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13</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2001</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2012 - 2016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Encyclopedia of chemical processing and design</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14</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2014 - 2016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14</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2014</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14</w:t>
            </w:r>
          </w:p>
        </w:tc>
        <w:tc>
          <w:tcPr>
            <w:tcW w:w="941" w:type="dxa"/>
            <w:shd w:val="clear" w:color="auto" w:fill="F2F2F2" w:themeFill="background1" w:themeFillShade="F2"/>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2009</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14</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2011</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14</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3.02</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South-Africa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South-Africa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15</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3.02</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South-Africa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South-Africa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15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3.02</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South-Africa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South-Africa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16</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17</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3.02</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2014 - 2016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w:t>
            </w:r>
            <w:proofErr w:type="spellStart"/>
            <w:r w:rsidRPr="00F74586">
              <w:rPr>
                <w:rFonts w:ascii="Calibri" w:hAnsi="Calibri" w:cs="Calibri"/>
                <w:color w:val="000000"/>
                <w:sz w:val="10"/>
                <w:szCs w:val="10"/>
              </w:rPr>
              <w:t>adipic</w:t>
            </w:r>
            <w:proofErr w:type="spellEnd"/>
            <w:r w:rsidRPr="00F74586">
              <w:rPr>
                <w:rFonts w:ascii="Calibri" w:hAnsi="Calibri" w:cs="Calibri"/>
                <w:color w:val="000000"/>
                <w:sz w:val="10"/>
                <w:szCs w:val="10"/>
              </w:rPr>
              <w:t xml:space="preserve"> acid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17</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3.02</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2014 - 2016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w:t>
            </w:r>
            <w:proofErr w:type="spellStart"/>
            <w:r w:rsidRPr="00F74586">
              <w:rPr>
                <w:rFonts w:ascii="Calibri" w:hAnsi="Calibri" w:cs="Calibri"/>
                <w:color w:val="000000"/>
                <w:sz w:val="10"/>
                <w:szCs w:val="10"/>
              </w:rPr>
              <w:t>adipic</w:t>
            </w:r>
            <w:proofErr w:type="spellEnd"/>
            <w:r w:rsidRPr="00F74586">
              <w:rPr>
                <w:rFonts w:ascii="Calibri" w:hAnsi="Calibri" w:cs="Calibri"/>
                <w:color w:val="000000"/>
                <w:sz w:val="10"/>
                <w:szCs w:val="10"/>
              </w:rPr>
              <w:t xml:space="preserve"> acid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17</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3.02</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2014 - 2016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w:t>
            </w:r>
            <w:proofErr w:type="spellStart"/>
            <w:r w:rsidRPr="00F74586">
              <w:rPr>
                <w:rFonts w:ascii="Calibri" w:hAnsi="Calibri" w:cs="Calibri"/>
                <w:color w:val="000000"/>
                <w:sz w:val="10"/>
                <w:szCs w:val="10"/>
              </w:rPr>
              <w:t>adipic</w:t>
            </w:r>
            <w:proofErr w:type="spellEnd"/>
            <w:r w:rsidRPr="00F74586">
              <w:rPr>
                <w:rFonts w:ascii="Calibri" w:hAnsi="Calibri" w:cs="Calibri"/>
                <w:color w:val="000000"/>
                <w:sz w:val="10"/>
                <w:szCs w:val="10"/>
              </w:rPr>
              <w:t xml:space="preserve"> acid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18</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 2.1 Midpoint</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2012-2017</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19</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2016</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2017</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3.3</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20</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1999 - 2017</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Ullmann’s Encyclopedia of Industrial Chemistry</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20</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1999 - 2017</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Ullmann’s Encyclopedia of Industrial Chemistry</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21</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2017</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Ullmann’s Encyclopedia of Industrial Chemistry</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21</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2011</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Ullmann’s Encyclopedia of Industrial Chemistry</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21</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Ullmann’s Encyclopedia of Industrial Chemistry</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22</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r w:rsidRPr="00F74586">
              <w:rPr>
                <w:rFonts w:ascii="Calibri" w:hAnsi="Calibri" w:cs="Calibri"/>
                <w:color w:val="000000"/>
                <w:sz w:val="10"/>
                <w:szCs w:val="10"/>
              </w:rPr>
              <w:t xml:space="preserve"> </w:t>
            </w:r>
            <w:proofErr w:type="spellStart"/>
            <w:r w:rsidRPr="00F74586">
              <w:rPr>
                <w:rFonts w:ascii="Calibri" w:hAnsi="Calibri" w:cs="Calibri"/>
                <w:color w:val="000000"/>
                <w:sz w:val="10"/>
                <w:szCs w:val="10"/>
              </w:rPr>
              <w:t>OpenLCA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2010 - 2014</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Succinic acid {GLO}| market for succinic acid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22</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r w:rsidRPr="00F74586">
              <w:rPr>
                <w:rFonts w:ascii="Calibri" w:hAnsi="Calibri" w:cs="Calibri"/>
                <w:color w:val="000000"/>
                <w:sz w:val="10"/>
                <w:szCs w:val="10"/>
              </w:rPr>
              <w:t xml:space="preserve"> </w:t>
            </w:r>
            <w:proofErr w:type="spellStart"/>
            <w:r w:rsidRPr="00F74586">
              <w:rPr>
                <w:rFonts w:ascii="Calibri" w:hAnsi="Calibri" w:cs="Calibri"/>
                <w:color w:val="000000"/>
                <w:sz w:val="10"/>
                <w:szCs w:val="10"/>
              </w:rPr>
              <w:t>OpenLCA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Succinic acid {GLO}| market for succinic acid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23</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2.05</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2009 - 2016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Succinic acid {GLO}| market for succinic acid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24</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24</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24</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2006, 2015</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24</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2006, 2015</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24</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2013, 2016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24</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2013, 2016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25</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2013 -2020</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Global</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26</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2019</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China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China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27</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2009 - 2014</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27</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2009 - 2014</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27</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2009 - 2014</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27</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2018 - 2019</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27</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2018 - 2019</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27</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2018 - 2019</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28</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2015 - 2018</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29</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2016</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1997 - 2018</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29</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2016</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2011 - 2018</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30</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 2.1 Midpoint</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Databases</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31</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 2.1 Midpoint</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Databases</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32</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2016</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Econinvent</w:t>
            </w:r>
            <w:proofErr w:type="spellEnd"/>
            <w:r w:rsidRPr="00F74586">
              <w:rPr>
                <w:rFonts w:ascii="Calibri" w:hAnsi="Calibri" w:cs="Calibri"/>
                <w:color w:val="000000"/>
                <w:sz w:val="10"/>
                <w:szCs w:val="10"/>
              </w:rPr>
              <w:t xml:space="preserve"> 3.5 (Melamine-urea-formaldehyde resin, at plant/US, max: Phenol-resorcinol-formaldehyde resin, at plant/US)</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32</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2016</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2016 - 2019</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Econinvent</w:t>
            </w:r>
            <w:proofErr w:type="spellEnd"/>
            <w:r w:rsidRPr="00F74586">
              <w:rPr>
                <w:rFonts w:ascii="Calibri" w:hAnsi="Calibri" w:cs="Calibri"/>
                <w:color w:val="000000"/>
                <w:sz w:val="10"/>
                <w:szCs w:val="10"/>
              </w:rPr>
              <w:t xml:space="preserve"> 3.5 (Melamine-urea-formaldehyde resin, at plant/US, max: Phenol-resorcinol-formaldehyde resin, at plant/US)</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32</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2016</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2006 - 2013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Econinvent</w:t>
            </w:r>
            <w:proofErr w:type="spellEnd"/>
            <w:r w:rsidRPr="00F74586">
              <w:rPr>
                <w:rFonts w:ascii="Calibri" w:hAnsi="Calibri" w:cs="Calibri"/>
                <w:color w:val="000000"/>
                <w:sz w:val="10"/>
                <w:szCs w:val="10"/>
              </w:rPr>
              <w:t xml:space="preserve"> 3.5 (Melamine-urea-formaldehyde resin, at plant/US, max: Phenol-resorcinol-formaldehyde resin, at plant/US)</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32</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2016</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2007 - 2019</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Econinvent</w:t>
            </w:r>
            <w:proofErr w:type="spellEnd"/>
            <w:r w:rsidRPr="00F74586">
              <w:rPr>
                <w:rFonts w:ascii="Calibri" w:hAnsi="Calibri" w:cs="Calibri"/>
                <w:color w:val="000000"/>
                <w:sz w:val="10"/>
                <w:szCs w:val="10"/>
              </w:rPr>
              <w:t xml:space="preserve"> 3.5 (Melamine-urea-formaldehyde resin, at plant/US, max: Phenol-resorcinol-formaldehyde resin, at plant/US)</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33</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2000</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2011</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33</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2000</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2011</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34</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 2.1 Midpoint</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2009 - 2013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US-EI database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34</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 2.1 Midpoint</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2009 - 2013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US-EI database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2.1 &amp; industrial data</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36</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36</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36</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37</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2018</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3.4</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37</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2018</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3.4</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38</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1997 - 2003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Japan</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Association of Plastic Manufacturers in Europe (APME)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38</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1997 - 2003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Japan</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Association of Plastic Manufacturers in Europe (APME)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39</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 2003</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2001 -2003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DEAM Databases</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39</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 2003</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2001 -2003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DEAM Databases</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40</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2007, 2014</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40</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2007, 2014</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41</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3.3</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42</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2013 - 2016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3.3</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42</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2013 - 2016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3.3</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42</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2013 - 2016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3.3</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43</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2011</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44</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2016</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 2.1 Midpoint</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2012 - 2018</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Database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46</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GREET</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2015 - 2017</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Database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46</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GREET</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2015 - 2017</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Database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46</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GREET</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2015 - 2017</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Database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46</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GREET</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2015 - 2017</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Database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47</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2009 - 2014</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Econinvent</w:t>
            </w:r>
            <w:proofErr w:type="spellEnd"/>
            <w:r w:rsidRPr="00F74586">
              <w:rPr>
                <w:rFonts w:ascii="Calibri" w:hAnsi="Calibri" w:cs="Calibri"/>
                <w:color w:val="000000"/>
                <w:sz w:val="10"/>
                <w:szCs w:val="10"/>
              </w:rPr>
              <w:t xml:space="preserve"> 3.2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48</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2016, 2017</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Japan</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Japan</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Plant data</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48</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2005, 2017</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Japan</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Japan</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Plant data</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48</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2016, 2017</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Japan</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Japan</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Plant data</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49</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2014, 2015</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 Polyethylene, linear low density, granulate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50</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Eco-indicator 99</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2013, 2014</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Plant data</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51</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2016</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2012 - 2017</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 Polycarbonate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52</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2014 - 2017</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53</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2011 - 2014</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54</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2010, 2016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54</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2010, 2016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2007, 2018</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Industrial data</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56</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2004, 2018</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57</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2019</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3.5</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58</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2019</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3.5</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58</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2019</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Industrial data</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59</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2018</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60</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2016</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2020</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3.5</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60</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2016</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2020</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3.5</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61</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EPD method</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61</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EPD method</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62</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GREET</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2016</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62</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GREET</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63</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2014, 2015</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64</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 2.1 Midpoint</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2013 - 2016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Mexico</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 Polyethylene, linear low density, granulate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own calculations</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2002 - 2004</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 Polyethylene, linear low density, granulate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66</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2000</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1990 - 2006</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South-Africa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South-Africa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67</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2016</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2002, 2018</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2008 - 2019</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2008 - 2019</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2008 - 2019</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2008 - 2019</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2008 - 2019</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2008 - 2019</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2008 - 2019</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68</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2008 - 2019</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69</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2001</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2004, 2005</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70</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2002 - 2005</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Database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71</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71</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72</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72</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72</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72</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73</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2010</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2010 - 2015</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73</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2010</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2010 - 2015</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74</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74</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75</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2001</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2001</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76</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2005</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77</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 xml:space="preserve">IMPACT 2000+ </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2010, 2011</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Polyol {RER}| market for polyol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78</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2004 - 2011</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2.1</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79</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2012 - 2014</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79</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2012 - 2014</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80</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2018</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3.4</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81</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2016 - 2019</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Phenol {RER}| production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82</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2016 - 2017</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Own LCA based on literature</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83</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2016 - 2017</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3.3</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83</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2016 - 2017</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Succinic acid {GLO}| market for succinic acid | APOS, U</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84</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AD68AB"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Na</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84</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AD68AB"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Na</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ILCD 2011</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ILCD 2011</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ILCD 2011</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ILCD 2011</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ILCD 2011</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ILCD 2011</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ILCD 2011</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ILCD 2011</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ILCD 2011</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85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ILCD 2011</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ILCD 2011</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F74586"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F74586" w:rsidRPr="00154069" w:rsidRDefault="00F74586" w:rsidP="00F74586">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85</w:t>
            </w:r>
          </w:p>
        </w:tc>
        <w:tc>
          <w:tcPr>
            <w:tcW w:w="94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ILCD 2011</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F74586" w:rsidRPr="00F74586" w:rsidRDefault="00F74586" w:rsidP="00F74586">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F74586" w:rsidRPr="00F74586" w:rsidRDefault="00F74586" w:rsidP="00F7458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86</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Na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86</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Na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w:t>
            </w:r>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86</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Na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86</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Na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2010</w:t>
            </w:r>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87</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Na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roofErr w:type="spellStart"/>
            <w:r w:rsidRPr="00F74586">
              <w:rPr>
                <w:rFonts w:ascii="Calibri" w:hAnsi="Calibri" w:cs="Calibri"/>
                <w:color w:val="000000"/>
                <w:sz w:val="10"/>
                <w:szCs w:val="10"/>
              </w:rPr>
              <w:t>Ecoinvent</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87</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Na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NREL/literature</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87</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Na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NREL/</w:t>
            </w:r>
            <w:proofErr w:type="spellStart"/>
            <w:r w:rsidRPr="00F74586">
              <w:rPr>
                <w:rFonts w:ascii="Calibri" w:hAnsi="Calibri" w:cs="Calibri"/>
                <w:color w:val="000000"/>
                <w:sz w:val="10"/>
                <w:szCs w:val="10"/>
              </w:rPr>
              <w:t>Ecoinvent</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87</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Na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China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NREL</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87</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Pr>
                <w:rFonts w:ascii="Calibri" w:hAnsi="Calibri" w:cs="Calibri"/>
                <w:color w:val="000000"/>
                <w:sz w:val="10"/>
                <w:szCs w:val="10"/>
              </w:rPr>
              <w:t>Na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NREL/literature</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87</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NREL</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88</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v2.0</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89</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 2.1</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v3.1/NREL</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90</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South-Africa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South-Africa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91</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2011</w:t>
            </w:r>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/US LCI database</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91</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2011</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/US LCI database</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92</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5D4A62"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5D4A62">
              <w:rPr>
                <w:rFonts w:ascii="Calibri" w:hAnsi="Calibri" w:cs="Calibri"/>
                <w:color w:val="000000"/>
                <w:sz w:val="10"/>
                <w:szCs w:val="10"/>
              </w:rPr>
              <w:t>eco-indicator 99</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92</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5D4A62"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5D4A62">
              <w:rPr>
                <w:rFonts w:ascii="Calibri" w:hAnsi="Calibri" w:cs="Calibri"/>
                <w:color w:val="000000"/>
                <w:sz w:val="10"/>
                <w:szCs w:val="10"/>
              </w:rPr>
              <w:t>eco-indicator 99</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92</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5D4A62"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5D4A62">
              <w:rPr>
                <w:rFonts w:ascii="Calibri" w:hAnsi="Calibri" w:cs="Calibri"/>
                <w:color w:val="000000"/>
                <w:sz w:val="10"/>
                <w:szCs w:val="10"/>
              </w:rPr>
              <w:t>eco-indicator 99</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92</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5D4A62"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5D4A62">
              <w:rPr>
                <w:rFonts w:ascii="Calibri" w:hAnsi="Calibri" w:cs="Calibri"/>
                <w:color w:val="000000"/>
                <w:sz w:val="10"/>
                <w:szCs w:val="10"/>
              </w:rPr>
              <w:t>eco-indicator 99</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92</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5D4A62"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5D4A62">
              <w:rPr>
                <w:rFonts w:ascii="Calibri" w:hAnsi="Calibri" w:cs="Calibri"/>
                <w:color w:val="000000"/>
                <w:sz w:val="10"/>
                <w:szCs w:val="10"/>
              </w:rPr>
              <w:t>eco-indicator 99</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92</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5D4A62"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5D4A62">
              <w:rPr>
                <w:rFonts w:ascii="Calibri" w:hAnsi="Calibri" w:cs="Calibri"/>
                <w:color w:val="000000"/>
                <w:sz w:val="10"/>
                <w:szCs w:val="10"/>
              </w:rPr>
              <w:t>eco-indicator 99</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2015</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v2.2</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93</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20a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v3.1</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93</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20a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v3.1</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93</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20a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Brazil</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v3.1</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93</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20a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v3.1</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93</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20a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v3.1</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93</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20a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2013</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v3.1</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94</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94</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v3.7 (</w:t>
            </w:r>
            <w:proofErr w:type="spellStart"/>
            <w:r w:rsidRPr="00F74586">
              <w:rPr>
                <w:rFonts w:ascii="Calibri" w:hAnsi="Calibri" w:cs="Calibri"/>
                <w:color w:val="000000"/>
                <w:sz w:val="10"/>
                <w:szCs w:val="10"/>
              </w:rPr>
              <w:t>proponic</w:t>
            </w:r>
            <w:proofErr w:type="spellEnd"/>
            <w:r w:rsidRPr="00F74586">
              <w:rPr>
                <w:rFonts w:ascii="Calibri" w:hAnsi="Calibri" w:cs="Calibri"/>
                <w:color w:val="000000"/>
                <w:sz w:val="10"/>
                <w:szCs w:val="10"/>
              </w:rPr>
              <w:t xml:space="preserve"> acid {GLO}| market for | APOS, U)</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94</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Urban_&amp;_</w:t>
            </w:r>
            <w:proofErr w:type="spellStart"/>
            <w:r w:rsidRPr="00F74586">
              <w:rPr>
                <w:rFonts w:ascii="Calibri" w:hAnsi="Calibri" w:cs="Calibri"/>
                <w:color w:val="000000"/>
                <w:sz w:val="10"/>
                <w:szCs w:val="10"/>
              </w:rPr>
              <w:t>Bakshi</w:t>
            </w:r>
            <w:proofErr w:type="spellEnd"/>
            <w:r w:rsidRPr="00F74586">
              <w:rPr>
                <w:rFonts w:ascii="Calibri" w:hAnsi="Calibri" w:cs="Calibri"/>
                <w:color w:val="000000"/>
                <w:sz w:val="10"/>
                <w:szCs w:val="10"/>
              </w:rPr>
              <w:t xml:space="preserve"> (2009)</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2006-2016</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95</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2006-2015</w:t>
            </w:r>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2006-2020</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2006-2019</w:t>
            </w:r>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2006-2018</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2006-2014</w:t>
            </w:r>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95</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2006-2017</w:t>
            </w:r>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3.7 (lactic acid {GLO}| market for | APOS, U)</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96</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97</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98</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99</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100</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 NREL</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100</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 NREL</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101</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IMPACT 2002+ v2.1</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2.0</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101</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IMPACT 2002+ v2.1</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2.0</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101</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IMPACT 2002+ v2.1</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2.0</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102</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2.2</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102</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 2</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2.2</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103</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104</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CML2001</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2.0</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104</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CML2001</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2.0</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105</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Eco-indicator 99</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Southeast Asia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Literature</w:t>
            </w:r>
          </w:p>
        </w:tc>
      </w:tr>
      <w:tr w:rsidR="00AD68AB" w:rsidRPr="00154069" w:rsidTr="00650DF4">
        <w:trPr>
          <w:trHeight w:val="29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106</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Japan</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Japan</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r>
      <w:tr w:rsidR="00AD68AB" w:rsidRPr="00154069" w:rsidTr="00650DF4">
        <w:trPr>
          <w:trHeight w:val="29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107</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107</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107</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IPCC GWP 100a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108</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CML2001</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108</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CML2001</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109</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v1.08</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109</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v1.08</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109</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v1.08</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109</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v1.08</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109</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v1.08</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109</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v1.08</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lastRenderedPageBreak/>
              <w:t>110</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110</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111</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2008</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111</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2008</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111</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2008</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111</w:t>
            </w:r>
          </w:p>
        </w:tc>
        <w:tc>
          <w:tcPr>
            <w:tcW w:w="94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ReCiPe</w:t>
            </w:r>
            <w:proofErr w:type="spellEnd"/>
            <w:r w:rsidRPr="00F74586">
              <w:rPr>
                <w:rFonts w:ascii="Calibri" w:hAnsi="Calibri" w:cs="Calibri"/>
                <w:color w:val="000000"/>
                <w:sz w:val="10"/>
                <w:szCs w:val="10"/>
              </w:rPr>
              <w:t xml:space="preserve"> 2008</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8"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Europe</w:t>
            </w:r>
          </w:p>
        </w:tc>
        <w:tc>
          <w:tcPr>
            <w:tcW w:w="70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Ecoinvent</w:t>
            </w:r>
            <w:proofErr w:type="spellEnd"/>
            <w:r w:rsidRPr="00F74586">
              <w:rPr>
                <w:rFonts w:ascii="Calibri" w:hAnsi="Calibri" w:cs="Calibri"/>
                <w:color w:val="000000"/>
                <w:sz w:val="10"/>
                <w:szCs w:val="10"/>
              </w:rPr>
              <w:t xml:space="preserve"> v3</w:t>
            </w:r>
          </w:p>
        </w:tc>
      </w:tr>
      <w:tr w:rsidR="00AD68AB" w:rsidRPr="00154069" w:rsidTr="00650DF4">
        <w:trPr>
          <w:trHeight w:val="260"/>
        </w:trPr>
        <w:tc>
          <w:tcPr>
            <w:cnfStyle w:val="001000000000" w:firstRow="0" w:lastRow="0" w:firstColumn="1" w:lastColumn="0" w:oddVBand="0" w:evenVBand="0" w:oddHBand="0" w:evenHBand="0" w:firstRowFirstColumn="0" w:firstRowLastColumn="0" w:lastRowFirstColumn="0" w:lastRowLastColumn="0"/>
            <w:tcW w:w="421" w:type="dxa"/>
            <w:shd w:val="clear" w:color="auto" w:fill="F2F2F2" w:themeFill="background1" w:themeFillShade="F2"/>
            <w:noWrap/>
          </w:tcPr>
          <w:p w:rsidR="00AD68AB" w:rsidRPr="00154069" w:rsidRDefault="00AD68AB" w:rsidP="00AD68AB">
            <w:pPr>
              <w:jc w:val="center"/>
              <w:rPr>
                <w:rFonts w:ascii="Calibri" w:eastAsia="Times New Roman" w:hAnsi="Calibri" w:cs="Calibri"/>
                <w:b w:val="0"/>
                <w:bCs w:val="0"/>
                <w:sz w:val="10"/>
                <w:szCs w:val="16"/>
              </w:rPr>
            </w:pPr>
            <w:r w:rsidRPr="00154069">
              <w:rPr>
                <w:rFonts w:ascii="Calibri" w:eastAsia="Times New Roman" w:hAnsi="Calibri" w:cs="Calibri"/>
                <w:sz w:val="10"/>
                <w:szCs w:val="16"/>
              </w:rPr>
              <w:t>112</w:t>
            </w:r>
          </w:p>
        </w:tc>
        <w:tc>
          <w:tcPr>
            <w:tcW w:w="94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68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92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No</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TRACI</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na</w:t>
            </w:r>
            <w:proofErr w:type="spellEnd"/>
          </w:p>
        </w:tc>
        <w:tc>
          <w:tcPr>
            <w:tcW w:w="851"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8"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USA</w:t>
            </w:r>
          </w:p>
        </w:tc>
        <w:tc>
          <w:tcPr>
            <w:tcW w:w="70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r w:rsidRPr="00F74586">
              <w:rPr>
                <w:rFonts w:ascii="Calibri" w:hAnsi="Calibri" w:cs="Calibri"/>
                <w:color w:val="000000"/>
                <w:sz w:val="10"/>
                <w:szCs w:val="10"/>
              </w:rPr>
              <w:t>Yes</w:t>
            </w:r>
          </w:p>
        </w:tc>
        <w:tc>
          <w:tcPr>
            <w:tcW w:w="3119" w:type="dxa"/>
            <w:shd w:val="clear" w:color="auto" w:fill="F2F2F2" w:themeFill="background1" w:themeFillShade="F2"/>
            <w:noWrap/>
            <w:vAlign w:val="bottom"/>
          </w:tcPr>
          <w:p w:rsidR="00AD68AB" w:rsidRPr="00F74586" w:rsidRDefault="00AD68AB" w:rsidP="00AD68A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0"/>
                <w:szCs w:val="10"/>
              </w:rPr>
            </w:pPr>
            <w:proofErr w:type="spellStart"/>
            <w:r w:rsidRPr="00F74586">
              <w:rPr>
                <w:rFonts w:ascii="Calibri" w:hAnsi="Calibri" w:cs="Calibri"/>
                <w:color w:val="000000"/>
                <w:sz w:val="10"/>
                <w:szCs w:val="10"/>
              </w:rPr>
              <w:t>PlasticsEurope</w:t>
            </w:r>
            <w:proofErr w:type="spellEnd"/>
          </w:p>
        </w:tc>
      </w:tr>
    </w:tbl>
    <w:p w:rsidR="0009124B" w:rsidRDefault="00EB3E17">
      <w:pPr>
        <w:rPr>
          <w:rFonts w:cstheme="minorHAnsi"/>
          <w:lang w:val="it-IT"/>
        </w:rPr>
        <w:sectPr w:rsidR="0009124B" w:rsidSect="004F5BDD">
          <w:type w:val="continuous"/>
          <w:pgSz w:w="15840" w:h="12240" w:orient="landscape"/>
          <w:pgMar w:top="1440" w:right="1440" w:bottom="1440" w:left="1440" w:header="708" w:footer="708" w:gutter="0"/>
          <w:cols w:space="708"/>
          <w:docGrid w:linePitch="360"/>
        </w:sectPr>
      </w:pPr>
      <w:r>
        <w:rPr>
          <w:rFonts w:cstheme="minorHAnsi"/>
          <w:lang w:val="it-IT"/>
        </w:rPr>
        <w:br w:type="page"/>
      </w:r>
      <w:bookmarkStart w:id="31" w:name="_GoBack"/>
      <w:bookmarkEnd w:id="31"/>
    </w:p>
    <w:p w:rsidR="0009124B" w:rsidRDefault="00EB3E17">
      <w:pPr>
        <w:pStyle w:val="msonormal0"/>
        <w:keepNext/>
      </w:pPr>
      <w:bookmarkStart w:id="32" w:name="_Toc96078441"/>
      <w:r>
        <w:rPr>
          <w:rStyle w:val="Heading2Char"/>
          <w:rFonts w:asciiTheme="minorHAnsi" w:hAnsiTheme="minorHAnsi" w:cstheme="minorHAnsi"/>
          <w:b/>
          <w:color w:val="auto"/>
          <w:sz w:val="18"/>
        </w:rPr>
        <w:lastRenderedPageBreak/>
        <w:t>Table S.</w:t>
      </w:r>
      <w:r w:rsidR="000D0811">
        <w:rPr>
          <w:rStyle w:val="Heading2Char"/>
          <w:rFonts w:asciiTheme="minorHAnsi" w:hAnsiTheme="minorHAnsi" w:cstheme="minorHAnsi"/>
          <w:b/>
          <w:color w:val="auto"/>
          <w:sz w:val="18"/>
        </w:rPr>
        <w:t>10</w:t>
      </w:r>
      <w:bookmarkEnd w:id="32"/>
      <w:r>
        <w:t xml:space="preserve">:  </w:t>
      </w:r>
      <w:r w:rsidRPr="009D547E">
        <w:rPr>
          <w:rFonts w:asciiTheme="minorHAnsi" w:hAnsiTheme="minorHAnsi" w:cstheme="minorHAnsi"/>
          <w:i/>
          <w:sz w:val="18"/>
        </w:rPr>
        <w:t xml:space="preserve">Response ratios (RR) of the other impact categories, including Ozone Depletion; Photochemical Ozone Formation; Fine Particulate Matter Formation; Human Toxicity; Freshwater </w:t>
      </w:r>
      <w:proofErr w:type="spellStart"/>
      <w:r w:rsidRPr="009D547E">
        <w:rPr>
          <w:rFonts w:asciiTheme="minorHAnsi" w:hAnsiTheme="minorHAnsi" w:cstheme="minorHAnsi"/>
          <w:i/>
          <w:sz w:val="18"/>
        </w:rPr>
        <w:t>Ecotoxcity</w:t>
      </w:r>
      <w:proofErr w:type="spellEnd"/>
      <w:r w:rsidRPr="009D547E">
        <w:rPr>
          <w:rFonts w:asciiTheme="minorHAnsi" w:hAnsiTheme="minorHAnsi" w:cstheme="minorHAnsi"/>
          <w:i/>
          <w:sz w:val="18"/>
        </w:rPr>
        <w:t xml:space="preserve">; Marine Aquatic </w:t>
      </w:r>
      <w:proofErr w:type="spellStart"/>
      <w:r w:rsidRPr="009D547E">
        <w:rPr>
          <w:rFonts w:asciiTheme="minorHAnsi" w:hAnsiTheme="minorHAnsi" w:cstheme="minorHAnsi"/>
          <w:i/>
          <w:sz w:val="18"/>
        </w:rPr>
        <w:t>Ecotoxicity</w:t>
      </w:r>
      <w:proofErr w:type="spellEnd"/>
      <w:r w:rsidRPr="009D547E">
        <w:rPr>
          <w:rFonts w:asciiTheme="minorHAnsi" w:hAnsiTheme="minorHAnsi" w:cstheme="minorHAnsi"/>
          <w:i/>
          <w:sz w:val="18"/>
        </w:rPr>
        <w:t xml:space="preserve">; </w:t>
      </w:r>
      <w:proofErr w:type="spellStart"/>
      <w:r w:rsidRPr="009D547E">
        <w:rPr>
          <w:rFonts w:asciiTheme="minorHAnsi" w:hAnsiTheme="minorHAnsi" w:cstheme="minorHAnsi"/>
          <w:i/>
          <w:sz w:val="18"/>
        </w:rPr>
        <w:t>Terrestial</w:t>
      </w:r>
      <w:proofErr w:type="spellEnd"/>
      <w:r w:rsidRPr="009D547E">
        <w:rPr>
          <w:rFonts w:asciiTheme="minorHAnsi" w:hAnsiTheme="minorHAnsi" w:cstheme="minorHAnsi"/>
          <w:i/>
          <w:sz w:val="18"/>
        </w:rPr>
        <w:t xml:space="preserve"> </w:t>
      </w:r>
      <w:proofErr w:type="spellStart"/>
      <w:r w:rsidRPr="009D547E">
        <w:rPr>
          <w:rFonts w:asciiTheme="minorHAnsi" w:hAnsiTheme="minorHAnsi" w:cstheme="minorHAnsi"/>
          <w:i/>
          <w:sz w:val="18"/>
        </w:rPr>
        <w:t>Ecotoxciity</w:t>
      </w:r>
      <w:proofErr w:type="spellEnd"/>
      <w:r w:rsidRPr="009D547E">
        <w:rPr>
          <w:rFonts w:asciiTheme="minorHAnsi" w:hAnsiTheme="minorHAnsi" w:cstheme="minorHAnsi"/>
          <w:i/>
          <w:sz w:val="18"/>
        </w:rPr>
        <w:t>; Land Use; Water Scarcity; Depletion of Abiotic Resources.</w:t>
      </w:r>
    </w:p>
    <w:tbl>
      <w:tblPr>
        <w:tblStyle w:val="PlainTable21"/>
        <w:tblW w:w="10119" w:type="dxa"/>
        <w:jc w:val="center"/>
        <w:tblLayout w:type="fixed"/>
        <w:tblLook w:val="04A0" w:firstRow="1" w:lastRow="0" w:firstColumn="1" w:lastColumn="0" w:noHBand="0" w:noVBand="1"/>
      </w:tblPr>
      <w:tblGrid>
        <w:gridCol w:w="1011"/>
        <w:gridCol w:w="1012"/>
        <w:gridCol w:w="1012"/>
        <w:gridCol w:w="1012"/>
        <w:gridCol w:w="1012"/>
        <w:gridCol w:w="1012"/>
        <w:gridCol w:w="1012"/>
        <w:gridCol w:w="1012"/>
        <w:gridCol w:w="1012"/>
        <w:gridCol w:w="1012"/>
      </w:tblGrid>
      <w:tr w:rsidR="0009124B" w:rsidTr="0009124B">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center"/>
              <w:rPr>
                <w:rFonts w:eastAsia="Times New Roman" w:cstheme="minorHAnsi"/>
                <w:b w:val="0"/>
                <w:bCs w:val="0"/>
                <w:sz w:val="16"/>
                <w:szCs w:val="16"/>
              </w:rPr>
            </w:pPr>
            <w:r>
              <w:rPr>
                <w:rFonts w:eastAsia="Times New Roman" w:cstheme="minorHAnsi"/>
                <w:sz w:val="16"/>
                <w:szCs w:val="16"/>
              </w:rPr>
              <w:t>RR Ozone Depletion</w:t>
            </w:r>
          </w:p>
        </w:tc>
        <w:tc>
          <w:tcPr>
            <w:tcW w:w="1012" w:type="dxa"/>
            <w:noWrap/>
          </w:tcPr>
          <w:p w:rsidR="0009124B" w:rsidRDefault="00EB3E1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rPr>
            </w:pPr>
            <w:r>
              <w:rPr>
                <w:rFonts w:eastAsia="Times New Roman" w:cstheme="minorHAnsi"/>
                <w:sz w:val="16"/>
                <w:szCs w:val="16"/>
              </w:rPr>
              <w:t>RR Photochemical Ozone Formation</w:t>
            </w:r>
          </w:p>
        </w:tc>
        <w:tc>
          <w:tcPr>
            <w:tcW w:w="1012" w:type="dxa"/>
            <w:noWrap/>
          </w:tcPr>
          <w:p w:rsidR="0009124B" w:rsidRDefault="00EB3E1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rPr>
            </w:pPr>
            <w:r>
              <w:rPr>
                <w:rFonts w:eastAsia="Times New Roman" w:cstheme="minorHAnsi"/>
                <w:sz w:val="16"/>
                <w:szCs w:val="16"/>
              </w:rPr>
              <w:t>RR Fine Particulate Matter Formation</w:t>
            </w:r>
          </w:p>
        </w:tc>
        <w:tc>
          <w:tcPr>
            <w:tcW w:w="1012" w:type="dxa"/>
            <w:noWrap/>
          </w:tcPr>
          <w:p w:rsidR="0009124B" w:rsidRDefault="00EB3E1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rPr>
            </w:pPr>
            <w:r>
              <w:rPr>
                <w:rFonts w:eastAsia="Times New Roman" w:cstheme="minorHAnsi"/>
                <w:sz w:val="16"/>
                <w:szCs w:val="16"/>
              </w:rPr>
              <w:t>RR Human Toxicity</w:t>
            </w:r>
          </w:p>
        </w:tc>
        <w:tc>
          <w:tcPr>
            <w:tcW w:w="1012" w:type="dxa"/>
            <w:noWrap/>
          </w:tcPr>
          <w:p w:rsidR="0009124B" w:rsidRDefault="00EB3E1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rPr>
            </w:pPr>
            <w:r>
              <w:rPr>
                <w:rFonts w:eastAsia="Times New Roman" w:cstheme="minorHAnsi"/>
                <w:sz w:val="16"/>
                <w:szCs w:val="16"/>
              </w:rPr>
              <w:t xml:space="preserve">RR Freshwater </w:t>
            </w:r>
            <w:proofErr w:type="spellStart"/>
            <w:r>
              <w:rPr>
                <w:rFonts w:eastAsia="Times New Roman" w:cstheme="minorHAnsi"/>
                <w:sz w:val="16"/>
                <w:szCs w:val="16"/>
              </w:rPr>
              <w:t>Ecotoxicty</w:t>
            </w:r>
            <w:proofErr w:type="spellEnd"/>
          </w:p>
        </w:tc>
        <w:tc>
          <w:tcPr>
            <w:tcW w:w="1012" w:type="dxa"/>
            <w:noWrap/>
          </w:tcPr>
          <w:p w:rsidR="0009124B" w:rsidRDefault="00EB3E1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rPr>
            </w:pPr>
            <w:r>
              <w:rPr>
                <w:rFonts w:eastAsia="Times New Roman" w:cstheme="minorHAnsi"/>
                <w:sz w:val="16"/>
                <w:szCs w:val="16"/>
              </w:rPr>
              <w:t xml:space="preserve">RR Marine Aquatic </w:t>
            </w:r>
            <w:proofErr w:type="spellStart"/>
            <w:r>
              <w:rPr>
                <w:rFonts w:eastAsia="Times New Roman" w:cstheme="minorHAnsi"/>
                <w:sz w:val="16"/>
                <w:szCs w:val="16"/>
              </w:rPr>
              <w:t>Ecotoxicty</w:t>
            </w:r>
            <w:proofErr w:type="spellEnd"/>
          </w:p>
        </w:tc>
        <w:tc>
          <w:tcPr>
            <w:tcW w:w="1012" w:type="dxa"/>
            <w:noWrap/>
          </w:tcPr>
          <w:p w:rsidR="0009124B" w:rsidRDefault="00EB3E1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rPr>
            </w:pPr>
            <w:r>
              <w:rPr>
                <w:rFonts w:eastAsia="Times New Roman" w:cstheme="minorHAnsi"/>
                <w:sz w:val="16"/>
                <w:szCs w:val="16"/>
              </w:rPr>
              <w:t xml:space="preserve">RR </w:t>
            </w:r>
            <w:proofErr w:type="spellStart"/>
            <w:r>
              <w:rPr>
                <w:rFonts w:eastAsia="Times New Roman" w:cstheme="minorHAnsi"/>
                <w:sz w:val="16"/>
                <w:szCs w:val="16"/>
              </w:rPr>
              <w:t>Terrestial</w:t>
            </w:r>
            <w:proofErr w:type="spellEnd"/>
            <w:r>
              <w:rPr>
                <w:rFonts w:eastAsia="Times New Roman" w:cstheme="minorHAnsi"/>
                <w:sz w:val="16"/>
                <w:szCs w:val="16"/>
              </w:rPr>
              <w:t xml:space="preserve"> </w:t>
            </w:r>
            <w:proofErr w:type="spellStart"/>
            <w:r>
              <w:rPr>
                <w:rFonts w:eastAsia="Times New Roman" w:cstheme="minorHAnsi"/>
                <w:sz w:val="16"/>
                <w:szCs w:val="16"/>
              </w:rPr>
              <w:t>Ecotoxicty</w:t>
            </w:r>
            <w:proofErr w:type="spellEnd"/>
          </w:p>
        </w:tc>
        <w:tc>
          <w:tcPr>
            <w:tcW w:w="1012" w:type="dxa"/>
            <w:noWrap/>
          </w:tcPr>
          <w:p w:rsidR="0009124B" w:rsidRDefault="00EB3E1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rPr>
            </w:pPr>
            <w:r>
              <w:rPr>
                <w:rFonts w:eastAsia="Times New Roman" w:cstheme="minorHAnsi"/>
                <w:sz w:val="16"/>
                <w:szCs w:val="16"/>
              </w:rPr>
              <w:t>RR Land Use</w:t>
            </w:r>
          </w:p>
        </w:tc>
        <w:tc>
          <w:tcPr>
            <w:tcW w:w="1012" w:type="dxa"/>
            <w:noWrap/>
          </w:tcPr>
          <w:p w:rsidR="0009124B" w:rsidRDefault="00EB3E1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rPr>
            </w:pPr>
            <w:r>
              <w:rPr>
                <w:rFonts w:eastAsia="Times New Roman" w:cstheme="minorHAnsi"/>
                <w:sz w:val="16"/>
                <w:szCs w:val="16"/>
              </w:rPr>
              <w:t>RR Water Scarcity</w:t>
            </w:r>
          </w:p>
        </w:tc>
        <w:tc>
          <w:tcPr>
            <w:tcW w:w="1012" w:type="dxa"/>
            <w:noWrap/>
          </w:tcPr>
          <w:p w:rsidR="0009124B" w:rsidRDefault="00EB3E1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rPr>
            </w:pPr>
            <w:r>
              <w:rPr>
                <w:rFonts w:eastAsia="Times New Roman" w:cstheme="minorHAnsi"/>
                <w:sz w:val="16"/>
                <w:szCs w:val="16"/>
              </w:rPr>
              <w:t>RR Depletion of Abiotic Resources</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-1.89712</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-0.40547</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0.589963</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-0.55354</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-1.60944</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-1.64866</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-1.79176</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4.171534</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1.578666</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9.454537</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-1.89712</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-0.09531</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0.36346</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-1.15924</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-1.94591</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-1.44238</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-1.89712</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2.063105</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2.041894</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-1.28093</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-1.38629</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-0.40547</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-3.44129</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-1.04145</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-1.94591</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-1.4816</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-1.89712</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6.294419</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0.921303</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-1.28093</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-6.34116</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2.289513</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0.723178</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-0.06062</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-1.07044</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-0.60614</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-1.38629</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9.69118</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0.135887</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-0.11778</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-6.21583</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-2.12493</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-4.48211</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-5.31909</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-6.24662</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-5.76407</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-0.12045</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-0.01036</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-7.34307</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-2.28317</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-5.85024</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-4.33551</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-5.21411</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-6.19427</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-5.70912</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-7.51635</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-0.65678</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-6.14965</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-0.47957</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-1.31593</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-2.20355</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-1.72988</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-3.18395</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-1.81529</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2.673917</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2.70805</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2.662588</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1.988928</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4.382027</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5.214936</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-3.71241</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1.942582</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2.484907</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1.791759</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1.072637</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3.850148</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3.178054</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-5.37064</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0.953838</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3.028522</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3.028522</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2.628007</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4.543295</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5.928258</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3.32751</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-2.87313</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0.341891</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0.494381</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0.411769</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0.174135</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-0.10681</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0.388223</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0.488847</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-0.39465</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6.746487</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5.488197</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6.907755</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-0.11231</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3.026191</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4.350851</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-1.10598</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7.094794</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6.483625</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7.513891</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-0.47629</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1.224382</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0.044717</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-2.69464</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0.521637</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-2.69724</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-2.00409</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-1.94061</w:t>
            </w: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-1.34373</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-0.79851</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-0.57042</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-0.16376</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-0.22677</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-0.38394</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-1.4929</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-0.40547</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1.496323</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-0.50704</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0.047628</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-4.3305</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-0.25783</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-0.21233</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-2.34733</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2.933697</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-0.88986</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-1.3225</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-0.74924</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-1.9521</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-3.19386</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-0.4097</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-0.21963</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-1.25804</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-0.21233</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-0.73584</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-2.54297</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-1.80586</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-3.38684</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-0.69315</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-0.37098</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-0.3902</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-3.11066</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0.156141</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-0.40547</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-1.50538</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-1.61498</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-1.44836</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-0.59006</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3.158251</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-2.12026</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0.056353</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-2.13425</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0.728738</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3.973432</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0.172613</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3.957634</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0.19671</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-0.05349</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0.106768</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2.079442</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0.789774</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-0.70678</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0.747955</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0.976915</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0.309188</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0.67475</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0.214657</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3.273364</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0.24818</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0.566492</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0.806224</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-1.67909</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lastRenderedPageBreak/>
              <w:t>0.362293</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1.275069</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-0.82668</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1.332227</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5.182516</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1.486378</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-4.31096</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1.098612</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1.185624</w:t>
            </w:r>
          </w:p>
        </w:tc>
        <w:tc>
          <w:tcPr>
            <w:tcW w:w="1012" w:type="dxa"/>
            <w:tcBorders>
              <w:top w:val="single" w:sz="4" w:space="0" w:color="7F7F7F" w:themeColor="text1" w:themeTint="80"/>
              <w:bottom w:val="single" w:sz="4" w:space="0" w:color="7F7F7F" w:themeColor="text1" w:themeTint="80"/>
            </w:tcBorders>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1.289668</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1.157453</w:t>
            </w:r>
          </w:p>
        </w:tc>
        <w:tc>
          <w:tcPr>
            <w:tcW w:w="1012" w:type="dxa"/>
            <w:noWrap/>
          </w:tcPr>
          <w:p w:rsidR="0009124B" w:rsidRDefault="00EB3E17">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1.025853</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1.363305</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1.493925</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tcBorders>
              <w:top w:val="single" w:sz="4" w:space="0" w:color="7F7F7F" w:themeColor="text1" w:themeTint="80"/>
              <w:bottom w:val="single" w:sz="4" w:space="0" w:color="7F7F7F" w:themeColor="text1" w:themeTint="80"/>
            </w:tcBorders>
            <w:noWrap/>
          </w:tcPr>
          <w:p w:rsidR="0009124B" w:rsidRDefault="00EB3E17">
            <w:pPr>
              <w:jc w:val="right"/>
              <w:rPr>
                <w:rFonts w:eastAsia="Times New Roman" w:cstheme="minorHAnsi"/>
                <w:bCs w:val="0"/>
                <w:sz w:val="16"/>
                <w:szCs w:val="16"/>
              </w:rPr>
            </w:pPr>
            <w:r>
              <w:rPr>
                <w:rFonts w:eastAsia="Times New Roman" w:cstheme="minorHAnsi"/>
                <w:b w:val="0"/>
                <w:sz w:val="16"/>
                <w:szCs w:val="16"/>
              </w:rPr>
              <w:t>1.627456</w:t>
            </w:r>
          </w:p>
        </w:tc>
        <w:tc>
          <w:tcPr>
            <w:tcW w:w="1012" w:type="dxa"/>
            <w:tcBorders>
              <w:top w:val="single" w:sz="4" w:space="0" w:color="7F7F7F" w:themeColor="text1" w:themeTint="80"/>
              <w:bottom w:val="single" w:sz="4" w:space="0" w:color="7F7F7F" w:themeColor="text1" w:themeTint="80"/>
            </w:tcBorders>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tcBorders>
              <w:top w:val="single" w:sz="4" w:space="0" w:color="7F7F7F" w:themeColor="text1" w:themeTint="80"/>
              <w:bottom w:val="single" w:sz="4" w:space="0" w:color="7F7F7F" w:themeColor="text1" w:themeTint="80"/>
            </w:tcBorders>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r w:rsidR="0009124B" w:rsidTr="0009124B">
        <w:trPr>
          <w:trHeight w:val="290"/>
          <w:jc w:val="center"/>
        </w:trPr>
        <w:tc>
          <w:tcPr>
            <w:cnfStyle w:val="001000000000" w:firstRow="0" w:lastRow="0" w:firstColumn="1" w:lastColumn="0" w:oddVBand="0" w:evenVBand="0" w:oddHBand="0" w:evenHBand="0" w:firstRowFirstColumn="0" w:firstRowLastColumn="0" w:lastRowFirstColumn="0" w:lastRowLastColumn="0"/>
            <w:tcW w:w="1011" w:type="dxa"/>
            <w:noWrap/>
          </w:tcPr>
          <w:p w:rsidR="0009124B" w:rsidRDefault="00EB3E17">
            <w:pPr>
              <w:jc w:val="right"/>
              <w:rPr>
                <w:rFonts w:eastAsia="Times New Roman" w:cstheme="minorHAnsi"/>
                <w:bCs w:val="0"/>
                <w:sz w:val="16"/>
                <w:szCs w:val="16"/>
              </w:rPr>
            </w:pPr>
            <w:r>
              <w:rPr>
                <w:rFonts w:eastAsia="Times New Roman" w:cstheme="minorHAnsi"/>
                <w:b w:val="0"/>
                <w:sz w:val="16"/>
                <w:szCs w:val="16"/>
              </w:rPr>
              <w:t>2.090741</w:t>
            </w:r>
          </w:p>
        </w:tc>
        <w:tc>
          <w:tcPr>
            <w:tcW w:w="1012" w:type="dxa"/>
            <w:noWrap/>
          </w:tcPr>
          <w:p w:rsidR="0009124B" w:rsidRDefault="0009124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1012" w:type="dxa"/>
            <w:noWrap/>
          </w:tcPr>
          <w:p w:rsidR="0009124B" w:rsidRDefault="0009124B">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r>
    </w:tbl>
    <w:p w:rsidR="0009124B" w:rsidRDefault="0009124B">
      <w:pPr>
        <w:tabs>
          <w:tab w:val="left" w:pos="1003"/>
        </w:tabs>
        <w:rPr>
          <w:rFonts w:cstheme="minorHAnsi"/>
          <w:lang w:val="it-IT"/>
        </w:rPr>
        <w:sectPr w:rsidR="0009124B" w:rsidSect="004F5BDD">
          <w:type w:val="continuous"/>
          <w:pgSz w:w="12240" w:h="15840"/>
          <w:pgMar w:top="1440" w:right="1440" w:bottom="1440" w:left="1440" w:header="708" w:footer="708" w:gutter="0"/>
          <w:cols w:space="708"/>
          <w:docGrid w:linePitch="360"/>
        </w:sectPr>
      </w:pPr>
    </w:p>
    <w:p w:rsidR="0009124B" w:rsidRDefault="00EB3E17">
      <w:pPr>
        <w:pStyle w:val="Heading1"/>
        <w:rPr>
          <w:rFonts w:asciiTheme="minorHAnsi" w:hAnsiTheme="minorHAnsi" w:cstheme="minorHAnsi"/>
          <w:b/>
          <w:color w:val="auto"/>
          <w:sz w:val="22"/>
        </w:rPr>
      </w:pPr>
      <w:bookmarkStart w:id="33" w:name="_Toc96078442"/>
      <w:r>
        <w:rPr>
          <w:rFonts w:asciiTheme="minorHAnsi" w:hAnsiTheme="minorHAnsi" w:cstheme="minorHAnsi"/>
          <w:b/>
          <w:color w:val="auto"/>
          <w:sz w:val="22"/>
        </w:rPr>
        <w:lastRenderedPageBreak/>
        <w:t>Data References</w:t>
      </w:r>
      <w:bookmarkEnd w:id="33"/>
    </w:p>
    <w:p w:rsidR="0009124B" w:rsidRDefault="0009124B"/>
    <w:p w:rsidR="0009124B" w:rsidRDefault="00EB3E17">
      <w:pPr>
        <w:widowControl w:val="0"/>
        <w:autoSpaceDE w:val="0"/>
        <w:autoSpaceDN w:val="0"/>
        <w:adjustRightInd w:val="0"/>
        <w:spacing w:line="240" w:lineRule="auto"/>
        <w:ind w:left="640" w:hanging="640"/>
        <w:rPr>
          <w:rFonts w:ascii="Calibri" w:hAnsi="Calibri" w:cs="Calibri"/>
          <w:sz w:val="18"/>
          <w:szCs w:val="24"/>
        </w:rPr>
      </w:pPr>
      <w:r>
        <w:rPr>
          <w:sz w:val="18"/>
        </w:rPr>
        <w:fldChar w:fldCharType="begin" w:fldLock="1"/>
      </w:r>
      <w:r>
        <w:rPr>
          <w:sz w:val="18"/>
        </w:rPr>
        <w:instrText xml:space="preserve">ADDIN Mendeley Bibliography CSL_BIBLIOGRAPHY </w:instrText>
      </w:r>
      <w:r>
        <w:rPr>
          <w:sz w:val="18"/>
        </w:rPr>
        <w:fldChar w:fldCharType="separate"/>
      </w:r>
      <w:r>
        <w:rPr>
          <w:rFonts w:ascii="Calibri" w:hAnsi="Calibri" w:cs="Calibri"/>
          <w:sz w:val="18"/>
          <w:szCs w:val="24"/>
        </w:rPr>
        <w:t>1.</w:t>
      </w:r>
      <w:r>
        <w:rPr>
          <w:rFonts w:ascii="Calibri" w:hAnsi="Calibri" w:cs="Calibri"/>
          <w:sz w:val="18"/>
          <w:szCs w:val="24"/>
        </w:rPr>
        <w:tab/>
        <w:t xml:space="preserve">Urban, R. A. &amp; Bakshi, B. R. 1,3-Propanediol from fossils versus biomass: A life cycle evaluation of emissions and ecological resources. </w:t>
      </w:r>
      <w:r>
        <w:rPr>
          <w:rFonts w:ascii="Calibri" w:hAnsi="Calibri" w:cs="Calibri"/>
          <w:i/>
          <w:iCs/>
          <w:sz w:val="18"/>
          <w:szCs w:val="24"/>
        </w:rPr>
        <w:t>Ind. Eng. Chem. Res.</w:t>
      </w:r>
      <w:r>
        <w:rPr>
          <w:rFonts w:ascii="Calibri" w:hAnsi="Calibri" w:cs="Calibri"/>
          <w:sz w:val="18"/>
          <w:szCs w:val="24"/>
        </w:rPr>
        <w:t xml:space="preserve"> </w:t>
      </w:r>
      <w:r>
        <w:rPr>
          <w:rFonts w:ascii="Calibri" w:hAnsi="Calibri" w:cs="Calibri"/>
          <w:b/>
          <w:bCs/>
          <w:sz w:val="18"/>
          <w:szCs w:val="24"/>
        </w:rPr>
        <w:t>48</w:t>
      </w:r>
      <w:r>
        <w:rPr>
          <w:rFonts w:ascii="Calibri" w:hAnsi="Calibri" w:cs="Calibri"/>
          <w:sz w:val="18"/>
          <w:szCs w:val="24"/>
        </w:rPr>
        <w:t>, 8068–8082 (2009).</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2.</w:t>
      </w:r>
      <w:r>
        <w:rPr>
          <w:rFonts w:ascii="Calibri" w:hAnsi="Calibri" w:cs="Calibri"/>
          <w:sz w:val="18"/>
          <w:szCs w:val="24"/>
        </w:rPr>
        <w:tab/>
        <w:t xml:space="preserve">Aryapratama, R. &amp; Janssen, M. Prospective life cycle assessment of bio-based adipic acid production from forest residues.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164</w:t>
      </w:r>
      <w:r>
        <w:rPr>
          <w:rFonts w:ascii="Calibri" w:hAnsi="Calibri" w:cs="Calibri"/>
          <w:sz w:val="18"/>
          <w:szCs w:val="24"/>
        </w:rPr>
        <w:t>, 434–443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3.</w:t>
      </w:r>
      <w:r>
        <w:rPr>
          <w:rFonts w:ascii="Calibri" w:hAnsi="Calibri" w:cs="Calibri"/>
          <w:sz w:val="18"/>
          <w:szCs w:val="24"/>
        </w:rPr>
        <w:tab/>
        <w:t xml:space="preserve">Benalcázar, E. A., Deynoot, B. G., Noorman, H., Osseweijer, P. &amp; Posada, J. A. Production of bulk chemicals from lignocellulosic biomass via thermochemical conversion and syngas fermentation: a comparative techno‐economic and environmental assessment of different site‐specific supply chain configurations. </w:t>
      </w:r>
      <w:r>
        <w:rPr>
          <w:rFonts w:ascii="Calibri" w:hAnsi="Calibri" w:cs="Calibri"/>
          <w:i/>
          <w:iCs/>
          <w:sz w:val="18"/>
          <w:szCs w:val="24"/>
        </w:rPr>
        <w:t>Biofuels, Bioprod. Biorefining</w:t>
      </w:r>
      <w:r>
        <w:rPr>
          <w:rFonts w:ascii="Calibri" w:hAnsi="Calibri" w:cs="Calibri"/>
          <w:sz w:val="18"/>
          <w:szCs w:val="24"/>
        </w:rPr>
        <w:t xml:space="preserve"> </w:t>
      </w:r>
      <w:r>
        <w:rPr>
          <w:rFonts w:ascii="Calibri" w:hAnsi="Calibri" w:cs="Calibri"/>
          <w:b/>
          <w:bCs/>
          <w:sz w:val="18"/>
          <w:szCs w:val="24"/>
        </w:rPr>
        <w:t>11</w:t>
      </w:r>
      <w:r>
        <w:rPr>
          <w:rFonts w:ascii="Calibri" w:hAnsi="Calibri" w:cs="Calibri"/>
          <w:sz w:val="18"/>
          <w:szCs w:val="24"/>
        </w:rPr>
        <w:t>, 861–886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4.</w:t>
      </w:r>
      <w:r>
        <w:rPr>
          <w:rFonts w:ascii="Calibri" w:hAnsi="Calibri" w:cs="Calibri"/>
          <w:sz w:val="18"/>
          <w:szCs w:val="24"/>
        </w:rPr>
        <w:tab/>
        <w:t xml:space="preserve">Ekman, A. &amp; Börjesson, P. Environmental assessment of propionic acid produced in an agricultural biomass-based biorefinery system.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19</w:t>
      </w:r>
      <w:r>
        <w:rPr>
          <w:rFonts w:ascii="Calibri" w:hAnsi="Calibri" w:cs="Calibri"/>
          <w:sz w:val="18"/>
          <w:szCs w:val="24"/>
        </w:rPr>
        <w:t>, 1257–1265 (2011).</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5.</w:t>
      </w:r>
      <w:r>
        <w:rPr>
          <w:rFonts w:ascii="Calibri" w:hAnsi="Calibri" w:cs="Calibri"/>
          <w:sz w:val="18"/>
          <w:szCs w:val="24"/>
        </w:rPr>
        <w:tab/>
        <w:t xml:space="preserve">Liptow, C. &amp; Tillman, A.-M. A Comparative Life Cycle Assessment Study of Polyethylene Based on Sugarcane and Crude Oil. </w:t>
      </w:r>
      <w:r>
        <w:rPr>
          <w:rFonts w:ascii="Calibri" w:hAnsi="Calibri" w:cs="Calibri"/>
          <w:i/>
          <w:iCs/>
          <w:sz w:val="18"/>
          <w:szCs w:val="24"/>
        </w:rPr>
        <w:t>J. Ind. Ecol.</w:t>
      </w:r>
      <w:r>
        <w:rPr>
          <w:rFonts w:ascii="Calibri" w:hAnsi="Calibri" w:cs="Calibri"/>
          <w:sz w:val="18"/>
          <w:szCs w:val="24"/>
        </w:rPr>
        <w:t xml:space="preserve"> </w:t>
      </w:r>
      <w:r>
        <w:rPr>
          <w:rFonts w:ascii="Calibri" w:hAnsi="Calibri" w:cs="Calibri"/>
          <w:b/>
          <w:bCs/>
          <w:sz w:val="18"/>
          <w:szCs w:val="24"/>
        </w:rPr>
        <w:t>16</w:t>
      </w:r>
      <w:r>
        <w:rPr>
          <w:rFonts w:ascii="Calibri" w:hAnsi="Calibri" w:cs="Calibri"/>
          <w:sz w:val="18"/>
          <w:szCs w:val="24"/>
        </w:rPr>
        <w:t>, 420–435 (2012).</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6.</w:t>
      </w:r>
      <w:r>
        <w:rPr>
          <w:rFonts w:ascii="Calibri" w:hAnsi="Calibri" w:cs="Calibri"/>
          <w:sz w:val="18"/>
          <w:szCs w:val="24"/>
        </w:rPr>
        <w:tab/>
        <w:t xml:space="preserve">Liptow, C., Tillman, A. M., Janssen, M., Wallberg, O. &amp; Taylor, G. A. Ethylene based on woody biomass - What are environmental key issues of a possible future Swedish production on industrial scale. </w:t>
      </w:r>
      <w:r>
        <w:rPr>
          <w:rFonts w:ascii="Calibri" w:hAnsi="Calibri" w:cs="Calibri"/>
          <w:i/>
          <w:iCs/>
          <w:sz w:val="18"/>
          <w:szCs w:val="24"/>
        </w:rPr>
        <w:t>Int. J. Life Cycle Assess.</w:t>
      </w:r>
      <w:r>
        <w:rPr>
          <w:rFonts w:ascii="Calibri" w:hAnsi="Calibri" w:cs="Calibri"/>
          <w:sz w:val="18"/>
          <w:szCs w:val="24"/>
        </w:rPr>
        <w:t xml:space="preserve"> </w:t>
      </w:r>
      <w:r>
        <w:rPr>
          <w:rFonts w:ascii="Calibri" w:hAnsi="Calibri" w:cs="Calibri"/>
          <w:b/>
          <w:bCs/>
          <w:sz w:val="18"/>
          <w:szCs w:val="24"/>
        </w:rPr>
        <w:t>18</w:t>
      </w:r>
      <w:r>
        <w:rPr>
          <w:rFonts w:ascii="Calibri" w:hAnsi="Calibri" w:cs="Calibri"/>
          <w:sz w:val="18"/>
          <w:szCs w:val="24"/>
        </w:rPr>
        <w:t>, 1071–1081 (2013).</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7.</w:t>
      </w:r>
      <w:r>
        <w:rPr>
          <w:rFonts w:ascii="Calibri" w:hAnsi="Calibri" w:cs="Calibri"/>
          <w:sz w:val="18"/>
          <w:szCs w:val="24"/>
        </w:rPr>
        <w:tab/>
        <w:t xml:space="preserve">Tufvesson, P., Ekman, A., Sardari, R. R. R., Engdahl, K. &amp; Tufvesson, L. Economic and environmental assessment of propionic acid production by fermentation using different renewable raw materials. </w:t>
      </w:r>
      <w:r>
        <w:rPr>
          <w:rFonts w:ascii="Calibri" w:hAnsi="Calibri" w:cs="Calibri"/>
          <w:i/>
          <w:iCs/>
          <w:sz w:val="18"/>
          <w:szCs w:val="24"/>
        </w:rPr>
        <w:t>Bioresour. Technol.</w:t>
      </w:r>
      <w:r>
        <w:rPr>
          <w:rFonts w:ascii="Calibri" w:hAnsi="Calibri" w:cs="Calibri"/>
          <w:sz w:val="18"/>
          <w:szCs w:val="24"/>
        </w:rPr>
        <w:t xml:space="preserve"> </w:t>
      </w:r>
      <w:r>
        <w:rPr>
          <w:rFonts w:ascii="Calibri" w:hAnsi="Calibri" w:cs="Calibri"/>
          <w:b/>
          <w:bCs/>
          <w:sz w:val="18"/>
          <w:szCs w:val="24"/>
        </w:rPr>
        <w:t>149</w:t>
      </w:r>
      <w:r>
        <w:rPr>
          <w:rFonts w:ascii="Calibri" w:hAnsi="Calibri" w:cs="Calibri"/>
          <w:sz w:val="18"/>
          <w:szCs w:val="24"/>
        </w:rPr>
        <w:t>, 556–564 (2013).</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8.</w:t>
      </w:r>
      <w:r>
        <w:rPr>
          <w:rFonts w:ascii="Calibri" w:hAnsi="Calibri" w:cs="Calibri"/>
          <w:sz w:val="18"/>
          <w:szCs w:val="24"/>
        </w:rPr>
        <w:tab/>
        <w:t xml:space="preserve">Zhang, Y., Hu, G. &amp; Brown, R. C. Life cycle assessment of commodity chemical production from forest residue via fast pyrolysis. </w:t>
      </w:r>
      <w:r>
        <w:rPr>
          <w:rFonts w:ascii="Calibri" w:hAnsi="Calibri" w:cs="Calibri"/>
          <w:i/>
          <w:iCs/>
          <w:sz w:val="18"/>
          <w:szCs w:val="24"/>
        </w:rPr>
        <w:t>Int. J. Life Cycle Assess.</w:t>
      </w:r>
      <w:r>
        <w:rPr>
          <w:rFonts w:ascii="Calibri" w:hAnsi="Calibri" w:cs="Calibri"/>
          <w:sz w:val="18"/>
          <w:szCs w:val="24"/>
        </w:rPr>
        <w:t xml:space="preserve"> </w:t>
      </w:r>
      <w:r>
        <w:rPr>
          <w:rFonts w:ascii="Calibri" w:hAnsi="Calibri" w:cs="Calibri"/>
          <w:b/>
          <w:bCs/>
          <w:sz w:val="18"/>
          <w:szCs w:val="24"/>
        </w:rPr>
        <w:t>19</w:t>
      </w:r>
      <w:r>
        <w:rPr>
          <w:rFonts w:ascii="Calibri" w:hAnsi="Calibri" w:cs="Calibri"/>
          <w:sz w:val="18"/>
          <w:szCs w:val="24"/>
        </w:rPr>
        <w:t>, 1371–1381 (2014).</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9.</w:t>
      </w:r>
      <w:r>
        <w:rPr>
          <w:rFonts w:ascii="Calibri" w:hAnsi="Calibri" w:cs="Calibri"/>
          <w:sz w:val="18"/>
          <w:szCs w:val="24"/>
        </w:rPr>
        <w:tab/>
        <w:t xml:space="preserve">Fiorentino, G., Ripa, M., Mellino, S., Fahd, S. &amp; Ulgiati, S. Life cycle assessment of Brassica carinata biomass conversion to bioenergy and platform chemicals.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66</w:t>
      </w:r>
      <w:r>
        <w:rPr>
          <w:rFonts w:ascii="Calibri" w:hAnsi="Calibri" w:cs="Calibri"/>
          <w:sz w:val="18"/>
          <w:szCs w:val="24"/>
        </w:rPr>
        <w:t>, 174–187 (2014).</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10.</w:t>
      </w:r>
      <w:r>
        <w:rPr>
          <w:rFonts w:ascii="Calibri" w:hAnsi="Calibri" w:cs="Calibri"/>
          <w:sz w:val="18"/>
          <w:szCs w:val="24"/>
        </w:rPr>
        <w:tab/>
        <w:t xml:space="preserve">Adom, F., Dunn, J. B., Han, J. &amp; Sather, N. Life-cycle fossil energy consumption and greenhouse gas emissions of bioderived chemicals and their conventional counterparts. </w:t>
      </w:r>
      <w:r>
        <w:rPr>
          <w:rFonts w:ascii="Calibri" w:hAnsi="Calibri" w:cs="Calibri"/>
          <w:i/>
          <w:iCs/>
          <w:sz w:val="18"/>
          <w:szCs w:val="24"/>
        </w:rPr>
        <w:t>Environ. Sci. Technol.</w:t>
      </w:r>
      <w:r>
        <w:rPr>
          <w:rFonts w:ascii="Calibri" w:hAnsi="Calibri" w:cs="Calibri"/>
          <w:sz w:val="18"/>
          <w:szCs w:val="24"/>
        </w:rPr>
        <w:t xml:space="preserve"> </w:t>
      </w:r>
      <w:r>
        <w:rPr>
          <w:rFonts w:ascii="Calibri" w:hAnsi="Calibri" w:cs="Calibri"/>
          <w:b/>
          <w:bCs/>
          <w:sz w:val="18"/>
          <w:szCs w:val="24"/>
        </w:rPr>
        <w:t>48</w:t>
      </w:r>
      <w:r>
        <w:rPr>
          <w:rFonts w:ascii="Calibri" w:hAnsi="Calibri" w:cs="Calibri"/>
          <w:sz w:val="18"/>
          <w:szCs w:val="24"/>
        </w:rPr>
        <w:t>, 14624–14631 (2014).</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11.</w:t>
      </w:r>
      <w:r>
        <w:rPr>
          <w:rFonts w:ascii="Calibri" w:hAnsi="Calibri" w:cs="Calibri"/>
          <w:sz w:val="18"/>
          <w:szCs w:val="24"/>
        </w:rPr>
        <w:tab/>
        <w:t xml:space="preserve">Cok, B., Tsiropoulos, I., Roes, A. L. &amp; Patel, M. K. Succinic acid production derived from carbohydrates: An energy and greenhouse gas assessment of a platform chemical toward a bio-based economy. </w:t>
      </w:r>
      <w:r>
        <w:rPr>
          <w:rFonts w:ascii="Calibri" w:hAnsi="Calibri" w:cs="Calibri"/>
          <w:i/>
          <w:iCs/>
          <w:sz w:val="18"/>
          <w:szCs w:val="24"/>
        </w:rPr>
        <w:t>Biofuels, Bioprod. Biorefining</w:t>
      </w:r>
      <w:r>
        <w:rPr>
          <w:rFonts w:ascii="Calibri" w:hAnsi="Calibri" w:cs="Calibri"/>
          <w:sz w:val="18"/>
          <w:szCs w:val="24"/>
        </w:rPr>
        <w:t xml:space="preserve"> </w:t>
      </w:r>
      <w:r>
        <w:rPr>
          <w:rFonts w:ascii="Calibri" w:hAnsi="Calibri" w:cs="Calibri"/>
          <w:b/>
          <w:bCs/>
          <w:sz w:val="18"/>
          <w:szCs w:val="24"/>
        </w:rPr>
        <w:t>8</w:t>
      </w:r>
      <w:r>
        <w:rPr>
          <w:rFonts w:ascii="Calibri" w:hAnsi="Calibri" w:cs="Calibri"/>
          <w:sz w:val="18"/>
          <w:szCs w:val="24"/>
        </w:rPr>
        <w:t>, 16–29 (2014).</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12.</w:t>
      </w:r>
      <w:r>
        <w:rPr>
          <w:rFonts w:ascii="Calibri" w:hAnsi="Calibri" w:cs="Calibri"/>
          <w:sz w:val="18"/>
          <w:szCs w:val="24"/>
        </w:rPr>
        <w:tab/>
        <w:t xml:space="preserve">Khoo, H. H., Wong, L. L., Tan, J., Isoni, V. &amp; Sharratt, P. Synthesis of 2-methyl tetrahydrofuran from various lignocellulosic feedstocks: Sustainability assessment via LCA. </w:t>
      </w:r>
      <w:r>
        <w:rPr>
          <w:rFonts w:ascii="Calibri" w:hAnsi="Calibri" w:cs="Calibri"/>
          <w:i/>
          <w:iCs/>
          <w:sz w:val="18"/>
          <w:szCs w:val="24"/>
        </w:rPr>
        <w:t>Resour. Conserv. Recycl.</w:t>
      </w:r>
      <w:r>
        <w:rPr>
          <w:rFonts w:ascii="Calibri" w:hAnsi="Calibri" w:cs="Calibri"/>
          <w:sz w:val="18"/>
          <w:szCs w:val="24"/>
        </w:rPr>
        <w:t xml:space="preserve"> </w:t>
      </w:r>
      <w:r>
        <w:rPr>
          <w:rFonts w:ascii="Calibri" w:hAnsi="Calibri" w:cs="Calibri"/>
          <w:b/>
          <w:bCs/>
          <w:sz w:val="18"/>
          <w:szCs w:val="24"/>
        </w:rPr>
        <w:t>95</w:t>
      </w:r>
      <w:r>
        <w:rPr>
          <w:rFonts w:ascii="Calibri" w:hAnsi="Calibri" w:cs="Calibri"/>
          <w:sz w:val="18"/>
          <w:szCs w:val="24"/>
        </w:rPr>
        <w:t>, 174–182 (2015).</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13.</w:t>
      </w:r>
      <w:r>
        <w:rPr>
          <w:rFonts w:ascii="Calibri" w:hAnsi="Calibri" w:cs="Calibri"/>
          <w:sz w:val="18"/>
          <w:szCs w:val="24"/>
        </w:rPr>
        <w:tab/>
        <w:t xml:space="preserve">Gonzalez-Garay, A., Gonzalez-Miquel, M. &amp; Guillen-Gosalbez, G. High-Value Propylene Glycol from Low-Value Biodiesel </w:t>
      </w:r>
      <w:r>
        <w:rPr>
          <w:rFonts w:ascii="Calibri" w:hAnsi="Calibri" w:cs="Calibri"/>
          <w:sz w:val="18"/>
          <w:szCs w:val="24"/>
        </w:rPr>
        <w:lastRenderedPageBreak/>
        <w:t xml:space="preserve">Glycerol: A Techno-Economic and Environmental Assessment under Uncertainty. </w:t>
      </w:r>
      <w:r>
        <w:rPr>
          <w:rFonts w:ascii="Calibri" w:hAnsi="Calibri" w:cs="Calibri"/>
          <w:i/>
          <w:iCs/>
          <w:sz w:val="18"/>
          <w:szCs w:val="24"/>
        </w:rPr>
        <w:t>ACS Publ.</w:t>
      </w:r>
      <w:r>
        <w:rPr>
          <w:rFonts w:ascii="Calibri" w:hAnsi="Calibri" w:cs="Calibri"/>
          <w:sz w:val="18"/>
          <w:szCs w:val="24"/>
        </w:rPr>
        <w:t xml:space="preserve"> </w:t>
      </w:r>
      <w:r>
        <w:rPr>
          <w:rFonts w:ascii="Calibri" w:hAnsi="Calibri" w:cs="Calibri"/>
          <w:b/>
          <w:bCs/>
          <w:sz w:val="18"/>
          <w:szCs w:val="24"/>
        </w:rPr>
        <w:t>5</w:t>
      </w:r>
      <w:r>
        <w:rPr>
          <w:rFonts w:ascii="Calibri" w:hAnsi="Calibri" w:cs="Calibri"/>
          <w:sz w:val="18"/>
          <w:szCs w:val="24"/>
        </w:rPr>
        <w:t>, 5723–5732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14.</w:t>
      </w:r>
      <w:r>
        <w:rPr>
          <w:rFonts w:ascii="Calibri" w:hAnsi="Calibri" w:cs="Calibri"/>
          <w:sz w:val="18"/>
          <w:szCs w:val="24"/>
        </w:rPr>
        <w:tab/>
        <w:t xml:space="preserve">Gunukula, S., Runge, T. &amp; Anex, R. Assessment of Biocatalytic Production Parameters to Determine Economic and Environmental Viability. </w:t>
      </w:r>
      <w:r>
        <w:rPr>
          <w:rFonts w:ascii="Calibri" w:hAnsi="Calibri" w:cs="Calibri"/>
          <w:i/>
          <w:iCs/>
          <w:sz w:val="18"/>
          <w:szCs w:val="24"/>
        </w:rPr>
        <w:t>ACS Sustain. Chem. Eng.</w:t>
      </w:r>
      <w:r>
        <w:rPr>
          <w:rFonts w:ascii="Calibri" w:hAnsi="Calibri" w:cs="Calibri"/>
          <w:sz w:val="18"/>
          <w:szCs w:val="24"/>
        </w:rPr>
        <w:t xml:space="preserve"> </w:t>
      </w:r>
      <w:r>
        <w:rPr>
          <w:rFonts w:ascii="Calibri" w:hAnsi="Calibri" w:cs="Calibri"/>
          <w:b/>
          <w:bCs/>
          <w:sz w:val="18"/>
          <w:szCs w:val="24"/>
        </w:rPr>
        <w:t>5</w:t>
      </w:r>
      <w:r>
        <w:rPr>
          <w:rFonts w:ascii="Calibri" w:hAnsi="Calibri" w:cs="Calibri"/>
          <w:sz w:val="18"/>
          <w:szCs w:val="24"/>
        </w:rPr>
        <w:t>, 8119–8126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15.</w:t>
      </w:r>
      <w:r>
        <w:rPr>
          <w:rFonts w:ascii="Calibri" w:hAnsi="Calibri" w:cs="Calibri"/>
          <w:sz w:val="18"/>
          <w:szCs w:val="24"/>
        </w:rPr>
        <w:tab/>
        <w:t xml:space="preserve">Mandegari, M. A., Farzad, S., van Rensburg, E. &amp; Görgens, J. F. Multi-criteria analysis of a biorefinery for co-production of lactic acid and ethanol from sugarcane lignocellulose. </w:t>
      </w:r>
      <w:r>
        <w:rPr>
          <w:rFonts w:ascii="Calibri" w:hAnsi="Calibri" w:cs="Calibri"/>
          <w:i/>
          <w:iCs/>
          <w:sz w:val="18"/>
          <w:szCs w:val="24"/>
        </w:rPr>
        <w:t>Biofuels, Bioprod. Biorefining</w:t>
      </w:r>
      <w:r>
        <w:rPr>
          <w:rFonts w:ascii="Calibri" w:hAnsi="Calibri" w:cs="Calibri"/>
          <w:sz w:val="18"/>
          <w:szCs w:val="24"/>
        </w:rPr>
        <w:t xml:space="preserve"> </w:t>
      </w:r>
      <w:r>
        <w:rPr>
          <w:rFonts w:ascii="Calibri" w:hAnsi="Calibri" w:cs="Calibri"/>
          <w:b/>
          <w:bCs/>
          <w:sz w:val="18"/>
          <w:szCs w:val="24"/>
        </w:rPr>
        <w:t>11</w:t>
      </w:r>
      <w:r>
        <w:rPr>
          <w:rFonts w:ascii="Calibri" w:hAnsi="Calibri" w:cs="Calibri"/>
          <w:sz w:val="18"/>
          <w:szCs w:val="24"/>
        </w:rPr>
        <w:t>, 971–990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16.</w:t>
      </w:r>
      <w:r>
        <w:rPr>
          <w:rFonts w:ascii="Calibri" w:hAnsi="Calibri" w:cs="Calibri"/>
          <w:sz w:val="18"/>
          <w:szCs w:val="24"/>
        </w:rPr>
        <w:tab/>
        <w:t xml:space="preserve">Zucaro, A., Forte, A. &amp; Fierro, A. Greenhouse gas emissions and non-renewable energy use profiles of bio-based succinic acid from Arundo donax L. lignocellulosic feedstock. </w:t>
      </w:r>
      <w:r>
        <w:rPr>
          <w:rFonts w:ascii="Calibri" w:hAnsi="Calibri" w:cs="Calibri"/>
          <w:i/>
          <w:iCs/>
          <w:sz w:val="18"/>
          <w:szCs w:val="24"/>
        </w:rPr>
        <w:t>Clean Technol. Environ. Policy</w:t>
      </w:r>
      <w:r>
        <w:rPr>
          <w:rFonts w:ascii="Calibri" w:hAnsi="Calibri" w:cs="Calibri"/>
          <w:sz w:val="18"/>
          <w:szCs w:val="24"/>
        </w:rPr>
        <w:t xml:space="preserve"> </w:t>
      </w:r>
      <w:r>
        <w:rPr>
          <w:rFonts w:ascii="Calibri" w:hAnsi="Calibri" w:cs="Calibri"/>
          <w:b/>
          <w:bCs/>
          <w:sz w:val="18"/>
          <w:szCs w:val="24"/>
        </w:rPr>
        <w:t>19</w:t>
      </w:r>
      <w:r>
        <w:rPr>
          <w:rFonts w:ascii="Calibri" w:hAnsi="Calibri" w:cs="Calibri"/>
          <w:sz w:val="18"/>
          <w:szCs w:val="24"/>
        </w:rPr>
        <w:t>, 2129–2143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17.</w:t>
      </w:r>
      <w:r>
        <w:rPr>
          <w:rFonts w:ascii="Calibri" w:hAnsi="Calibri" w:cs="Calibri"/>
          <w:sz w:val="18"/>
          <w:szCs w:val="24"/>
        </w:rPr>
        <w:tab/>
        <w:t xml:space="preserve">Chen, W. S., Strik, D. P. B. T. B., Buisman, C. J. N. &amp; Kroeze, C. Production of Caproic Acid from Mixed Organic Waste: An Environmental Life Cycle Perspective. </w:t>
      </w:r>
      <w:r>
        <w:rPr>
          <w:rFonts w:ascii="Calibri" w:hAnsi="Calibri" w:cs="Calibri"/>
          <w:i/>
          <w:iCs/>
          <w:sz w:val="18"/>
          <w:szCs w:val="24"/>
        </w:rPr>
        <w:t>Environ. Sci. Technol.</w:t>
      </w:r>
      <w:r>
        <w:rPr>
          <w:rFonts w:ascii="Calibri" w:hAnsi="Calibri" w:cs="Calibri"/>
          <w:sz w:val="18"/>
          <w:szCs w:val="24"/>
        </w:rPr>
        <w:t xml:space="preserve"> </w:t>
      </w:r>
      <w:r>
        <w:rPr>
          <w:rFonts w:ascii="Calibri" w:hAnsi="Calibri" w:cs="Calibri"/>
          <w:b/>
          <w:bCs/>
          <w:sz w:val="18"/>
          <w:szCs w:val="24"/>
        </w:rPr>
        <w:t>51</w:t>
      </w:r>
      <w:r>
        <w:rPr>
          <w:rFonts w:ascii="Calibri" w:hAnsi="Calibri" w:cs="Calibri"/>
          <w:sz w:val="18"/>
          <w:szCs w:val="24"/>
        </w:rPr>
        <w:t>, 7159–7168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18.</w:t>
      </w:r>
      <w:r>
        <w:rPr>
          <w:rFonts w:ascii="Calibri" w:hAnsi="Calibri" w:cs="Calibri"/>
          <w:sz w:val="18"/>
          <w:szCs w:val="24"/>
        </w:rPr>
        <w:tab/>
        <w:t xml:space="preserve">Zheng, J. L., Zhu, Y. H., Zhu, M. Q., Sun, G. T. &amp; Sun, R. C. Life-cycle assessment and techno-economic analysis of the utilization of bio-oil components for the production of three chemicals. </w:t>
      </w:r>
      <w:r>
        <w:rPr>
          <w:rFonts w:ascii="Calibri" w:hAnsi="Calibri" w:cs="Calibri"/>
          <w:i/>
          <w:iCs/>
          <w:sz w:val="18"/>
          <w:szCs w:val="24"/>
        </w:rPr>
        <w:t>Green Chem.</w:t>
      </w:r>
      <w:r>
        <w:rPr>
          <w:rFonts w:ascii="Calibri" w:hAnsi="Calibri" w:cs="Calibri"/>
          <w:sz w:val="18"/>
          <w:szCs w:val="24"/>
        </w:rPr>
        <w:t xml:space="preserve"> </w:t>
      </w:r>
      <w:r>
        <w:rPr>
          <w:rFonts w:ascii="Calibri" w:hAnsi="Calibri" w:cs="Calibri"/>
          <w:b/>
          <w:bCs/>
          <w:sz w:val="18"/>
          <w:szCs w:val="24"/>
        </w:rPr>
        <w:t>20</w:t>
      </w:r>
      <w:r>
        <w:rPr>
          <w:rFonts w:ascii="Calibri" w:hAnsi="Calibri" w:cs="Calibri"/>
          <w:sz w:val="18"/>
          <w:szCs w:val="24"/>
        </w:rPr>
        <w:t>, 3287–3301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19.</w:t>
      </w:r>
      <w:r>
        <w:rPr>
          <w:rFonts w:ascii="Calibri" w:hAnsi="Calibri" w:cs="Calibri"/>
          <w:sz w:val="18"/>
          <w:szCs w:val="24"/>
        </w:rPr>
        <w:tab/>
        <w:t xml:space="preserve">Tripodi, A. </w:t>
      </w:r>
      <w:r>
        <w:rPr>
          <w:rFonts w:ascii="Calibri" w:hAnsi="Calibri" w:cs="Calibri"/>
          <w:i/>
          <w:iCs/>
          <w:sz w:val="18"/>
          <w:szCs w:val="24"/>
        </w:rPr>
        <w:t>et al.</w:t>
      </w:r>
      <w:r>
        <w:rPr>
          <w:rFonts w:ascii="Calibri" w:hAnsi="Calibri" w:cs="Calibri"/>
          <w:sz w:val="18"/>
          <w:szCs w:val="24"/>
        </w:rPr>
        <w:t xml:space="preserve"> Acetonitrile from Bioethanol Ammoxidation: Process Design from the Grass-Roots and Life Cycle Analysis. </w:t>
      </w:r>
      <w:r>
        <w:rPr>
          <w:rFonts w:ascii="Calibri" w:hAnsi="Calibri" w:cs="Calibri"/>
          <w:i/>
          <w:iCs/>
          <w:sz w:val="18"/>
          <w:szCs w:val="24"/>
        </w:rPr>
        <w:t>ACS Sustain. Chem. Eng.</w:t>
      </w:r>
      <w:r>
        <w:rPr>
          <w:rFonts w:ascii="Calibri" w:hAnsi="Calibri" w:cs="Calibri"/>
          <w:sz w:val="18"/>
          <w:szCs w:val="24"/>
        </w:rPr>
        <w:t xml:space="preserve"> </w:t>
      </w:r>
      <w:r>
        <w:rPr>
          <w:rFonts w:ascii="Calibri" w:hAnsi="Calibri" w:cs="Calibri"/>
          <w:b/>
          <w:bCs/>
          <w:sz w:val="18"/>
          <w:szCs w:val="24"/>
        </w:rPr>
        <w:t>6</w:t>
      </w:r>
      <w:r>
        <w:rPr>
          <w:rFonts w:ascii="Calibri" w:hAnsi="Calibri" w:cs="Calibri"/>
          <w:sz w:val="18"/>
          <w:szCs w:val="24"/>
        </w:rPr>
        <w:t>, 5441–5451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20.</w:t>
      </w:r>
      <w:r>
        <w:rPr>
          <w:rFonts w:ascii="Calibri" w:hAnsi="Calibri" w:cs="Calibri"/>
          <w:sz w:val="18"/>
          <w:szCs w:val="24"/>
        </w:rPr>
        <w:tab/>
        <w:t xml:space="preserve">Yang, M., Tian, X. &amp; You, F. Manufacturing Ethylene from Wet Shale Gas and Biomass: Comparative Technoeconomic Analysis and Environmental Life Cycle Assessment. </w:t>
      </w:r>
      <w:r>
        <w:rPr>
          <w:rFonts w:ascii="Calibri" w:hAnsi="Calibri" w:cs="Calibri"/>
          <w:i/>
          <w:iCs/>
          <w:sz w:val="18"/>
          <w:szCs w:val="24"/>
        </w:rPr>
        <w:t>Ind. Eng. Chem. Res.</w:t>
      </w:r>
      <w:r>
        <w:rPr>
          <w:rFonts w:ascii="Calibri" w:hAnsi="Calibri" w:cs="Calibri"/>
          <w:sz w:val="18"/>
          <w:szCs w:val="24"/>
        </w:rPr>
        <w:t xml:space="preserve"> </w:t>
      </w:r>
      <w:r>
        <w:rPr>
          <w:rFonts w:ascii="Calibri" w:hAnsi="Calibri" w:cs="Calibri"/>
          <w:b/>
          <w:bCs/>
          <w:sz w:val="18"/>
          <w:szCs w:val="24"/>
        </w:rPr>
        <w:t>57</w:t>
      </w:r>
      <w:r>
        <w:rPr>
          <w:rFonts w:ascii="Calibri" w:hAnsi="Calibri" w:cs="Calibri"/>
          <w:sz w:val="18"/>
          <w:szCs w:val="24"/>
        </w:rPr>
        <w:t>, 5980–5998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21.</w:t>
      </w:r>
      <w:r>
        <w:rPr>
          <w:rFonts w:ascii="Calibri" w:hAnsi="Calibri" w:cs="Calibri"/>
          <w:sz w:val="18"/>
          <w:szCs w:val="24"/>
        </w:rPr>
        <w:tab/>
        <w:t xml:space="preserve">Alonso-Fariñas, B., Gallego-Schmid, A., Haro, P. &amp; Azapagic, A. Environmental assessment of thermo-chemical processes for bio-ethylene production in comparison with bio-chemical and fossil-based ethylene.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202</w:t>
      </w:r>
      <w:r>
        <w:rPr>
          <w:rFonts w:ascii="Calibri" w:hAnsi="Calibri" w:cs="Calibri"/>
          <w:sz w:val="18"/>
          <w:szCs w:val="24"/>
        </w:rPr>
        <w:t>, 817–829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22.</w:t>
      </w:r>
      <w:r>
        <w:rPr>
          <w:rFonts w:ascii="Calibri" w:hAnsi="Calibri" w:cs="Calibri"/>
          <w:sz w:val="18"/>
          <w:szCs w:val="24"/>
        </w:rPr>
        <w:tab/>
        <w:t xml:space="preserve">Brunklaus, B., Rex, E., Carlsson, E. &amp; Berlin, J. The future of Swedish food waste: An environmental assessment of existing and prospective valorization techniques.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202</w:t>
      </w:r>
      <w:r>
        <w:rPr>
          <w:rFonts w:ascii="Calibri" w:hAnsi="Calibri" w:cs="Calibri"/>
          <w:sz w:val="18"/>
          <w:szCs w:val="24"/>
        </w:rPr>
        <w:t>, 1–10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23.</w:t>
      </w:r>
      <w:r>
        <w:rPr>
          <w:rFonts w:ascii="Calibri" w:hAnsi="Calibri" w:cs="Calibri"/>
          <w:sz w:val="18"/>
          <w:szCs w:val="24"/>
        </w:rPr>
        <w:tab/>
        <w:t xml:space="preserve">González-García, S., Argiz, L., Míguez, P. &amp; Gullón, B. Exploring the production of bio-succinic acid from apple pomace using an environmental approach. </w:t>
      </w:r>
      <w:r>
        <w:rPr>
          <w:rFonts w:ascii="Calibri" w:hAnsi="Calibri" w:cs="Calibri"/>
          <w:i/>
          <w:iCs/>
          <w:sz w:val="18"/>
          <w:szCs w:val="24"/>
        </w:rPr>
        <w:t>Chem. Eng. J.</w:t>
      </w:r>
      <w:r>
        <w:rPr>
          <w:rFonts w:ascii="Calibri" w:hAnsi="Calibri" w:cs="Calibri"/>
          <w:sz w:val="18"/>
          <w:szCs w:val="24"/>
        </w:rPr>
        <w:t xml:space="preserve"> </w:t>
      </w:r>
      <w:r>
        <w:rPr>
          <w:rFonts w:ascii="Calibri" w:hAnsi="Calibri" w:cs="Calibri"/>
          <w:b/>
          <w:bCs/>
          <w:sz w:val="18"/>
          <w:szCs w:val="24"/>
        </w:rPr>
        <w:t>350</w:t>
      </w:r>
      <w:r>
        <w:rPr>
          <w:rFonts w:ascii="Calibri" w:hAnsi="Calibri" w:cs="Calibri"/>
          <w:sz w:val="18"/>
          <w:szCs w:val="24"/>
        </w:rPr>
        <w:t>, 982–991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24.</w:t>
      </w:r>
      <w:r>
        <w:rPr>
          <w:rFonts w:ascii="Calibri" w:hAnsi="Calibri" w:cs="Calibri"/>
          <w:sz w:val="18"/>
          <w:szCs w:val="24"/>
        </w:rPr>
        <w:tab/>
        <w:t xml:space="preserve">Jonker, J. G. G. </w:t>
      </w:r>
      <w:r>
        <w:rPr>
          <w:rFonts w:ascii="Calibri" w:hAnsi="Calibri" w:cs="Calibri"/>
          <w:i/>
          <w:iCs/>
          <w:sz w:val="18"/>
          <w:szCs w:val="24"/>
        </w:rPr>
        <w:t>et al.</w:t>
      </w:r>
      <w:r>
        <w:rPr>
          <w:rFonts w:ascii="Calibri" w:hAnsi="Calibri" w:cs="Calibri"/>
          <w:sz w:val="18"/>
          <w:szCs w:val="24"/>
        </w:rPr>
        <w:t xml:space="preserve"> Economic performance and GHG emission intensity of sugarcane‐ and eucalyptus‐derived biofuels and biobased chemicals in Brazil. </w:t>
      </w:r>
      <w:r>
        <w:rPr>
          <w:rFonts w:ascii="Calibri" w:hAnsi="Calibri" w:cs="Calibri"/>
          <w:i/>
          <w:iCs/>
          <w:sz w:val="18"/>
          <w:szCs w:val="24"/>
        </w:rPr>
        <w:t>Biofuels, Bioprod. Biorefining</w:t>
      </w:r>
      <w:r>
        <w:rPr>
          <w:rFonts w:ascii="Calibri" w:hAnsi="Calibri" w:cs="Calibri"/>
          <w:sz w:val="18"/>
          <w:szCs w:val="24"/>
        </w:rPr>
        <w:t xml:space="preserve"> </w:t>
      </w:r>
      <w:r>
        <w:rPr>
          <w:rFonts w:ascii="Calibri" w:hAnsi="Calibri" w:cs="Calibri"/>
          <w:b/>
          <w:bCs/>
          <w:sz w:val="18"/>
          <w:szCs w:val="24"/>
        </w:rPr>
        <w:t>13</w:t>
      </w:r>
      <w:r>
        <w:rPr>
          <w:rFonts w:ascii="Calibri" w:hAnsi="Calibri" w:cs="Calibri"/>
          <w:sz w:val="18"/>
          <w:szCs w:val="24"/>
        </w:rPr>
        <w:t>, 950–977 (2019).</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25.</w:t>
      </w:r>
      <w:r>
        <w:rPr>
          <w:rFonts w:ascii="Calibri" w:hAnsi="Calibri" w:cs="Calibri"/>
          <w:sz w:val="18"/>
          <w:szCs w:val="24"/>
        </w:rPr>
        <w:tab/>
        <w:t xml:space="preserve">Kim, H., Choi, J., Park, J. &amp; Won, W. Production of a sustainable and renewable biomass-derived monomer: conceptual process design and techno-economic analysis. </w:t>
      </w:r>
      <w:r>
        <w:rPr>
          <w:rFonts w:ascii="Calibri" w:hAnsi="Calibri" w:cs="Calibri"/>
          <w:i/>
          <w:iCs/>
          <w:sz w:val="18"/>
          <w:szCs w:val="24"/>
        </w:rPr>
        <w:t>Green Chem.</w:t>
      </w:r>
      <w:r>
        <w:rPr>
          <w:rFonts w:ascii="Calibri" w:hAnsi="Calibri" w:cs="Calibri"/>
          <w:sz w:val="18"/>
          <w:szCs w:val="24"/>
        </w:rPr>
        <w:t xml:space="preserve"> </w:t>
      </w:r>
      <w:r>
        <w:rPr>
          <w:rFonts w:ascii="Calibri" w:hAnsi="Calibri" w:cs="Calibri"/>
          <w:b/>
          <w:bCs/>
          <w:sz w:val="18"/>
          <w:szCs w:val="24"/>
        </w:rPr>
        <w:t>22</w:t>
      </w:r>
      <w:r>
        <w:rPr>
          <w:rFonts w:ascii="Calibri" w:hAnsi="Calibri" w:cs="Calibri"/>
          <w:sz w:val="18"/>
          <w:szCs w:val="24"/>
        </w:rPr>
        <w:t>, 7070–7079 (2020).</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26.</w:t>
      </w:r>
      <w:r>
        <w:rPr>
          <w:rFonts w:ascii="Calibri" w:hAnsi="Calibri" w:cs="Calibri"/>
          <w:sz w:val="18"/>
          <w:szCs w:val="24"/>
        </w:rPr>
        <w:tab/>
        <w:t xml:space="preserve">Wang, J., You, S., Lu, Z., Chen, R. &amp; Xu, F. Life cycle assessment of bio-based levoglucosan production from cotton straw through fast pyrolysis. </w:t>
      </w:r>
      <w:r>
        <w:rPr>
          <w:rFonts w:ascii="Calibri" w:hAnsi="Calibri" w:cs="Calibri"/>
          <w:i/>
          <w:iCs/>
          <w:sz w:val="18"/>
          <w:szCs w:val="24"/>
        </w:rPr>
        <w:t>Bioresour. Technol.</w:t>
      </w:r>
      <w:r>
        <w:rPr>
          <w:rFonts w:ascii="Calibri" w:hAnsi="Calibri" w:cs="Calibri"/>
          <w:sz w:val="18"/>
          <w:szCs w:val="24"/>
        </w:rPr>
        <w:t xml:space="preserve"> </w:t>
      </w:r>
      <w:r>
        <w:rPr>
          <w:rFonts w:ascii="Calibri" w:hAnsi="Calibri" w:cs="Calibri"/>
          <w:b/>
          <w:bCs/>
          <w:sz w:val="18"/>
          <w:szCs w:val="24"/>
        </w:rPr>
        <w:t>307</w:t>
      </w:r>
      <w:r>
        <w:rPr>
          <w:rFonts w:ascii="Calibri" w:hAnsi="Calibri" w:cs="Calibri"/>
          <w:sz w:val="18"/>
          <w:szCs w:val="24"/>
        </w:rPr>
        <w:t>, 123179 (2020).</w:t>
      </w:r>
    </w:p>
    <w:p w:rsidR="0009124B" w:rsidRDefault="00EB3E17">
      <w:pPr>
        <w:widowControl w:val="0"/>
        <w:autoSpaceDE w:val="0"/>
        <w:autoSpaceDN w:val="0"/>
        <w:adjustRightInd w:val="0"/>
        <w:spacing w:line="240" w:lineRule="auto"/>
        <w:ind w:left="640" w:hanging="640"/>
        <w:rPr>
          <w:rFonts w:ascii="Calibri" w:hAnsi="Calibri" w:cs="Calibri"/>
          <w:sz w:val="18"/>
          <w:szCs w:val="24"/>
          <w:lang w:val="nl-NL"/>
        </w:rPr>
      </w:pPr>
      <w:r>
        <w:rPr>
          <w:rFonts w:ascii="Calibri" w:hAnsi="Calibri" w:cs="Calibri"/>
          <w:sz w:val="18"/>
          <w:szCs w:val="24"/>
        </w:rPr>
        <w:t>27.</w:t>
      </w:r>
      <w:r>
        <w:rPr>
          <w:rFonts w:ascii="Calibri" w:hAnsi="Calibri" w:cs="Calibri"/>
          <w:sz w:val="18"/>
          <w:szCs w:val="24"/>
        </w:rPr>
        <w:tab/>
        <w:t xml:space="preserve">Lokesh, K. </w:t>
      </w:r>
      <w:r>
        <w:rPr>
          <w:rFonts w:ascii="Calibri" w:hAnsi="Calibri" w:cs="Calibri"/>
          <w:i/>
          <w:iCs/>
          <w:sz w:val="18"/>
          <w:szCs w:val="24"/>
        </w:rPr>
        <w:t>et al.</w:t>
      </w:r>
      <w:r>
        <w:rPr>
          <w:rFonts w:ascii="Calibri" w:hAnsi="Calibri" w:cs="Calibri"/>
          <w:sz w:val="18"/>
          <w:szCs w:val="24"/>
        </w:rPr>
        <w:t xml:space="preserve"> Hybridised sustainability metrics for use in life cycle assessment of bio-based products: Resource efficiency and circularity. </w:t>
      </w:r>
      <w:r>
        <w:rPr>
          <w:rFonts w:ascii="Calibri" w:hAnsi="Calibri" w:cs="Calibri"/>
          <w:i/>
          <w:iCs/>
          <w:sz w:val="18"/>
          <w:szCs w:val="24"/>
          <w:lang w:val="nl-NL"/>
        </w:rPr>
        <w:t>Green Chem.</w:t>
      </w:r>
      <w:r>
        <w:rPr>
          <w:rFonts w:ascii="Calibri" w:hAnsi="Calibri" w:cs="Calibri"/>
          <w:sz w:val="18"/>
          <w:szCs w:val="24"/>
          <w:lang w:val="nl-NL"/>
        </w:rPr>
        <w:t xml:space="preserve"> </w:t>
      </w:r>
      <w:r>
        <w:rPr>
          <w:rFonts w:ascii="Calibri" w:hAnsi="Calibri" w:cs="Calibri"/>
          <w:b/>
          <w:bCs/>
          <w:sz w:val="18"/>
          <w:szCs w:val="24"/>
          <w:lang w:val="nl-NL"/>
        </w:rPr>
        <w:t>22</w:t>
      </w:r>
      <w:r>
        <w:rPr>
          <w:rFonts w:ascii="Calibri" w:hAnsi="Calibri" w:cs="Calibri"/>
          <w:sz w:val="18"/>
          <w:szCs w:val="24"/>
          <w:lang w:val="nl-NL"/>
        </w:rPr>
        <w:t>, 803–813 (2020).</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lang w:val="nl-NL"/>
        </w:rPr>
        <w:t>28.</w:t>
      </w:r>
      <w:r>
        <w:rPr>
          <w:rFonts w:ascii="Calibri" w:hAnsi="Calibri" w:cs="Calibri"/>
          <w:sz w:val="18"/>
          <w:szCs w:val="24"/>
          <w:lang w:val="nl-NL"/>
        </w:rPr>
        <w:tab/>
        <w:t xml:space="preserve">van Duuren, J. B. J. H. </w:t>
      </w:r>
      <w:r>
        <w:rPr>
          <w:rFonts w:ascii="Calibri" w:hAnsi="Calibri" w:cs="Calibri"/>
          <w:i/>
          <w:iCs/>
          <w:sz w:val="18"/>
          <w:szCs w:val="24"/>
          <w:lang w:val="nl-NL"/>
        </w:rPr>
        <w:t>et al.</w:t>
      </w:r>
      <w:r>
        <w:rPr>
          <w:rFonts w:ascii="Calibri" w:hAnsi="Calibri" w:cs="Calibri"/>
          <w:sz w:val="18"/>
          <w:szCs w:val="24"/>
          <w:lang w:val="nl-NL"/>
        </w:rPr>
        <w:t xml:space="preserve"> </w:t>
      </w:r>
      <w:r>
        <w:rPr>
          <w:rFonts w:ascii="Calibri" w:hAnsi="Calibri" w:cs="Calibri"/>
          <w:sz w:val="18"/>
          <w:szCs w:val="24"/>
        </w:rPr>
        <w:t xml:space="preserve">A limited LCA of bio-adipic acid: Manufacturing the nylon-6,6 precursor adipic acid using the benzoic acid degradation pathway from different feedstocks. </w:t>
      </w:r>
      <w:r>
        <w:rPr>
          <w:rFonts w:ascii="Calibri" w:hAnsi="Calibri" w:cs="Calibri"/>
          <w:i/>
          <w:iCs/>
          <w:sz w:val="18"/>
          <w:szCs w:val="24"/>
        </w:rPr>
        <w:t>Biotechnol. Bioeng.</w:t>
      </w:r>
      <w:r>
        <w:rPr>
          <w:rFonts w:ascii="Calibri" w:hAnsi="Calibri" w:cs="Calibri"/>
          <w:sz w:val="18"/>
          <w:szCs w:val="24"/>
        </w:rPr>
        <w:t xml:space="preserve"> </w:t>
      </w:r>
      <w:r>
        <w:rPr>
          <w:rFonts w:ascii="Calibri" w:hAnsi="Calibri" w:cs="Calibri"/>
          <w:b/>
          <w:bCs/>
          <w:sz w:val="18"/>
          <w:szCs w:val="24"/>
        </w:rPr>
        <w:t>108</w:t>
      </w:r>
      <w:r>
        <w:rPr>
          <w:rFonts w:ascii="Calibri" w:hAnsi="Calibri" w:cs="Calibri"/>
          <w:sz w:val="18"/>
          <w:szCs w:val="24"/>
        </w:rPr>
        <w:t>, 1298–1306 (2011).</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29.</w:t>
      </w:r>
      <w:r>
        <w:rPr>
          <w:rFonts w:ascii="Calibri" w:hAnsi="Calibri" w:cs="Calibri"/>
          <w:sz w:val="18"/>
          <w:szCs w:val="24"/>
        </w:rPr>
        <w:tab/>
        <w:t xml:space="preserve">Ögmundarson, Ó., Sukumara, S., Laurent, A. &amp; Fantke, P. Environmental hotspots of lactic acid production systems. </w:t>
      </w:r>
      <w:r>
        <w:rPr>
          <w:rFonts w:ascii="Calibri" w:hAnsi="Calibri" w:cs="Calibri"/>
          <w:i/>
          <w:iCs/>
          <w:sz w:val="18"/>
          <w:szCs w:val="24"/>
        </w:rPr>
        <w:t>GCB Bioenergy</w:t>
      </w:r>
      <w:r>
        <w:rPr>
          <w:rFonts w:ascii="Calibri" w:hAnsi="Calibri" w:cs="Calibri"/>
          <w:sz w:val="18"/>
          <w:szCs w:val="24"/>
        </w:rPr>
        <w:t xml:space="preserve"> </w:t>
      </w:r>
      <w:r>
        <w:rPr>
          <w:rFonts w:ascii="Calibri" w:hAnsi="Calibri" w:cs="Calibri"/>
          <w:b/>
          <w:bCs/>
          <w:sz w:val="18"/>
          <w:szCs w:val="24"/>
        </w:rPr>
        <w:t>12</w:t>
      </w:r>
      <w:r>
        <w:rPr>
          <w:rFonts w:ascii="Calibri" w:hAnsi="Calibri" w:cs="Calibri"/>
          <w:sz w:val="18"/>
          <w:szCs w:val="24"/>
        </w:rPr>
        <w:t>, 19–38 (2020).</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30.</w:t>
      </w:r>
      <w:r>
        <w:rPr>
          <w:rFonts w:ascii="Calibri" w:hAnsi="Calibri" w:cs="Calibri"/>
          <w:sz w:val="18"/>
          <w:szCs w:val="24"/>
        </w:rPr>
        <w:tab/>
        <w:t xml:space="preserve">Yang, M. &amp; Rosentrater, K. A. Life Cycle Assessment and Techno-Economic Analysis of Pressure Sensitive Bio-Adhesive Production. </w:t>
      </w:r>
      <w:r>
        <w:rPr>
          <w:rFonts w:ascii="Calibri" w:hAnsi="Calibri" w:cs="Calibri"/>
          <w:i/>
          <w:iCs/>
          <w:sz w:val="18"/>
          <w:szCs w:val="24"/>
        </w:rPr>
        <w:t>Energies 2019, Vol. 12, Page 4502</w:t>
      </w:r>
      <w:r>
        <w:rPr>
          <w:rFonts w:ascii="Calibri" w:hAnsi="Calibri" w:cs="Calibri"/>
          <w:sz w:val="18"/>
          <w:szCs w:val="24"/>
        </w:rPr>
        <w:t xml:space="preserve"> </w:t>
      </w:r>
      <w:r>
        <w:rPr>
          <w:rFonts w:ascii="Calibri" w:hAnsi="Calibri" w:cs="Calibri"/>
          <w:b/>
          <w:bCs/>
          <w:sz w:val="18"/>
          <w:szCs w:val="24"/>
        </w:rPr>
        <w:t>12</w:t>
      </w:r>
      <w:r>
        <w:rPr>
          <w:rFonts w:ascii="Calibri" w:hAnsi="Calibri" w:cs="Calibri"/>
          <w:sz w:val="18"/>
          <w:szCs w:val="24"/>
        </w:rPr>
        <w:t>, 4502 (2019).</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31.</w:t>
      </w:r>
      <w:r>
        <w:rPr>
          <w:rFonts w:ascii="Calibri" w:hAnsi="Calibri" w:cs="Calibri"/>
          <w:sz w:val="18"/>
          <w:szCs w:val="24"/>
        </w:rPr>
        <w:tab/>
        <w:t xml:space="preserve">Yang, M. &amp; Rosentrater, K. A. Cradle-to-gate life cycle assessment of structural bio-adhesives derived from glycerol. </w:t>
      </w:r>
      <w:r>
        <w:rPr>
          <w:rFonts w:ascii="Calibri" w:hAnsi="Calibri" w:cs="Calibri"/>
          <w:i/>
          <w:iCs/>
          <w:sz w:val="18"/>
          <w:szCs w:val="24"/>
        </w:rPr>
        <w:t>Int. J. Life Cycle Assess.</w:t>
      </w:r>
      <w:r>
        <w:rPr>
          <w:rFonts w:ascii="Calibri" w:hAnsi="Calibri" w:cs="Calibri"/>
          <w:sz w:val="18"/>
          <w:szCs w:val="24"/>
        </w:rPr>
        <w:t xml:space="preserve"> </w:t>
      </w:r>
      <w:r>
        <w:rPr>
          <w:rFonts w:ascii="Calibri" w:hAnsi="Calibri" w:cs="Calibri"/>
          <w:b/>
          <w:bCs/>
          <w:sz w:val="18"/>
          <w:szCs w:val="24"/>
        </w:rPr>
        <w:t>26</w:t>
      </w:r>
      <w:r>
        <w:rPr>
          <w:rFonts w:ascii="Calibri" w:hAnsi="Calibri" w:cs="Calibri"/>
          <w:sz w:val="18"/>
          <w:szCs w:val="24"/>
        </w:rPr>
        <w:t>, 799–806 (2021).</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32.</w:t>
      </w:r>
      <w:r>
        <w:rPr>
          <w:rFonts w:ascii="Calibri" w:hAnsi="Calibri" w:cs="Calibri"/>
          <w:sz w:val="18"/>
          <w:szCs w:val="24"/>
        </w:rPr>
        <w:tab/>
        <w:t xml:space="preserve">Arias, A., González-García, S., González-Rodríguez, S., Feijoo, G. &amp; Moreira, M. T. Cradle-to-gate Life Cycle Assessment of bio-adhesives for the wood panel industry. A comparison with petrochemical alternatives. </w:t>
      </w:r>
      <w:r>
        <w:rPr>
          <w:rFonts w:ascii="Calibri" w:hAnsi="Calibri" w:cs="Calibri"/>
          <w:i/>
          <w:iCs/>
          <w:sz w:val="18"/>
          <w:szCs w:val="24"/>
        </w:rPr>
        <w:t>Sci. Total Environ.</w:t>
      </w:r>
      <w:r>
        <w:rPr>
          <w:rFonts w:ascii="Calibri" w:hAnsi="Calibri" w:cs="Calibri"/>
          <w:sz w:val="18"/>
          <w:szCs w:val="24"/>
        </w:rPr>
        <w:t xml:space="preserve"> </w:t>
      </w:r>
      <w:r>
        <w:rPr>
          <w:rFonts w:ascii="Calibri" w:hAnsi="Calibri" w:cs="Calibri"/>
          <w:b/>
          <w:bCs/>
          <w:sz w:val="18"/>
          <w:szCs w:val="24"/>
        </w:rPr>
        <w:t>738</w:t>
      </w:r>
      <w:r>
        <w:rPr>
          <w:rFonts w:ascii="Calibri" w:hAnsi="Calibri" w:cs="Calibri"/>
          <w:sz w:val="18"/>
          <w:szCs w:val="24"/>
        </w:rPr>
        <w:t>, 140357 (2020).</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33.</w:t>
      </w:r>
      <w:r>
        <w:rPr>
          <w:rFonts w:ascii="Calibri" w:hAnsi="Calibri" w:cs="Calibri"/>
          <w:sz w:val="18"/>
          <w:szCs w:val="24"/>
        </w:rPr>
        <w:tab/>
        <w:t xml:space="preserve">Le Duigou, A., Deux, J. M., Davies, P. &amp; Baley, C. PLLA/flax mat/balsa bio-sandwich-environmental impact and simplified life cycle analysis. </w:t>
      </w:r>
      <w:r>
        <w:rPr>
          <w:rFonts w:ascii="Calibri" w:hAnsi="Calibri" w:cs="Calibri"/>
          <w:i/>
          <w:iCs/>
          <w:sz w:val="18"/>
          <w:szCs w:val="24"/>
        </w:rPr>
        <w:t>Appl. Compos. Mater.</w:t>
      </w:r>
      <w:r>
        <w:rPr>
          <w:rFonts w:ascii="Calibri" w:hAnsi="Calibri" w:cs="Calibri"/>
          <w:sz w:val="18"/>
          <w:szCs w:val="24"/>
        </w:rPr>
        <w:t xml:space="preserve"> </w:t>
      </w:r>
      <w:r>
        <w:rPr>
          <w:rFonts w:ascii="Calibri" w:hAnsi="Calibri" w:cs="Calibri"/>
          <w:b/>
          <w:bCs/>
          <w:sz w:val="18"/>
          <w:szCs w:val="24"/>
        </w:rPr>
        <w:t>19</w:t>
      </w:r>
      <w:r>
        <w:rPr>
          <w:rFonts w:ascii="Calibri" w:hAnsi="Calibri" w:cs="Calibri"/>
          <w:sz w:val="18"/>
          <w:szCs w:val="24"/>
        </w:rPr>
        <w:t>, 363–378 (2012).</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lastRenderedPageBreak/>
        <w:t>34.</w:t>
      </w:r>
      <w:r>
        <w:rPr>
          <w:rFonts w:ascii="Calibri" w:hAnsi="Calibri" w:cs="Calibri"/>
          <w:sz w:val="18"/>
          <w:szCs w:val="24"/>
        </w:rPr>
        <w:tab/>
        <w:t xml:space="preserve">Mahalle, L., Alemdar, A., Mihai, M. &amp; Legros, N. A cradle-to-gate life cycle assessment of wood fibre-reinforced polylactic acid (PLA) and polylactic acid/thermoplastic starch (PLA/TPS) biocomposites. </w:t>
      </w:r>
      <w:r>
        <w:rPr>
          <w:rFonts w:ascii="Calibri" w:hAnsi="Calibri" w:cs="Calibri"/>
          <w:i/>
          <w:iCs/>
          <w:sz w:val="18"/>
          <w:szCs w:val="24"/>
        </w:rPr>
        <w:t>Int. J. Life Cycle Assess.</w:t>
      </w:r>
      <w:r>
        <w:rPr>
          <w:rFonts w:ascii="Calibri" w:hAnsi="Calibri" w:cs="Calibri"/>
          <w:sz w:val="18"/>
          <w:szCs w:val="24"/>
        </w:rPr>
        <w:t xml:space="preserve"> </w:t>
      </w:r>
      <w:r>
        <w:rPr>
          <w:rFonts w:ascii="Calibri" w:hAnsi="Calibri" w:cs="Calibri"/>
          <w:b/>
          <w:bCs/>
          <w:sz w:val="18"/>
          <w:szCs w:val="24"/>
        </w:rPr>
        <w:t>19</w:t>
      </w:r>
      <w:r>
        <w:rPr>
          <w:rFonts w:ascii="Calibri" w:hAnsi="Calibri" w:cs="Calibri"/>
          <w:sz w:val="18"/>
          <w:szCs w:val="24"/>
        </w:rPr>
        <w:t>, 1305–1315 (2014).</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35.</w:t>
      </w:r>
      <w:r>
        <w:rPr>
          <w:rFonts w:ascii="Calibri" w:hAnsi="Calibri" w:cs="Calibri"/>
          <w:sz w:val="18"/>
          <w:szCs w:val="24"/>
        </w:rPr>
        <w:tab/>
        <w:t xml:space="preserve">Deng, Y. </w:t>
      </w:r>
      <w:r>
        <w:rPr>
          <w:rFonts w:ascii="Calibri" w:hAnsi="Calibri" w:cs="Calibri"/>
          <w:i/>
          <w:iCs/>
          <w:sz w:val="18"/>
          <w:szCs w:val="24"/>
        </w:rPr>
        <w:t>et al.</w:t>
      </w:r>
      <w:r>
        <w:rPr>
          <w:rFonts w:ascii="Calibri" w:hAnsi="Calibri" w:cs="Calibri"/>
          <w:sz w:val="18"/>
          <w:szCs w:val="24"/>
        </w:rPr>
        <w:t xml:space="preserve"> Life cycle assessment of flax-fibre reinforced epoxidized linseed oil composite with a flame retardant for electronic applications.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133</w:t>
      </w:r>
      <w:r>
        <w:rPr>
          <w:rFonts w:ascii="Calibri" w:hAnsi="Calibri" w:cs="Calibri"/>
          <w:sz w:val="18"/>
          <w:szCs w:val="24"/>
        </w:rPr>
        <w:t>, 427–438 (2016).</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36.</w:t>
      </w:r>
      <w:r>
        <w:rPr>
          <w:rFonts w:ascii="Calibri" w:hAnsi="Calibri" w:cs="Calibri"/>
          <w:sz w:val="18"/>
          <w:szCs w:val="24"/>
        </w:rPr>
        <w:tab/>
        <w:t xml:space="preserve">Quintana, A., Alba, J., del Rey, R. &amp; Guillén-Guillamón, I. Comparative Life Cycle Assessment of gypsum plasterboard and a new kind of bio-based epoxy composite containing different natural fibers.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185</w:t>
      </w:r>
      <w:r>
        <w:rPr>
          <w:rFonts w:ascii="Calibri" w:hAnsi="Calibri" w:cs="Calibri"/>
          <w:sz w:val="18"/>
          <w:szCs w:val="24"/>
        </w:rPr>
        <w:t>, 408–420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37.</w:t>
      </w:r>
      <w:r>
        <w:rPr>
          <w:rFonts w:ascii="Calibri" w:hAnsi="Calibri" w:cs="Calibri"/>
          <w:sz w:val="18"/>
          <w:szCs w:val="24"/>
        </w:rPr>
        <w:tab/>
        <w:t xml:space="preserve">Ita-Nagy, D., Vázquez-Rowe, I., Kahhat, R., Chinga-Carrasco, G. &amp; Quispe, I. Reviewing environmental life cycle impacts of biobased polymers: current trends and methodological challenges. </w:t>
      </w:r>
      <w:r>
        <w:rPr>
          <w:rFonts w:ascii="Calibri" w:hAnsi="Calibri" w:cs="Calibri"/>
          <w:i/>
          <w:iCs/>
          <w:sz w:val="18"/>
          <w:szCs w:val="24"/>
        </w:rPr>
        <w:t>International Journal of Life Cycle Assessment</w:t>
      </w:r>
      <w:r>
        <w:rPr>
          <w:rFonts w:ascii="Calibri" w:hAnsi="Calibri" w:cs="Calibri"/>
          <w:sz w:val="18"/>
          <w:szCs w:val="24"/>
        </w:rPr>
        <w:t xml:space="preserve"> vol. 25 2169–2189 (2020).</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38.</w:t>
      </w:r>
      <w:r>
        <w:rPr>
          <w:rFonts w:ascii="Calibri" w:hAnsi="Calibri" w:cs="Calibri"/>
          <w:sz w:val="18"/>
          <w:szCs w:val="24"/>
        </w:rPr>
        <w:tab/>
        <w:t xml:space="preserve">Akiyama, M., Tsuge, T. &amp; Doi, Y. Environmental life cycle comparison of polyhydroxyalkanoates produced from renewable carbon resources by bacterial fermentation. </w:t>
      </w:r>
      <w:r>
        <w:rPr>
          <w:rFonts w:ascii="Calibri" w:hAnsi="Calibri" w:cs="Calibri"/>
          <w:i/>
          <w:iCs/>
          <w:sz w:val="18"/>
          <w:szCs w:val="24"/>
        </w:rPr>
        <w:t>Polym. Degrad. Stab.</w:t>
      </w:r>
      <w:r>
        <w:rPr>
          <w:rFonts w:ascii="Calibri" w:hAnsi="Calibri" w:cs="Calibri"/>
          <w:sz w:val="18"/>
          <w:szCs w:val="24"/>
        </w:rPr>
        <w:t xml:space="preserve"> </w:t>
      </w:r>
      <w:r>
        <w:rPr>
          <w:rFonts w:ascii="Calibri" w:hAnsi="Calibri" w:cs="Calibri"/>
          <w:b/>
          <w:bCs/>
          <w:sz w:val="18"/>
          <w:szCs w:val="24"/>
        </w:rPr>
        <w:t>80</w:t>
      </w:r>
      <w:r>
        <w:rPr>
          <w:rFonts w:ascii="Calibri" w:hAnsi="Calibri" w:cs="Calibri"/>
          <w:sz w:val="18"/>
          <w:szCs w:val="24"/>
        </w:rPr>
        <w:t>, 183–194 (2003).</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39.</w:t>
      </w:r>
      <w:r>
        <w:rPr>
          <w:rFonts w:ascii="Calibri" w:hAnsi="Calibri" w:cs="Calibri"/>
          <w:sz w:val="18"/>
          <w:szCs w:val="24"/>
        </w:rPr>
        <w:tab/>
        <w:t xml:space="preserve">Kim, S. &amp; Dale, B. E. Environmental aspects of ethanol derived from no-tilled corn grain: nonrenewable energy consumption and greenhouse gas emissions. </w:t>
      </w:r>
      <w:r>
        <w:rPr>
          <w:rFonts w:ascii="Calibri" w:hAnsi="Calibri" w:cs="Calibri"/>
          <w:i/>
          <w:iCs/>
          <w:sz w:val="18"/>
          <w:szCs w:val="24"/>
        </w:rPr>
        <w:t>Biomass and Bioenergy</w:t>
      </w:r>
      <w:r>
        <w:rPr>
          <w:rFonts w:ascii="Calibri" w:hAnsi="Calibri" w:cs="Calibri"/>
          <w:sz w:val="18"/>
          <w:szCs w:val="24"/>
        </w:rPr>
        <w:t xml:space="preserve"> </w:t>
      </w:r>
      <w:r>
        <w:rPr>
          <w:rFonts w:ascii="Calibri" w:hAnsi="Calibri" w:cs="Calibri"/>
          <w:b/>
          <w:bCs/>
          <w:sz w:val="18"/>
          <w:szCs w:val="24"/>
        </w:rPr>
        <w:t>28</w:t>
      </w:r>
      <w:r>
        <w:rPr>
          <w:rFonts w:ascii="Calibri" w:hAnsi="Calibri" w:cs="Calibri"/>
          <w:sz w:val="18"/>
          <w:szCs w:val="24"/>
        </w:rPr>
        <w:t>, 475–489 (2005).</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40.</w:t>
      </w:r>
      <w:r>
        <w:rPr>
          <w:rFonts w:ascii="Calibri" w:hAnsi="Calibri" w:cs="Calibri"/>
          <w:sz w:val="18"/>
          <w:szCs w:val="24"/>
        </w:rPr>
        <w:tab/>
        <w:t xml:space="preserve">Broeren, M. L. M. </w:t>
      </w:r>
      <w:r>
        <w:rPr>
          <w:rFonts w:ascii="Calibri" w:hAnsi="Calibri" w:cs="Calibri"/>
          <w:i/>
          <w:iCs/>
          <w:sz w:val="18"/>
          <w:szCs w:val="24"/>
        </w:rPr>
        <w:t>et al.</w:t>
      </w:r>
      <w:r>
        <w:rPr>
          <w:rFonts w:ascii="Calibri" w:hAnsi="Calibri" w:cs="Calibri"/>
          <w:sz w:val="18"/>
          <w:szCs w:val="24"/>
        </w:rPr>
        <w:t xml:space="preserve"> Environmental assessment of bio‐based chemicals in early‐stage development: a review of methods and indicators. </w:t>
      </w:r>
      <w:r>
        <w:rPr>
          <w:rFonts w:ascii="Calibri" w:hAnsi="Calibri" w:cs="Calibri"/>
          <w:i/>
          <w:iCs/>
          <w:sz w:val="18"/>
          <w:szCs w:val="24"/>
        </w:rPr>
        <w:t>Biofuels, Bioprod. Biorefining</w:t>
      </w:r>
      <w:r>
        <w:rPr>
          <w:rFonts w:ascii="Calibri" w:hAnsi="Calibri" w:cs="Calibri"/>
          <w:sz w:val="18"/>
          <w:szCs w:val="24"/>
        </w:rPr>
        <w:t xml:space="preserve"> </w:t>
      </w:r>
      <w:r>
        <w:rPr>
          <w:rFonts w:ascii="Calibri" w:hAnsi="Calibri" w:cs="Calibri"/>
          <w:b/>
          <w:bCs/>
          <w:sz w:val="18"/>
          <w:szCs w:val="24"/>
        </w:rPr>
        <w:t>11</w:t>
      </w:r>
      <w:r>
        <w:rPr>
          <w:rFonts w:ascii="Calibri" w:hAnsi="Calibri" w:cs="Calibri"/>
          <w:sz w:val="18"/>
          <w:szCs w:val="24"/>
        </w:rPr>
        <w:t>, 701–718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41.</w:t>
      </w:r>
      <w:r>
        <w:rPr>
          <w:rFonts w:ascii="Calibri" w:hAnsi="Calibri" w:cs="Calibri"/>
          <w:sz w:val="18"/>
          <w:szCs w:val="24"/>
        </w:rPr>
        <w:tab/>
        <w:t xml:space="preserve">Piccinno, F., Hischier, R., Seeger, S. &amp; Som, C. Predicting the environmental impact of a future nanocellulose production at industrial scale: Application of the life cycle assessment scale-up framework.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174</w:t>
      </w:r>
      <w:r>
        <w:rPr>
          <w:rFonts w:ascii="Calibri" w:hAnsi="Calibri" w:cs="Calibri"/>
          <w:sz w:val="18"/>
          <w:szCs w:val="24"/>
        </w:rPr>
        <w:t>, 283–295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42.</w:t>
      </w:r>
      <w:r>
        <w:rPr>
          <w:rFonts w:ascii="Calibri" w:hAnsi="Calibri" w:cs="Calibri"/>
          <w:sz w:val="18"/>
          <w:szCs w:val="24"/>
        </w:rPr>
        <w:tab/>
        <w:t xml:space="preserve">Tan, L. </w:t>
      </w:r>
      <w:r>
        <w:rPr>
          <w:rFonts w:ascii="Calibri" w:hAnsi="Calibri" w:cs="Calibri"/>
          <w:i/>
          <w:iCs/>
          <w:sz w:val="18"/>
          <w:szCs w:val="24"/>
        </w:rPr>
        <w:t>et al.</w:t>
      </w:r>
      <w:r>
        <w:rPr>
          <w:rFonts w:ascii="Calibri" w:hAnsi="Calibri" w:cs="Calibri"/>
          <w:sz w:val="18"/>
          <w:szCs w:val="24"/>
        </w:rPr>
        <w:t xml:space="preserve"> Combining ex-ante LCA and EHS screening to assist green design: A case study of cellulose nanocrystal foam.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178</w:t>
      </w:r>
      <w:r>
        <w:rPr>
          <w:rFonts w:ascii="Calibri" w:hAnsi="Calibri" w:cs="Calibri"/>
          <w:sz w:val="18"/>
          <w:szCs w:val="24"/>
        </w:rPr>
        <w:t>, 494–506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43.</w:t>
      </w:r>
      <w:r>
        <w:rPr>
          <w:rFonts w:ascii="Calibri" w:hAnsi="Calibri" w:cs="Calibri"/>
          <w:sz w:val="18"/>
          <w:szCs w:val="24"/>
        </w:rPr>
        <w:tab/>
        <w:t xml:space="preserve">Ekman, A. &amp; Börjesson, P. Life cycle assessment of mineral oil-based and vegetable oil-based hydraulic fluids including comparison of biocatalytic and conventional production methods. </w:t>
      </w:r>
      <w:r>
        <w:rPr>
          <w:rFonts w:ascii="Calibri" w:hAnsi="Calibri" w:cs="Calibri"/>
          <w:i/>
          <w:iCs/>
          <w:sz w:val="18"/>
          <w:szCs w:val="24"/>
        </w:rPr>
        <w:t>Int. J. Life Cycle Assess.</w:t>
      </w:r>
      <w:r>
        <w:rPr>
          <w:rFonts w:ascii="Calibri" w:hAnsi="Calibri" w:cs="Calibri"/>
          <w:sz w:val="18"/>
          <w:szCs w:val="24"/>
        </w:rPr>
        <w:t xml:space="preserve"> </w:t>
      </w:r>
      <w:r>
        <w:rPr>
          <w:rFonts w:ascii="Calibri" w:hAnsi="Calibri" w:cs="Calibri"/>
          <w:b/>
          <w:bCs/>
          <w:sz w:val="18"/>
          <w:szCs w:val="24"/>
        </w:rPr>
        <w:t>16</w:t>
      </w:r>
      <w:r>
        <w:rPr>
          <w:rFonts w:ascii="Calibri" w:hAnsi="Calibri" w:cs="Calibri"/>
          <w:sz w:val="18"/>
          <w:szCs w:val="24"/>
        </w:rPr>
        <w:t>, 297–305 (2011).</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44.</w:t>
      </w:r>
      <w:r>
        <w:rPr>
          <w:rFonts w:ascii="Calibri" w:hAnsi="Calibri" w:cs="Calibri"/>
          <w:sz w:val="18"/>
          <w:szCs w:val="24"/>
        </w:rPr>
        <w:tab/>
        <w:t xml:space="preserve">Brière, R. </w:t>
      </w:r>
      <w:r>
        <w:rPr>
          <w:rFonts w:ascii="Calibri" w:hAnsi="Calibri" w:cs="Calibri"/>
          <w:i/>
          <w:iCs/>
          <w:sz w:val="18"/>
          <w:szCs w:val="24"/>
        </w:rPr>
        <w:t>et al.</w:t>
      </w:r>
      <w:r>
        <w:rPr>
          <w:rFonts w:ascii="Calibri" w:hAnsi="Calibri" w:cs="Calibri"/>
          <w:sz w:val="18"/>
          <w:szCs w:val="24"/>
        </w:rPr>
        <w:t xml:space="preserve"> Life cycle assessment of the production of surface-active alkyl polyglycosides from acid-assisted ball-milled wheat straw compared to the conventional production based on corn-starch. </w:t>
      </w:r>
      <w:r>
        <w:rPr>
          <w:rFonts w:ascii="Calibri" w:hAnsi="Calibri" w:cs="Calibri"/>
          <w:i/>
          <w:iCs/>
          <w:sz w:val="18"/>
          <w:szCs w:val="24"/>
        </w:rPr>
        <w:t>Green Chem.</w:t>
      </w:r>
      <w:r>
        <w:rPr>
          <w:rFonts w:ascii="Calibri" w:hAnsi="Calibri" w:cs="Calibri"/>
          <w:sz w:val="18"/>
          <w:szCs w:val="24"/>
        </w:rPr>
        <w:t xml:space="preserve"> </w:t>
      </w:r>
      <w:r>
        <w:rPr>
          <w:rFonts w:ascii="Calibri" w:hAnsi="Calibri" w:cs="Calibri"/>
          <w:b/>
          <w:bCs/>
          <w:sz w:val="18"/>
          <w:szCs w:val="24"/>
        </w:rPr>
        <w:t>20</w:t>
      </w:r>
      <w:r>
        <w:rPr>
          <w:rFonts w:ascii="Calibri" w:hAnsi="Calibri" w:cs="Calibri"/>
          <w:sz w:val="18"/>
          <w:szCs w:val="24"/>
        </w:rPr>
        <w:t>, 2135–2141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45.</w:t>
      </w:r>
      <w:r>
        <w:rPr>
          <w:rFonts w:ascii="Calibri" w:hAnsi="Calibri" w:cs="Calibri"/>
          <w:sz w:val="18"/>
          <w:szCs w:val="24"/>
        </w:rPr>
        <w:tab/>
        <w:t xml:space="preserve">Montazeri, M. &amp; Eckelman, M. J. Life cycle assessment of UV-Curable bio-based wood flooring coatings.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192</w:t>
      </w:r>
      <w:r>
        <w:rPr>
          <w:rFonts w:ascii="Calibri" w:hAnsi="Calibri" w:cs="Calibri"/>
          <w:sz w:val="18"/>
          <w:szCs w:val="24"/>
        </w:rPr>
        <w:t>, 932–939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46.</w:t>
      </w:r>
      <w:r>
        <w:rPr>
          <w:rFonts w:ascii="Calibri" w:hAnsi="Calibri" w:cs="Calibri"/>
          <w:sz w:val="18"/>
          <w:szCs w:val="24"/>
        </w:rPr>
        <w:tab/>
        <w:t xml:space="preserve">Adom, F. K. &amp; Dunn, J. B. Life cycle analysis of corn-stover-derived polymer-grade l-lactic acid and ethyl lactate: greenhouse gas emissions and fossil energy consumption. </w:t>
      </w:r>
      <w:r>
        <w:rPr>
          <w:rFonts w:ascii="Calibri" w:hAnsi="Calibri" w:cs="Calibri"/>
          <w:i/>
          <w:iCs/>
          <w:sz w:val="18"/>
          <w:szCs w:val="24"/>
        </w:rPr>
        <w:t>Biofuels, Bioprod. Biorefining</w:t>
      </w:r>
      <w:r>
        <w:rPr>
          <w:rFonts w:ascii="Calibri" w:hAnsi="Calibri" w:cs="Calibri"/>
          <w:sz w:val="18"/>
          <w:szCs w:val="24"/>
        </w:rPr>
        <w:t xml:space="preserve"> </w:t>
      </w:r>
      <w:r>
        <w:rPr>
          <w:rFonts w:ascii="Calibri" w:hAnsi="Calibri" w:cs="Calibri"/>
          <w:b/>
          <w:bCs/>
          <w:sz w:val="18"/>
          <w:szCs w:val="24"/>
        </w:rPr>
        <w:t>11</w:t>
      </w:r>
      <w:r>
        <w:rPr>
          <w:rFonts w:ascii="Calibri" w:hAnsi="Calibri" w:cs="Calibri"/>
          <w:sz w:val="18"/>
          <w:szCs w:val="24"/>
        </w:rPr>
        <w:t>, 258–268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47.</w:t>
      </w:r>
      <w:r>
        <w:rPr>
          <w:rFonts w:ascii="Calibri" w:hAnsi="Calibri" w:cs="Calibri"/>
          <w:sz w:val="18"/>
          <w:szCs w:val="24"/>
        </w:rPr>
        <w:tab/>
        <w:t xml:space="preserve">Garcia Gonzalez, M. N., Levi, M. &amp; Turri, S. Development of polyester binders for the production of sustainable polyurethane coatings: Technological characterization and life cycle assessment.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164</w:t>
      </w:r>
      <w:r>
        <w:rPr>
          <w:rFonts w:ascii="Calibri" w:hAnsi="Calibri" w:cs="Calibri"/>
          <w:sz w:val="18"/>
          <w:szCs w:val="24"/>
        </w:rPr>
        <w:t>, 171–178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48.</w:t>
      </w:r>
      <w:r>
        <w:rPr>
          <w:rFonts w:ascii="Calibri" w:hAnsi="Calibri" w:cs="Calibri"/>
          <w:sz w:val="18"/>
          <w:szCs w:val="24"/>
        </w:rPr>
        <w:tab/>
        <w:t xml:space="preserve">Kikuchi, Y., Oshita, Y., Mayumi, K. &amp; Hirao, M. Greenhouse gas emissions and socioeconomic effects of biomass-derived products based on structural path and life cycle analyses: A case study of polyethylene and polypropylene in Japan.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167</w:t>
      </w:r>
      <w:r>
        <w:rPr>
          <w:rFonts w:ascii="Calibri" w:hAnsi="Calibri" w:cs="Calibri"/>
          <w:sz w:val="18"/>
          <w:szCs w:val="24"/>
        </w:rPr>
        <w:t>, 289–305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49.</w:t>
      </w:r>
      <w:r>
        <w:rPr>
          <w:rFonts w:ascii="Calibri" w:hAnsi="Calibri" w:cs="Calibri"/>
          <w:sz w:val="18"/>
          <w:szCs w:val="24"/>
        </w:rPr>
        <w:tab/>
        <w:t xml:space="preserve">de Léis, C. M., Nogueira, A. R., Kulay, L. &amp; Tadini, C. C. Environmental and energy analysis of biopolymer film based on cassava starch in Brazil.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143</w:t>
      </w:r>
      <w:r>
        <w:rPr>
          <w:rFonts w:ascii="Calibri" w:hAnsi="Calibri" w:cs="Calibri"/>
          <w:sz w:val="18"/>
          <w:szCs w:val="24"/>
        </w:rPr>
        <w:t>, 76–89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50.</w:t>
      </w:r>
      <w:r>
        <w:rPr>
          <w:rFonts w:ascii="Calibri" w:hAnsi="Calibri" w:cs="Calibri"/>
          <w:sz w:val="18"/>
          <w:szCs w:val="24"/>
        </w:rPr>
        <w:tab/>
        <w:t xml:space="preserve">Petrucci, R. </w:t>
      </w:r>
      <w:r>
        <w:rPr>
          <w:rFonts w:ascii="Calibri" w:hAnsi="Calibri" w:cs="Calibri"/>
          <w:i/>
          <w:iCs/>
          <w:sz w:val="18"/>
          <w:szCs w:val="24"/>
        </w:rPr>
        <w:t>et al.</w:t>
      </w:r>
      <w:r>
        <w:rPr>
          <w:rFonts w:ascii="Calibri" w:hAnsi="Calibri" w:cs="Calibri"/>
          <w:sz w:val="18"/>
          <w:szCs w:val="24"/>
        </w:rPr>
        <w:t xml:space="preserve"> Life Cycle Analysis of Extruded Films Based on Poly(lactic acid)/Cellulose Nanocrystal/Limonene: A Comparative Study with ATBC Plasticized PLA/OMMT Systems. </w:t>
      </w:r>
      <w:r>
        <w:rPr>
          <w:rFonts w:ascii="Calibri" w:hAnsi="Calibri" w:cs="Calibri"/>
          <w:i/>
          <w:iCs/>
          <w:sz w:val="18"/>
          <w:szCs w:val="24"/>
        </w:rPr>
        <w:t>J. Polym. Environ.</w:t>
      </w:r>
      <w:r>
        <w:rPr>
          <w:rFonts w:ascii="Calibri" w:hAnsi="Calibri" w:cs="Calibri"/>
          <w:sz w:val="18"/>
          <w:szCs w:val="24"/>
        </w:rPr>
        <w:t xml:space="preserve"> </w:t>
      </w:r>
      <w:r>
        <w:rPr>
          <w:rFonts w:ascii="Calibri" w:hAnsi="Calibri" w:cs="Calibri"/>
          <w:b/>
          <w:bCs/>
          <w:sz w:val="18"/>
          <w:szCs w:val="24"/>
        </w:rPr>
        <w:t>26</w:t>
      </w:r>
      <w:r>
        <w:rPr>
          <w:rFonts w:ascii="Calibri" w:hAnsi="Calibri" w:cs="Calibri"/>
          <w:sz w:val="18"/>
          <w:szCs w:val="24"/>
        </w:rPr>
        <w:t>, 1891–1902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51.</w:t>
      </w:r>
      <w:r>
        <w:rPr>
          <w:rFonts w:ascii="Calibri" w:hAnsi="Calibri" w:cs="Calibri"/>
          <w:sz w:val="18"/>
          <w:szCs w:val="24"/>
        </w:rPr>
        <w:tab/>
        <w:t xml:space="preserve">Zhang, D., del Rio-Chanona, E. A., Wagner, J. L. &amp; Shah, N. Life cycle assessments of bio-based sustainable polylimonene carbonate production processes. </w:t>
      </w:r>
      <w:r>
        <w:rPr>
          <w:rFonts w:ascii="Calibri" w:hAnsi="Calibri" w:cs="Calibri"/>
          <w:i/>
          <w:iCs/>
          <w:sz w:val="18"/>
          <w:szCs w:val="24"/>
        </w:rPr>
        <w:t>Sustain. Prod. Consum.</w:t>
      </w:r>
      <w:r>
        <w:rPr>
          <w:rFonts w:ascii="Calibri" w:hAnsi="Calibri" w:cs="Calibri"/>
          <w:sz w:val="18"/>
          <w:szCs w:val="24"/>
        </w:rPr>
        <w:t xml:space="preserve"> </w:t>
      </w:r>
      <w:r>
        <w:rPr>
          <w:rFonts w:ascii="Calibri" w:hAnsi="Calibri" w:cs="Calibri"/>
          <w:b/>
          <w:bCs/>
          <w:sz w:val="18"/>
          <w:szCs w:val="24"/>
        </w:rPr>
        <w:t>14</w:t>
      </w:r>
      <w:r>
        <w:rPr>
          <w:rFonts w:ascii="Calibri" w:hAnsi="Calibri" w:cs="Calibri"/>
          <w:sz w:val="18"/>
          <w:szCs w:val="24"/>
        </w:rPr>
        <w:t>, 152–160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52.</w:t>
      </w:r>
      <w:r>
        <w:rPr>
          <w:rFonts w:ascii="Calibri" w:hAnsi="Calibri" w:cs="Calibri"/>
          <w:sz w:val="18"/>
          <w:szCs w:val="24"/>
        </w:rPr>
        <w:tab/>
        <w:t xml:space="preserve">García González, M. N., Börjesson, P., Levi, M. &amp; Turri, S. Development and Life Cycle Assessment of Polyester Binders Containing 2,5-Furandicarboxylic Acid and Their Polyurethane Coatings. </w:t>
      </w:r>
      <w:r>
        <w:rPr>
          <w:rFonts w:ascii="Calibri" w:hAnsi="Calibri" w:cs="Calibri"/>
          <w:i/>
          <w:iCs/>
          <w:sz w:val="18"/>
          <w:szCs w:val="24"/>
        </w:rPr>
        <w:t>J. Polym. Environ.</w:t>
      </w:r>
      <w:r>
        <w:rPr>
          <w:rFonts w:ascii="Calibri" w:hAnsi="Calibri" w:cs="Calibri"/>
          <w:sz w:val="18"/>
          <w:szCs w:val="24"/>
        </w:rPr>
        <w:t xml:space="preserve"> </w:t>
      </w:r>
      <w:r>
        <w:rPr>
          <w:rFonts w:ascii="Calibri" w:hAnsi="Calibri" w:cs="Calibri"/>
          <w:b/>
          <w:bCs/>
          <w:sz w:val="18"/>
          <w:szCs w:val="24"/>
        </w:rPr>
        <w:t>26</w:t>
      </w:r>
      <w:r>
        <w:rPr>
          <w:rFonts w:ascii="Calibri" w:hAnsi="Calibri" w:cs="Calibri"/>
          <w:sz w:val="18"/>
          <w:szCs w:val="24"/>
        </w:rPr>
        <w:t>, 3626–3637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53.</w:t>
      </w:r>
      <w:r>
        <w:rPr>
          <w:rFonts w:ascii="Calibri" w:hAnsi="Calibri" w:cs="Calibri"/>
          <w:sz w:val="18"/>
          <w:szCs w:val="24"/>
        </w:rPr>
        <w:tab/>
        <w:t xml:space="preserve">Cheroennet, N., Pongpinyopap, S., Leejarkpai, T. &amp; Suwanmanee, U. A trade-off between carbon and water impacts in bio-based box production chains in Thailand: A case study of PS, PLAS, PLAS/starch, and PBS.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167</w:t>
      </w:r>
      <w:r>
        <w:rPr>
          <w:rFonts w:ascii="Calibri" w:hAnsi="Calibri" w:cs="Calibri"/>
          <w:sz w:val="18"/>
          <w:szCs w:val="24"/>
        </w:rPr>
        <w:t>, 987–1001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lastRenderedPageBreak/>
        <w:t>54.</w:t>
      </w:r>
      <w:r>
        <w:rPr>
          <w:rFonts w:ascii="Calibri" w:hAnsi="Calibri" w:cs="Calibri"/>
          <w:sz w:val="18"/>
          <w:szCs w:val="24"/>
        </w:rPr>
        <w:tab/>
        <w:t xml:space="preserve">Patel, M. K. </w:t>
      </w:r>
      <w:r>
        <w:rPr>
          <w:rFonts w:ascii="Calibri" w:hAnsi="Calibri" w:cs="Calibri"/>
          <w:i/>
          <w:iCs/>
          <w:sz w:val="18"/>
          <w:szCs w:val="24"/>
        </w:rPr>
        <w:t>et al.</w:t>
      </w:r>
      <w:r>
        <w:rPr>
          <w:rFonts w:ascii="Calibri" w:hAnsi="Calibri" w:cs="Calibri"/>
          <w:sz w:val="18"/>
          <w:szCs w:val="24"/>
        </w:rPr>
        <w:t xml:space="preserve"> Second-generation bio-based plastics are becoming a reality - Non-renewable energy and greenhouse gas (GHG) balance of succinic acid-based plastic end products made from lignocellulosic biomass. </w:t>
      </w:r>
      <w:r>
        <w:rPr>
          <w:rFonts w:ascii="Calibri" w:hAnsi="Calibri" w:cs="Calibri"/>
          <w:i/>
          <w:iCs/>
          <w:sz w:val="18"/>
          <w:szCs w:val="24"/>
        </w:rPr>
        <w:t>Biofuels, Bioprod. Biorefining</w:t>
      </w:r>
      <w:r>
        <w:rPr>
          <w:rFonts w:ascii="Calibri" w:hAnsi="Calibri" w:cs="Calibri"/>
          <w:sz w:val="18"/>
          <w:szCs w:val="24"/>
        </w:rPr>
        <w:t xml:space="preserve"> </w:t>
      </w:r>
      <w:r>
        <w:rPr>
          <w:rFonts w:ascii="Calibri" w:hAnsi="Calibri" w:cs="Calibri"/>
          <w:b/>
          <w:bCs/>
          <w:sz w:val="18"/>
          <w:szCs w:val="24"/>
        </w:rPr>
        <w:t>12</w:t>
      </w:r>
      <w:r>
        <w:rPr>
          <w:rFonts w:ascii="Calibri" w:hAnsi="Calibri" w:cs="Calibri"/>
          <w:sz w:val="18"/>
          <w:szCs w:val="24"/>
        </w:rPr>
        <w:t>, 426–441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55.</w:t>
      </w:r>
      <w:r>
        <w:rPr>
          <w:rFonts w:ascii="Calibri" w:hAnsi="Calibri" w:cs="Calibri"/>
          <w:sz w:val="18"/>
          <w:szCs w:val="24"/>
        </w:rPr>
        <w:tab/>
        <w:t xml:space="preserve">Warlin, N. </w:t>
      </w:r>
      <w:r>
        <w:rPr>
          <w:rFonts w:ascii="Calibri" w:hAnsi="Calibri" w:cs="Calibri"/>
          <w:i/>
          <w:iCs/>
          <w:sz w:val="18"/>
          <w:szCs w:val="24"/>
        </w:rPr>
        <w:t>et al.</w:t>
      </w:r>
      <w:r>
        <w:rPr>
          <w:rFonts w:ascii="Calibri" w:hAnsi="Calibri" w:cs="Calibri"/>
          <w:sz w:val="18"/>
          <w:szCs w:val="24"/>
        </w:rPr>
        <w:t xml:space="preserve"> A rigid spirocyclic diol from fructose-based 5-hydroxymethylfurfural: synthesis, life-cycle assessment, and polymerization for renewable polyesters and poly(urethane-urea)s. </w:t>
      </w:r>
      <w:r>
        <w:rPr>
          <w:rFonts w:ascii="Calibri" w:hAnsi="Calibri" w:cs="Calibri"/>
          <w:i/>
          <w:iCs/>
          <w:sz w:val="18"/>
          <w:szCs w:val="24"/>
        </w:rPr>
        <w:t>Green Chem.</w:t>
      </w:r>
      <w:r>
        <w:rPr>
          <w:rFonts w:ascii="Calibri" w:hAnsi="Calibri" w:cs="Calibri"/>
          <w:sz w:val="18"/>
          <w:szCs w:val="24"/>
        </w:rPr>
        <w:t xml:space="preserve"> </w:t>
      </w:r>
      <w:r>
        <w:rPr>
          <w:rFonts w:ascii="Calibri" w:hAnsi="Calibri" w:cs="Calibri"/>
          <w:b/>
          <w:bCs/>
          <w:sz w:val="18"/>
          <w:szCs w:val="24"/>
        </w:rPr>
        <w:t>21</w:t>
      </w:r>
      <w:r>
        <w:rPr>
          <w:rFonts w:ascii="Calibri" w:hAnsi="Calibri" w:cs="Calibri"/>
          <w:sz w:val="18"/>
          <w:szCs w:val="24"/>
        </w:rPr>
        <w:t>, 6667–6684 (2019).</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56.</w:t>
      </w:r>
      <w:r>
        <w:rPr>
          <w:rFonts w:ascii="Calibri" w:hAnsi="Calibri" w:cs="Calibri"/>
          <w:sz w:val="18"/>
          <w:szCs w:val="24"/>
        </w:rPr>
        <w:tab/>
        <w:t xml:space="preserve">Kookos, I. K., Koutinas, A. &amp; Vlysidis, A. Life cycle assessment of bioprocessing schemes for poly(3-hydroxybutyrate) production using soybean oil and sucrose as carbon sources. </w:t>
      </w:r>
      <w:r>
        <w:rPr>
          <w:rFonts w:ascii="Calibri" w:hAnsi="Calibri" w:cs="Calibri"/>
          <w:i/>
          <w:iCs/>
          <w:sz w:val="18"/>
          <w:szCs w:val="24"/>
        </w:rPr>
        <w:t>Resour. Conserv. Recycl.</w:t>
      </w:r>
      <w:r>
        <w:rPr>
          <w:rFonts w:ascii="Calibri" w:hAnsi="Calibri" w:cs="Calibri"/>
          <w:sz w:val="18"/>
          <w:szCs w:val="24"/>
        </w:rPr>
        <w:t xml:space="preserve"> </w:t>
      </w:r>
      <w:r>
        <w:rPr>
          <w:rFonts w:ascii="Calibri" w:hAnsi="Calibri" w:cs="Calibri"/>
          <w:b/>
          <w:bCs/>
          <w:sz w:val="18"/>
          <w:szCs w:val="24"/>
        </w:rPr>
        <w:t>141</w:t>
      </w:r>
      <w:r>
        <w:rPr>
          <w:rFonts w:ascii="Calibri" w:hAnsi="Calibri" w:cs="Calibri"/>
          <w:sz w:val="18"/>
          <w:szCs w:val="24"/>
        </w:rPr>
        <w:t>, 317–328 (2019).</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57.</w:t>
      </w:r>
      <w:r>
        <w:rPr>
          <w:rFonts w:ascii="Calibri" w:hAnsi="Calibri" w:cs="Calibri"/>
          <w:sz w:val="18"/>
          <w:szCs w:val="24"/>
        </w:rPr>
        <w:tab/>
        <w:t xml:space="preserve">Manzardo, A. </w:t>
      </w:r>
      <w:r>
        <w:rPr>
          <w:rFonts w:ascii="Calibri" w:hAnsi="Calibri" w:cs="Calibri"/>
          <w:i/>
          <w:iCs/>
          <w:sz w:val="18"/>
          <w:szCs w:val="24"/>
        </w:rPr>
        <w:t>et al.</w:t>
      </w:r>
      <w:r>
        <w:rPr>
          <w:rFonts w:ascii="Calibri" w:hAnsi="Calibri" w:cs="Calibri"/>
          <w:sz w:val="18"/>
          <w:szCs w:val="24"/>
        </w:rPr>
        <w:t xml:space="preserve"> Life Cycle Assessment Framework To Support the Design of Biobased Rigid Polyurethane Foams. </w:t>
      </w:r>
      <w:r>
        <w:rPr>
          <w:rFonts w:ascii="Calibri" w:hAnsi="Calibri" w:cs="Calibri"/>
          <w:i/>
          <w:iCs/>
          <w:sz w:val="18"/>
          <w:szCs w:val="24"/>
        </w:rPr>
        <w:t>ACS Omega</w:t>
      </w:r>
      <w:r>
        <w:rPr>
          <w:rFonts w:ascii="Calibri" w:hAnsi="Calibri" w:cs="Calibri"/>
          <w:sz w:val="18"/>
          <w:szCs w:val="24"/>
        </w:rPr>
        <w:t xml:space="preserve"> </w:t>
      </w:r>
      <w:r>
        <w:rPr>
          <w:rFonts w:ascii="Calibri" w:hAnsi="Calibri" w:cs="Calibri"/>
          <w:b/>
          <w:bCs/>
          <w:sz w:val="18"/>
          <w:szCs w:val="24"/>
        </w:rPr>
        <w:t>4</w:t>
      </w:r>
      <w:r>
        <w:rPr>
          <w:rFonts w:ascii="Calibri" w:hAnsi="Calibri" w:cs="Calibri"/>
          <w:sz w:val="18"/>
          <w:szCs w:val="24"/>
        </w:rPr>
        <w:t>, 14114–14123 (2019).</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58.</w:t>
      </w:r>
      <w:r>
        <w:rPr>
          <w:rFonts w:ascii="Calibri" w:hAnsi="Calibri" w:cs="Calibri"/>
          <w:sz w:val="18"/>
          <w:szCs w:val="24"/>
        </w:rPr>
        <w:tab/>
        <w:t xml:space="preserve">Mankar, S. V. </w:t>
      </w:r>
      <w:r>
        <w:rPr>
          <w:rFonts w:ascii="Calibri" w:hAnsi="Calibri" w:cs="Calibri"/>
          <w:i/>
          <w:iCs/>
          <w:sz w:val="18"/>
          <w:szCs w:val="24"/>
        </w:rPr>
        <w:t>et al.</w:t>
      </w:r>
      <w:r>
        <w:rPr>
          <w:rFonts w:ascii="Calibri" w:hAnsi="Calibri" w:cs="Calibri"/>
          <w:sz w:val="18"/>
          <w:szCs w:val="24"/>
        </w:rPr>
        <w:t xml:space="preserve"> Synthesis, Life Cycle Assessment, and Polymerization of a Vanillin-Based Spirocyclic Diol toward Polyesters with Increased Glass-Transition Temperature. </w:t>
      </w:r>
      <w:r>
        <w:rPr>
          <w:rFonts w:ascii="Calibri" w:hAnsi="Calibri" w:cs="Calibri"/>
          <w:i/>
          <w:iCs/>
          <w:sz w:val="18"/>
          <w:szCs w:val="24"/>
        </w:rPr>
        <w:t>ACS Sustain. Chem. Eng.</w:t>
      </w:r>
      <w:r>
        <w:rPr>
          <w:rFonts w:ascii="Calibri" w:hAnsi="Calibri" w:cs="Calibri"/>
          <w:sz w:val="18"/>
          <w:szCs w:val="24"/>
        </w:rPr>
        <w:t xml:space="preserve"> </w:t>
      </w:r>
      <w:r>
        <w:rPr>
          <w:rFonts w:ascii="Calibri" w:hAnsi="Calibri" w:cs="Calibri"/>
          <w:b/>
          <w:bCs/>
          <w:sz w:val="18"/>
          <w:szCs w:val="24"/>
        </w:rPr>
        <w:t>7</w:t>
      </w:r>
      <w:r>
        <w:rPr>
          <w:rFonts w:ascii="Calibri" w:hAnsi="Calibri" w:cs="Calibri"/>
          <w:sz w:val="18"/>
          <w:szCs w:val="24"/>
        </w:rPr>
        <w:t>, 19090–19103 (2019).</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59.</w:t>
      </w:r>
      <w:r>
        <w:rPr>
          <w:rFonts w:ascii="Calibri" w:hAnsi="Calibri" w:cs="Calibri"/>
          <w:sz w:val="18"/>
          <w:szCs w:val="24"/>
        </w:rPr>
        <w:tab/>
        <w:t xml:space="preserve">Moretti, C., Junginger, M. &amp; Shen, L. Environmental life cycle assessment of polypropylene made from used cooking oil. </w:t>
      </w:r>
      <w:r>
        <w:rPr>
          <w:rFonts w:ascii="Calibri" w:hAnsi="Calibri" w:cs="Calibri"/>
          <w:i/>
          <w:iCs/>
          <w:sz w:val="18"/>
          <w:szCs w:val="24"/>
        </w:rPr>
        <w:t>Resour. Conserv. Recycl.</w:t>
      </w:r>
      <w:r>
        <w:rPr>
          <w:rFonts w:ascii="Calibri" w:hAnsi="Calibri" w:cs="Calibri"/>
          <w:sz w:val="18"/>
          <w:szCs w:val="24"/>
        </w:rPr>
        <w:t xml:space="preserve"> </w:t>
      </w:r>
      <w:r>
        <w:rPr>
          <w:rFonts w:ascii="Calibri" w:hAnsi="Calibri" w:cs="Calibri"/>
          <w:b/>
          <w:bCs/>
          <w:sz w:val="18"/>
          <w:szCs w:val="24"/>
        </w:rPr>
        <w:t>157</w:t>
      </w:r>
      <w:r>
        <w:rPr>
          <w:rFonts w:ascii="Calibri" w:hAnsi="Calibri" w:cs="Calibri"/>
          <w:sz w:val="18"/>
          <w:szCs w:val="24"/>
        </w:rPr>
        <w:t>, 104750 (2020).</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60.</w:t>
      </w:r>
      <w:r>
        <w:rPr>
          <w:rFonts w:ascii="Calibri" w:hAnsi="Calibri" w:cs="Calibri"/>
          <w:sz w:val="18"/>
          <w:szCs w:val="24"/>
        </w:rPr>
        <w:tab/>
        <w:t xml:space="preserve">Fridrihsone, A., Romagnoli, F., Kirsanovs, V. &amp; Cabulis, U. Life Cycle Assessment of vegetable oil based polyols for polyurethane production.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266</w:t>
      </w:r>
      <w:r>
        <w:rPr>
          <w:rFonts w:ascii="Calibri" w:hAnsi="Calibri" w:cs="Calibri"/>
          <w:sz w:val="18"/>
          <w:szCs w:val="24"/>
        </w:rPr>
        <w:t>, 121403 (2020).</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61.</w:t>
      </w:r>
      <w:r>
        <w:rPr>
          <w:rFonts w:ascii="Calibri" w:hAnsi="Calibri" w:cs="Calibri"/>
          <w:sz w:val="18"/>
          <w:szCs w:val="24"/>
        </w:rPr>
        <w:tab/>
        <w:t xml:space="preserve">Parajuli, R. </w:t>
      </w:r>
      <w:r>
        <w:rPr>
          <w:rFonts w:ascii="Calibri" w:hAnsi="Calibri" w:cs="Calibri"/>
          <w:i/>
          <w:iCs/>
          <w:sz w:val="18"/>
          <w:szCs w:val="24"/>
        </w:rPr>
        <w:t>et al.</w:t>
      </w:r>
      <w:r>
        <w:rPr>
          <w:rFonts w:ascii="Calibri" w:hAnsi="Calibri" w:cs="Calibri"/>
          <w:sz w:val="18"/>
          <w:szCs w:val="24"/>
        </w:rPr>
        <w:t xml:space="preserve"> Environmental impacts of producing bioethanol and biobased lactic acid from standalone and integrated biorefineries using a consequential and an attributional life cycle assessment approach. </w:t>
      </w:r>
      <w:r>
        <w:rPr>
          <w:rFonts w:ascii="Calibri" w:hAnsi="Calibri" w:cs="Calibri"/>
          <w:i/>
          <w:iCs/>
          <w:sz w:val="18"/>
          <w:szCs w:val="24"/>
        </w:rPr>
        <w:t>Sci. Total Environ.</w:t>
      </w:r>
      <w:r>
        <w:rPr>
          <w:rFonts w:ascii="Calibri" w:hAnsi="Calibri" w:cs="Calibri"/>
          <w:sz w:val="18"/>
          <w:szCs w:val="24"/>
        </w:rPr>
        <w:t xml:space="preserve"> </w:t>
      </w:r>
      <w:r>
        <w:rPr>
          <w:rFonts w:ascii="Calibri" w:hAnsi="Calibri" w:cs="Calibri"/>
          <w:b/>
          <w:bCs/>
          <w:sz w:val="18"/>
          <w:szCs w:val="24"/>
        </w:rPr>
        <w:t>598</w:t>
      </w:r>
      <w:r>
        <w:rPr>
          <w:rFonts w:ascii="Calibri" w:hAnsi="Calibri" w:cs="Calibri"/>
          <w:sz w:val="18"/>
          <w:szCs w:val="24"/>
        </w:rPr>
        <w:t>, 497–512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62.</w:t>
      </w:r>
      <w:r>
        <w:rPr>
          <w:rFonts w:ascii="Calibri" w:hAnsi="Calibri" w:cs="Calibri"/>
          <w:sz w:val="18"/>
          <w:szCs w:val="24"/>
        </w:rPr>
        <w:tab/>
        <w:t xml:space="preserve">Cai, H. </w:t>
      </w:r>
      <w:r>
        <w:rPr>
          <w:rFonts w:ascii="Calibri" w:hAnsi="Calibri" w:cs="Calibri"/>
          <w:i/>
          <w:iCs/>
          <w:sz w:val="18"/>
          <w:szCs w:val="24"/>
        </w:rPr>
        <w:t>et al.</w:t>
      </w:r>
      <w:r>
        <w:rPr>
          <w:rFonts w:ascii="Calibri" w:hAnsi="Calibri" w:cs="Calibri"/>
          <w:sz w:val="18"/>
          <w:szCs w:val="24"/>
        </w:rPr>
        <w:t xml:space="preserve"> Life-cycle analysis of integrated biorefineries with co-production of biofuels and bio-based chemicals: co-product handling methods and implications. </w:t>
      </w:r>
      <w:r>
        <w:rPr>
          <w:rFonts w:ascii="Calibri" w:hAnsi="Calibri" w:cs="Calibri"/>
          <w:i/>
          <w:iCs/>
          <w:sz w:val="18"/>
          <w:szCs w:val="24"/>
        </w:rPr>
        <w:t>Biofuels, Bioprod. Biorefining</w:t>
      </w:r>
      <w:r>
        <w:rPr>
          <w:rFonts w:ascii="Calibri" w:hAnsi="Calibri" w:cs="Calibri"/>
          <w:sz w:val="18"/>
          <w:szCs w:val="24"/>
        </w:rPr>
        <w:t xml:space="preserve"> </w:t>
      </w:r>
      <w:r>
        <w:rPr>
          <w:rFonts w:ascii="Calibri" w:hAnsi="Calibri" w:cs="Calibri"/>
          <w:b/>
          <w:bCs/>
          <w:sz w:val="18"/>
          <w:szCs w:val="24"/>
        </w:rPr>
        <w:t>12</w:t>
      </w:r>
      <w:r>
        <w:rPr>
          <w:rFonts w:ascii="Calibri" w:hAnsi="Calibri" w:cs="Calibri"/>
          <w:sz w:val="18"/>
          <w:szCs w:val="24"/>
        </w:rPr>
        <w:t>, 815–833 (2018).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63.</w:t>
      </w:r>
      <w:r>
        <w:rPr>
          <w:rFonts w:ascii="Calibri" w:hAnsi="Calibri" w:cs="Calibri"/>
          <w:sz w:val="18"/>
          <w:szCs w:val="24"/>
        </w:rPr>
        <w:tab/>
        <w:t xml:space="preserve">Fernandez-Dacosta, C. </w:t>
      </w:r>
      <w:r>
        <w:rPr>
          <w:rFonts w:ascii="Calibri" w:hAnsi="Calibri" w:cs="Calibri"/>
          <w:i/>
          <w:iCs/>
          <w:sz w:val="18"/>
          <w:szCs w:val="24"/>
        </w:rPr>
        <w:t>et al.</w:t>
      </w:r>
      <w:r>
        <w:rPr>
          <w:rFonts w:ascii="Calibri" w:hAnsi="Calibri" w:cs="Calibri"/>
          <w:sz w:val="18"/>
          <w:szCs w:val="24"/>
        </w:rPr>
        <w:t xml:space="preserve"> Can we assess innovative bio-based chemicals in their early development stage? A comparison between early-stage and life cycle assessments.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230</w:t>
      </w:r>
      <w:r>
        <w:rPr>
          <w:rFonts w:ascii="Calibri" w:hAnsi="Calibri" w:cs="Calibri"/>
          <w:sz w:val="18"/>
          <w:szCs w:val="24"/>
        </w:rPr>
        <w:t>, 137–149 (2019).</w:t>
      </w:r>
    </w:p>
    <w:p w:rsidR="0009124B" w:rsidRDefault="00EB3E17">
      <w:pPr>
        <w:widowControl w:val="0"/>
        <w:autoSpaceDE w:val="0"/>
        <w:autoSpaceDN w:val="0"/>
        <w:adjustRightInd w:val="0"/>
        <w:spacing w:line="240" w:lineRule="auto"/>
        <w:ind w:left="640" w:hanging="640"/>
        <w:rPr>
          <w:rFonts w:ascii="Calibri" w:hAnsi="Calibri" w:cs="Calibri"/>
          <w:sz w:val="18"/>
          <w:szCs w:val="24"/>
          <w:lang w:val="nl-NL"/>
        </w:rPr>
      </w:pPr>
      <w:r>
        <w:rPr>
          <w:rFonts w:ascii="Calibri" w:hAnsi="Calibri" w:cs="Calibri"/>
          <w:sz w:val="18"/>
          <w:szCs w:val="24"/>
        </w:rPr>
        <w:t>64.</w:t>
      </w:r>
      <w:r>
        <w:rPr>
          <w:rFonts w:ascii="Calibri" w:hAnsi="Calibri" w:cs="Calibri"/>
          <w:sz w:val="18"/>
          <w:szCs w:val="24"/>
        </w:rPr>
        <w:tab/>
        <w:t xml:space="preserve">Mercado, G., Dominguez, M., Herrera, I. &amp; Melgoza, R. M. Are Polymers Toxic? Case Study: Environmental Impact of a Biopolymer. </w:t>
      </w:r>
      <w:r>
        <w:rPr>
          <w:rFonts w:ascii="Calibri" w:hAnsi="Calibri" w:cs="Calibri"/>
          <w:i/>
          <w:iCs/>
          <w:sz w:val="18"/>
          <w:szCs w:val="24"/>
          <w:lang w:val="nl-NL"/>
        </w:rPr>
        <w:t>J. Environ. Sci. Eng. B</w:t>
      </w:r>
      <w:r>
        <w:rPr>
          <w:rFonts w:ascii="Calibri" w:hAnsi="Calibri" w:cs="Calibri"/>
          <w:sz w:val="18"/>
          <w:szCs w:val="24"/>
          <w:lang w:val="nl-NL"/>
        </w:rPr>
        <w:t xml:space="preserve"> </w:t>
      </w:r>
      <w:r>
        <w:rPr>
          <w:rFonts w:ascii="Calibri" w:hAnsi="Calibri" w:cs="Calibri"/>
          <w:b/>
          <w:bCs/>
          <w:sz w:val="18"/>
          <w:szCs w:val="24"/>
          <w:lang w:val="nl-NL"/>
        </w:rPr>
        <w:t>6</w:t>
      </w:r>
      <w:r>
        <w:rPr>
          <w:rFonts w:ascii="Calibri" w:hAnsi="Calibri" w:cs="Calibri"/>
          <w:sz w:val="18"/>
          <w:szCs w:val="24"/>
          <w:lang w:val="nl-NL"/>
        </w:rPr>
        <w:t>, 121–126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lang w:val="nl-NL"/>
        </w:rPr>
        <w:t>65.</w:t>
      </w:r>
      <w:r>
        <w:rPr>
          <w:rFonts w:ascii="Calibri" w:hAnsi="Calibri" w:cs="Calibri"/>
          <w:sz w:val="18"/>
          <w:szCs w:val="24"/>
          <w:lang w:val="nl-NL"/>
        </w:rPr>
        <w:tab/>
        <w:t xml:space="preserve">Vink, E. T. H. </w:t>
      </w:r>
      <w:r>
        <w:rPr>
          <w:rFonts w:ascii="Calibri" w:hAnsi="Calibri" w:cs="Calibri"/>
          <w:i/>
          <w:iCs/>
          <w:sz w:val="18"/>
          <w:szCs w:val="24"/>
          <w:lang w:val="nl-NL"/>
        </w:rPr>
        <w:t>et al.</w:t>
      </w:r>
      <w:r>
        <w:rPr>
          <w:rFonts w:ascii="Calibri" w:hAnsi="Calibri" w:cs="Calibri"/>
          <w:sz w:val="18"/>
          <w:szCs w:val="24"/>
          <w:lang w:val="nl-NL"/>
        </w:rPr>
        <w:t xml:space="preserve"> </w:t>
      </w:r>
      <w:r>
        <w:rPr>
          <w:rFonts w:ascii="Calibri" w:hAnsi="Calibri" w:cs="Calibri"/>
          <w:sz w:val="18"/>
          <w:szCs w:val="24"/>
        </w:rPr>
        <w:t>The Sustainability of NatureWorks</w:t>
      </w:r>
      <w:r>
        <w:rPr>
          <w:rFonts w:ascii="Calibri" w:hAnsi="Calibri" w:cs="Calibri"/>
          <w:sz w:val="18"/>
          <w:szCs w:val="24"/>
          <w:vertAlign w:val="superscript"/>
        </w:rPr>
        <w:t>TM</w:t>
      </w:r>
      <w:r>
        <w:rPr>
          <w:rFonts w:ascii="Calibri" w:hAnsi="Calibri" w:cs="Calibri"/>
          <w:sz w:val="18"/>
          <w:szCs w:val="24"/>
        </w:rPr>
        <w:t xml:space="preserve"> Polylactide Polymers and Ingeo</w:t>
      </w:r>
      <w:r>
        <w:rPr>
          <w:rFonts w:ascii="Calibri" w:hAnsi="Calibri" w:cs="Calibri"/>
          <w:sz w:val="18"/>
          <w:szCs w:val="24"/>
          <w:vertAlign w:val="superscript"/>
        </w:rPr>
        <w:t>TM</w:t>
      </w:r>
      <w:r>
        <w:rPr>
          <w:rFonts w:ascii="Calibri" w:hAnsi="Calibri" w:cs="Calibri"/>
          <w:sz w:val="18"/>
          <w:szCs w:val="24"/>
        </w:rPr>
        <w:t xml:space="preserve"> Polylactide Fibers: an Update of the Future. </w:t>
      </w:r>
      <w:r>
        <w:rPr>
          <w:rFonts w:ascii="Calibri" w:hAnsi="Calibri" w:cs="Calibri"/>
          <w:i/>
          <w:iCs/>
          <w:sz w:val="18"/>
          <w:szCs w:val="24"/>
        </w:rPr>
        <w:t>Macromol. Biosci.</w:t>
      </w:r>
      <w:r>
        <w:rPr>
          <w:rFonts w:ascii="Calibri" w:hAnsi="Calibri" w:cs="Calibri"/>
          <w:sz w:val="18"/>
          <w:szCs w:val="24"/>
        </w:rPr>
        <w:t xml:space="preserve"> </w:t>
      </w:r>
      <w:r>
        <w:rPr>
          <w:rFonts w:ascii="Calibri" w:hAnsi="Calibri" w:cs="Calibri"/>
          <w:b/>
          <w:bCs/>
          <w:sz w:val="18"/>
          <w:szCs w:val="24"/>
        </w:rPr>
        <w:t>4</w:t>
      </w:r>
      <w:r>
        <w:rPr>
          <w:rFonts w:ascii="Calibri" w:hAnsi="Calibri" w:cs="Calibri"/>
          <w:sz w:val="18"/>
          <w:szCs w:val="24"/>
        </w:rPr>
        <w:t>, 551–564 (2004).</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66.</w:t>
      </w:r>
      <w:r>
        <w:rPr>
          <w:rFonts w:ascii="Calibri" w:hAnsi="Calibri" w:cs="Calibri"/>
          <w:sz w:val="18"/>
          <w:szCs w:val="24"/>
        </w:rPr>
        <w:tab/>
        <w:t xml:space="preserve">Harding, K. G., Dennis, J. S., von Blottnitz, H. &amp; Harrison, S. T. L. Environmental analysis of plastic production processes: Comparing petroleum-based polypropylene and polyethylene with biologically-based poly-β-hydroxybutyric acid using life cycle analysis. </w:t>
      </w:r>
      <w:r>
        <w:rPr>
          <w:rFonts w:ascii="Calibri" w:hAnsi="Calibri" w:cs="Calibri"/>
          <w:i/>
          <w:iCs/>
          <w:sz w:val="18"/>
          <w:szCs w:val="24"/>
        </w:rPr>
        <w:t>J. Biotechnol.</w:t>
      </w:r>
      <w:r>
        <w:rPr>
          <w:rFonts w:ascii="Calibri" w:hAnsi="Calibri" w:cs="Calibri"/>
          <w:sz w:val="18"/>
          <w:szCs w:val="24"/>
        </w:rPr>
        <w:t xml:space="preserve"> </w:t>
      </w:r>
      <w:r>
        <w:rPr>
          <w:rFonts w:ascii="Calibri" w:hAnsi="Calibri" w:cs="Calibri"/>
          <w:b/>
          <w:bCs/>
          <w:sz w:val="18"/>
          <w:szCs w:val="24"/>
        </w:rPr>
        <w:t>130</w:t>
      </w:r>
      <w:r>
        <w:rPr>
          <w:rFonts w:ascii="Calibri" w:hAnsi="Calibri" w:cs="Calibri"/>
          <w:sz w:val="18"/>
          <w:szCs w:val="24"/>
        </w:rPr>
        <w:t>, 57–66 (2007).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67.</w:t>
      </w:r>
      <w:r>
        <w:rPr>
          <w:rFonts w:ascii="Calibri" w:hAnsi="Calibri" w:cs="Calibri"/>
          <w:sz w:val="18"/>
          <w:szCs w:val="24"/>
        </w:rPr>
        <w:tab/>
        <w:t xml:space="preserve">Pachón, E. R., Mandade, P. &amp; Gnansounou, E. Conversion of vine shoots into bioethanol and chemicals: Prospective LCA of biorefinery concept. </w:t>
      </w:r>
      <w:r>
        <w:rPr>
          <w:rFonts w:ascii="Calibri" w:hAnsi="Calibri" w:cs="Calibri"/>
          <w:i/>
          <w:iCs/>
          <w:sz w:val="18"/>
          <w:szCs w:val="24"/>
        </w:rPr>
        <w:t>Bioresour. Technol.</w:t>
      </w:r>
      <w:r>
        <w:rPr>
          <w:rFonts w:ascii="Calibri" w:hAnsi="Calibri" w:cs="Calibri"/>
          <w:sz w:val="18"/>
          <w:szCs w:val="24"/>
        </w:rPr>
        <w:t xml:space="preserve"> </w:t>
      </w:r>
      <w:r>
        <w:rPr>
          <w:rFonts w:ascii="Calibri" w:hAnsi="Calibri" w:cs="Calibri"/>
          <w:b/>
          <w:bCs/>
          <w:sz w:val="18"/>
          <w:szCs w:val="24"/>
        </w:rPr>
        <w:t>303</w:t>
      </w:r>
      <w:r>
        <w:rPr>
          <w:rFonts w:ascii="Calibri" w:hAnsi="Calibri" w:cs="Calibri"/>
          <w:sz w:val="18"/>
          <w:szCs w:val="24"/>
        </w:rPr>
        <w:t>, 122946 (2020).</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68.</w:t>
      </w:r>
      <w:r>
        <w:rPr>
          <w:rFonts w:ascii="Calibri" w:hAnsi="Calibri" w:cs="Calibri"/>
          <w:sz w:val="18"/>
          <w:szCs w:val="24"/>
        </w:rPr>
        <w:tab/>
        <w:t xml:space="preserve">Vera, I., Hoefnagels, R., van der Kooij, A., Moretti, C. &amp; Junginger, M. A carbon footprint assessment of multi-output biorefineries with international biomass supply: a case study for the Netherlands. </w:t>
      </w:r>
      <w:r>
        <w:rPr>
          <w:rFonts w:ascii="Calibri" w:hAnsi="Calibri" w:cs="Calibri"/>
          <w:i/>
          <w:iCs/>
          <w:sz w:val="18"/>
          <w:szCs w:val="24"/>
        </w:rPr>
        <w:t>Biofuels, Bioprod. Biorefining</w:t>
      </w:r>
      <w:r>
        <w:rPr>
          <w:rFonts w:ascii="Calibri" w:hAnsi="Calibri" w:cs="Calibri"/>
          <w:sz w:val="18"/>
          <w:szCs w:val="24"/>
        </w:rPr>
        <w:t xml:space="preserve"> </w:t>
      </w:r>
      <w:r>
        <w:rPr>
          <w:rFonts w:ascii="Calibri" w:hAnsi="Calibri" w:cs="Calibri"/>
          <w:b/>
          <w:bCs/>
          <w:sz w:val="18"/>
          <w:szCs w:val="24"/>
        </w:rPr>
        <w:t>14</w:t>
      </w:r>
      <w:r>
        <w:rPr>
          <w:rFonts w:ascii="Calibri" w:hAnsi="Calibri" w:cs="Calibri"/>
          <w:sz w:val="18"/>
          <w:szCs w:val="24"/>
        </w:rPr>
        <w:t>, 198–224 (2020).</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69.</w:t>
      </w:r>
      <w:r>
        <w:rPr>
          <w:rFonts w:ascii="Calibri" w:hAnsi="Calibri" w:cs="Calibri"/>
          <w:sz w:val="18"/>
          <w:szCs w:val="24"/>
        </w:rPr>
        <w:tab/>
        <w:t xml:space="preserve">Zah, R., Hischier, R., Leão, A. L. &amp; Braun, I. Curauá fibers in the automobile industry – a sustainability assessment.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15</w:t>
      </w:r>
      <w:r>
        <w:rPr>
          <w:rFonts w:ascii="Calibri" w:hAnsi="Calibri" w:cs="Calibri"/>
          <w:sz w:val="18"/>
          <w:szCs w:val="24"/>
        </w:rPr>
        <w:t>, 1032–1040 (2007).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70.</w:t>
      </w:r>
      <w:r>
        <w:rPr>
          <w:rFonts w:ascii="Calibri" w:hAnsi="Calibri" w:cs="Calibri"/>
          <w:sz w:val="18"/>
          <w:szCs w:val="24"/>
        </w:rPr>
        <w:tab/>
        <w:t xml:space="preserve">Kim, S., Dale, B. E., Drzal, L. T. &amp; Misra, M. Life Cycle Assessment of Kenaf Fiber Reinforced Biocomposite. </w:t>
      </w:r>
      <w:r>
        <w:rPr>
          <w:rFonts w:ascii="Calibri" w:hAnsi="Calibri" w:cs="Calibri"/>
          <w:i/>
          <w:iCs/>
          <w:sz w:val="18"/>
          <w:szCs w:val="24"/>
        </w:rPr>
        <w:t>J. Biobased Mater. Bioenergy</w:t>
      </w:r>
      <w:r>
        <w:rPr>
          <w:rFonts w:ascii="Calibri" w:hAnsi="Calibri" w:cs="Calibri"/>
          <w:sz w:val="18"/>
          <w:szCs w:val="24"/>
        </w:rPr>
        <w:t xml:space="preserve"> </w:t>
      </w:r>
      <w:r>
        <w:rPr>
          <w:rFonts w:ascii="Calibri" w:hAnsi="Calibri" w:cs="Calibri"/>
          <w:b/>
          <w:bCs/>
          <w:sz w:val="18"/>
          <w:szCs w:val="24"/>
        </w:rPr>
        <w:t>2</w:t>
      </w:r>
      <w:r>
        <w:rPr>
          <w:rFonts w:ascii="Calibri" w:hAnsi="Calibri" w:cs="Calibri"/>
          <w:sz w:val="18"/>
          <w:szCs w:val="24"/>
        </w:rPr>
        <w:t>, 85–93 (2008).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71.</w:t>
      </w:r>
      <w:r>
        <w:rPr>
          <w:rFonts w:ascii="Calibri" w:hAnsi="Calibri" w:cs="Calibri"/>
          <w:sz w:val="18"/>
          <w:szCs w:val="24"/>
        </w:rPr>
        <w:tab/>
        <w:t xml:space="preserve">De Figueirêdo, M. C. B. </w:t>
      </w:r>
      <w:r>
        <w:rPr>
          <w:rFonts w:ascii="Calibri" w:hAnsi="Calibri" w:cs="Calibri"/>
          <w:i/>
          <w:iCs/>
          <w:sz w:val="18"/>
          <w:szCs w:val="24"/>
        </w:rPr>
        <w:t>et al.</w:t>
      </w:r>
      <w:r>
        <w:rPr>
          <w:rFonts w:ascii="Calibri" w:hAnsi="Calibri" w:cs="Calibri"/>
          <w:sz w:val="18"/>
          <w:szCs w:val="24"/>
        </w:rPr>
        <w:t xml:space="preserve"> Life cycle assessment of cellulose nanowhiskers.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35</w:t>
      </w:r>
      <w:r>
        <w:rPr>
          <w:rFonts w:ascii="Calibri" w:hAnsi="Calibri" w:cs="Calibri"/>
          <w:sz w:val="18"/>
          <w:szCs w:val="24"/>
        </w:rPr>
        <w:t>, 130–139 (2012).</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72.</w:t>
      </w:r>
      <w:r>
        <w:rPr>
          <w:rFonts w:ascii="Calibri" w:hAnsi="Calibri" w:cs="Calibri"/>
          <w:sz w:val="18"/>
          <w:szCs w:val="24"/>
        </w:rPr>
        <w:tab/>
        <w:t xml:space="preserve">Li, Q., McGinnis, S., Sydnor, C., Wong, A. &amp; Renneckar, S. Nanocellulose life cycle assessment. </w:t>
      </w:r>
      <w:r>
        <w:rPr>
          <w:rFonts w:ascii="Calibri" w:hAnsi="Calibri" w:cs="Calibri"/>
          <w:i/>
          <w:iCs/>
          <w:sz w:val="18"/>
          <w:szCs w:val="24"/>
        </w:rPr>
        <w:t>ACS Sustain. Chem. Eng.</w:t>
      </w:r>
      <w:r>
        <w:rPr>
          <w:rFonts w:ascii="Calibri" w:hAnsi="Calibri" w:cs="Calibri"/>
          <w:sz w:val="18"/>
          <w:szCs w:val="24"/>
        </w:rPr>
        <w:t xml:space="preserve"> </w:t>
      </w:r>
      <w:r>
        <w:rPr>
          <w:rFonts w:ascii="Calibri" w:hAnsi="Calibri" w:cs="Calibri"/>
          <w:b/>
          <w:bCs/>
          <w:sz w:val="18"/>
          <w:szCs w:val="24"/>
        </w:rPr>
        <w:t>1</w:t>
      </w:r>
      <w:r>
        <w:rPr>
          <w:rFonts w:ascii="Calibri" w:hAnsi="Calibri" w:cs="Calibri"/>
          <w:sz w:val="18"/>
          <w:szCs w:val="24"/>
        </w:rPr>
        <w:t>, 919–928 (2013).</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73.</w:t>
      </w:r>
      <w:r>
        <w:rPr>
          <w:rFonts w:ascii="Calibri" w:hAnsi="Calibri" w:cs="Calibri"/>
          <w:sz w:val="18"/>
          <w:szCs w:val="24"/>
        </w:rPr>
        <w:tab/>
        <w:t xml:space="preserve">Manda, B. M. K., Worrell, E. &amp; Patel, M. K. Prospective life cycle assessment of an antibacterial T-shirt and supporting business decisions to create value. </w:t>
      </w:r>
      <w:r>
        <w:rPr>
          <w:rFonts w:ascii="Calibri" w:hAnsi="Calibri" w:cs="Calibri"/>
          <w:i/>
          <w:iCs/>
          <w:sz w:val="18"/>
          <w:szCs w:val="24"/>
        </w:rPr>
        <w:t>Resour. Conserv. Recycl.</w:t>
      </w:r>
      <w:r>
        <w:rPr>
          <w:rFonts w:ascii="Calibri" w:hAnsi="Calibri" w:cs="Calibri"/>
          <w:sz w:val="18"/>
          <w:szCs w:val="24"/>
        </w:rPr>
        <w:t xml:space="preserve"> </w:t>
      </w:r>
      <w:r>
        <w:rPr>
          <w:rFonts w:ascii="Calibri" w:hAnsi="Calibri" w:cs="Calibri"/>
          <w:b/>
          <w:bCs/>
          <w:sz w:val="18"/>
          <w:szCs w:val="24"/>
        </w:rPr>
        <w:t>103</w:t>
      </w:r>
      <w:r>
        <w:rPr>
          <w:rFonts w:ascii="Calibri" w:hAnsi="Calibri" w:cs="Calibri"/>
          <w:sz w:val="18"/>
          <w:szCs w:val="24"/>
        </w:rPr>
        <w:t>, 47–57 (2015).</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74.</w:t>
      </w:r>
      <w:r>
        <w:rPr>
          <w:rFonts w:ascii="Calibri" w:hAnsi="Calibri" w:cs="Calibri"/>
          <w:sz w:val="18"/>
          <w:szCs w:val="24"/>
        </w:rPr>
        <w:tab/>
        <w:t xml:space="preserve">Piccinno, F., Hischier, R., Seeger, S. &amp; Som, C. Life cycle assessment of a new technology to extract, functionalize and </w:t>
      </w:r>
      <w:r>
        <w:rPr>
          <w:rFonts w:ascii="Calibri" w:hAnsi="Calibri" w:cs="Calibri"/>
          <w:sz w:val="18"/>
          <w:szCs w:val="24"/>
        </w:rPr>
        <w:lastRenderedPageBreak/>
        <w:t xml:space="preserve">orient cellulose nanofibers from food waste. </w:t>
      </w:r>
      <w:r>
        <w:rPr>
          <w:rFonts w:ascii="Calibri" w:hAnsi="Calibri" w:cs="Calibri"/>
          <w:i/>
          <w:iCs/>
          <w:sz w:val="18"/>
          <w:szCs w:val="24"/>
        </w:rPr>
        <w:t>ACS Sustain. Chem. Eng.</w:t>
      </w:r>
      <w:r>
        <w:rPr>
          <w:rFonts w:ascii="Calibri" w:hAnsi="Calibri" w:cs="Calibri"/>
          <w:sz w:val="18"/>
          <w:szCs w:val="24"/>
        </w:rPr>
        <w:t xml:space="preserve"> </w:t>
      </w:r>
      <w:r>
        <w:rPr>
          <w:rFonts w:ascii="Calibri" w:hAnsi="Calibri" w:cs="Calibri"/>
          <w:b/>
          <w:bCs/>
          <w:sz w:val="18"/>
          <w:szCs w:val="24"/>
        </w:rPr>
        <w:t>3</w:t>
      </w:r>
      <w:r>
        <w:rPr>
          <w:rFonts w:ascii="Calibri" w:hAnsi="Calibri" w:cs="Calibri"/>
          <w:sz w:val="18"/>
          <w:szCs w:val="24"/>
        </w:rPr>
        <w:t>, 1047–1055 (2015).</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75.</w:t>
      </w:r>
      <w:r>
        <w:rPr>
          <w:rFonts w:ascii="Calibri" w:hAnsi="Calibri" w:cs="Calibri"/>
          <w:sz w:val="18"/>
          <w:szCs w:val="24"/>
        </w:rPr>
        <w:tab/>
        <w:t xml:space="preserve">Hervy, M., Evangelisti, S., Lettieri, P. &amp; Lee, K. Y. Life cycle assessment of nanocellulose-reinforced advanced fibre composites. </w:t>
      </w:r>
      <w:r>
        <w:rPr>
          <w:rFonts w:ascii="Calibri" w:hAnsi="Calibri" w:cs="Calibri"/>
          <w:i/>
          <w:iCs/>
          <w:sz w:val="18"/>
          <w:szCs w:val="24"/>
        </w:rPr>
        <w:t>Compos. Sci. Technol.</w:t>
      </w:r>
      <w:r>
        <w:rPr>
          <w:rFonts w:ascii="Calibri" w:hAnsi="Calibri" w:cs="Calibri"/>
          <w:sz w:val="18"/>
          <w:szCs w:val="24"/>
        </w:rPr>
        <w:t xml:space="preserve"> </w:t>
      </w:r>
      <w:r>
        <w:rPr>
          <w:rFonts w:ascii="Calibri" w:hAnsi="Calibri" w:cs="Calibri"/>
          <w:b/>
          <w:bCs/>
          <w:sz w:val="18"/>
          <w:szCs w:val="24"/>
        </w:rPr>
        <w:t>118</w:t>
      </w:r>
      <w:r>
        <w:rPr>
          <w:rFonts w:ascii="Calibri" w:hAnsi="Calibri" w:cs="Calibri"/>
          <w:sz w:val="18"/>
          <w:szCs w:val="24"/>
        </w:rPr>
        <w:t>, 154–162 (2015).</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76.</w:t>
      </w:r>
      <w:r>
        <w:rPr>
          <w:rFonts w:ascii="Calibri" w:hAnsi="Calibri" w:cs="Calibri"/>
          <w:sz w:val="18"/>
          <w:szCs w:val="24"/>
        </w:rPr>
        <w:tab/>
        <w:t xml:space="preserve">Tufvesson, L. M. &amp; Börjesson, P. Wax production from renewable feedstock using biocatalysts instead of fossil feedstock and conventional methods. </w:t>
      </w:r>
      <w:r>
        <w:rPr>
          <w:rFonts w:ascii="Calibri" w:hAnsi="Calibri" w:cs="Calibri"/>
          <w:i/>
          <w:iCs/>
          <w:sz w:val="18"/>
          <w:szCs w:val="24"/>
        </w:rPr>
        <w:t>Int. J. Life Cycle Assess.</w:t>
      </w:r>
      <w:r>
        <w:rPr>
          <w:rFonts w:ascii="Calibri" w:hAnsi="Calibri" w:cs="Calibri"/>
          <w:sz w:val="18"/>
          <w:szCs w:val="24"/>
        </w:rPr>
        <w:t xml:space="preserve"> </w:t>
      </w:r>
      <w:r>
        <w:rPr>
          <w:rFonts w:ascii="Calibri" w:hAnsi="Calibri" w:cs="Calibri"/>
          <w:b/>
          <w:bCs/>
          <w:sz w:val="18"/>
          <w:szCs w:val="24"/>
        </w:rPr>
        <w:t>13</w:t>
      </w:r>
      <w:r>
        <w:rPr>
          <w:rFonts w:ascii="Calibri" w:hAnsi="Calibri" w:cs="Calibri"/>
          <w:sz w:val="18"/>
          <w:szCs w:val="24"/>
        </w:rPr>
        <w:t>, 328–338 (2008).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77.</w:t>
      </w:r>
      <w:r>
        <w:rPr>
          <w:rFonts w:ascii="Calibri" w:hAnsi="Calibri" w:cs="Calibri"/>
          <w:sz w:val="18"/>
          <w:szCs w:val="24"/>
        </w:rPr>
        <w:tab/>
        <w:t xml:space="preserve">Bernier, E., Lavigne, C. &amp; Robidoux, P. Y. Life cycle assessment of kraft lignin for polymer applications. </w:t>
      </w:r>
      <w:r>
        <w:rPr>
          <w:rFonts w:ascii="Calibri" w:hAnsi="Calibri" w:cs="Calibri"/>
          <w:i/>
          <w:iCs/>
          <w:sz w:val="18"/>
          <w:szCs w:val="24"/>
        </w:rPr>
        <w:t>Int. J. Life Cycle Assess.</w:t>
      </w:r>
      <w:r>
        <w:rPr>
          <w:rFonts w:ascii="Calibri" w:hAnsi="Calibri" w:cs="Calibri"/>
          <w:sz w:val="18"/>
          <w:szCs w:val="24"/>
        </w:rPr>
        <w:t xml:space="preserve"> </w:t>
      </w:r>
      <w:r>
        <w:rPr>
          <w:rFonts w:ascii="Calibri" w:hAnsi="Calibri" w:cs="Calibri"/>
          <w:b/>
          <w:bCs/>
          <w:sz w:val="18"/>
          <w:szCs w:val="24"/>
        </w:rPr>
        <w:t>18</w:t>
      </w:r>
      <w:r>
        <w:rPr>
          <w:rFonts w:ascii="Calibri" w:hAnsi="Calibri" w:cs="Calibri"/>
          <w:sz w:val="18"/>
          <w:szCs w:val="24"/>
        </w:rPr>
        <w:t>, 520–528 (2013).</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78.</w:t>
      </w:r>
      <w:r>
        <w:rPr>
          <w:rFonts w:ascii="Calibri" w:hAnsi="Calibri" w:cs="Calibri"/>
          <w:sz w:val="18"/>
          <w:szCs w:val="24"/>
        </w:rPr>
        <w:tab/>
        <w:t xml:space="preserve">Deng, Y., Achten, W. M. J., Van Acker, K. &amp; Duflou, J. R. Life cycle assessment of wheat gluten powder and derived packaging film. </w:t>
      </w:r>
      <w:r>
        <w:rPr>
          <w:rFonts w:ascii="Calibri" w:hAnsi="Calibri" w:cs="Calibri"/>
          <w:i/>
          <w:iCs/>
          <w:sz w:val="18"/>
          <w:szCs w:val="24"/>
        </w:rPr>
        <w:t>Biofuels, Bioprod. Biorefining</w:t>
      </w:r>
      <w:r>
        <w:rPr>
          <w:rFonts w:ascii="Calibri" w:hAnsi="Calibri" w:cs="Calibri"/>
          <w:sz w:val="18"/>
          <w:szCs w:val="24"/>
        </w:rPr>
        <w:t xml:space="preserve"> </w:t>
      </w:r>
      <w:r>
        <w:rPr>
          <w:rFonts w:ascii="Calibri" w:hAnsi="Calibri" w:cs="Calibri"/>
          <w:b/>
          <w:bCs/>
          <w:sz w:val="18"/>
          <w:szCs w:val="24"/>
        </w:rPr>
        <w:t>7</w:t>
      </w:r>
      <w:r>
        <w:rPr>
          <w:rFonts w:ascii="Calibri" w:hAnsi="Calibri" w:cs="Calibri"/>
          <w:sz w:val="18"/>
          <w:szCs w:val="24"/>
        </w:rPr>
        <w:t>, 429–458 (2013).</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79.</w:t>
      </w:r>
      <w:r>
        <w:rPr>
          <w:rFonts w:ascii="Calibri" w:hAnsi="Calibri" w:cs="Calibri"/>
          <w:sz w:val="18"/>
          <w:szCs w:val="24"/>
        </w:rPr>
        <w:tab/>
        <w:t xml:space="preserve">Pang, M. M., Pun, M. Y., Chow, W. S. &amp; Ishak, Z. A. M. Carbon footprint calculation for thermoformed starch-filled polypropylene biobased materials.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64</w:t>
      </w:r>
      <w:r>
        <w:rPr>
          <w:rFonts w:ascii="Calibri" w:hAnsi="Calibri" w:cs="Calibri"/>
          <w:sz w:val="18"/>
          <w:szCs w:val="24"/>
        </w:rPr>
        <w:t>, 602–608 (2014).</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80.</w:t>
      </w:r>
      <w:r>
        <w:rPr>
          <w:rFonts w:ascii="Calibri" w:hAnsi="Calibri" w:cs="Calibri"/>
          <w:sz w:val="18"/>
          <w:szCs w:val="24"/>
        </w:rPr>
        <w:tab/>
        <w:t xml:space="preserve">Heidari, M. D., Lawrence, M., Blanchet, P. &amp; Amor, B. Regionalised Life Cycle Assessment of Bio-Based Materials in Construction; the Case of Hemp Shiv Treated with Sol-Gel Coatings. </w:t>
      </w:r>
      <w:r>
        <w:rPr>
          <w:rFonts w:ascii="Calibri" w:hAnsi="Calibri" w:cs="Calibri"/>
          <w:i/>
          <w:iCs/>
          <w:sz w:val="18"/>
          <w:szCs w:val="24"/>
        </w:rPr>
        <w:t>Mater. 2019, Vol. 12, Page 2987</w:t>
      </w:r>
      <w:r>
        <w:rPr>
          <w:rFonts w:ascii="Calibri" w:hAnsi="Calibri" w:cs="Calibri"/>
          <w:sz w:val="18"/>
          <w:szCs w:val="24"/>
        </w:rPr>
        <w:t xml:space="preserve"> </w:t>
      </w:r>
      <w:r>
        <w:rPr>
          <w:rFonts w:ascii="Calibri" w:hAnsi="Calibri" w:cs="Calibri"/>
          <w:b/>
          <w:bCs/>
          <w:sz w:val="18"/>
          <w:szCs w:val="24"/>
        </w:rPr>
        <w:t>12</w:t>
      </w:r>
      <w:r>
        <w:rPr>
          <w:rFonts w:ascii="Calibri" w:hAnsi="Calibri" w:cs="Calibri"/>
          <w:sz w:val="18"/>
          <w:szCs w:val="24"/>
        </w:rPr>
        <w:t>, 2987 (2019).</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81.</w:t>
      </w:r>
      <w:r>
        <w:rPr>
          <w:rFonts w:ascii="Calibri" w:hAnsi="Calibri" w:cs="Calibri"/>
          <w:sz w:val="18"/>
          <w:szCs w:val="24"/>
        </w:rPr>
        <w:tab/>
        <w:t xml:space="preserve">Frascari, D., Molina Bacca, A. E., Wardenaar, T., Oertlé, E. &amp; Pinelli, D. Continuous flow adsorption of phenolic compounds from olive mill wastewater with resin XAD16N: life cycle assessment, cost–benefit analysis and process optimization. </w:t>
      </w:r>
      <w:r>
        <w:rPr>
          <w:rFonts w:ascii="Calibri" w:hAnsi="Calibri" w:cs="Calibri"/>
          <w:i/>
          <w:iCs/>
          <w:sz w:val="18"/>
          <w:szCs w:val="24"/>
        </w:rPr>
        <w:t>J. Chem. Technol. Biotechnol.</w:t>
      </w:r>
      <w:r>
        <w:rPr>
          <w:rFonts w:ascii="Calibri" w:hAnsi="Calibri" w:cs="Calibri"/>
          <w:sz w:val="18"/>
          <w:szCs w:val="24"/>
        </w:rPr>
        <w:t xml:space="preserve"> </w:t>
      </w:r>
      <w:r>
        <w:rPr>
          <w:rFonts w:ascii="Calibri" w:hAnsi="Calibri" w:cs="Calibri"/>
          <w:b/>
          <w:bCs/>
          <w:sz w:val="18"/>
          <w:szCs w:val="24"/>
        </w:rPr>
        <w:t>94</w:t>
      </w:r>
      <w:r>
        <w:rPr>
          <w:rFonts w:ascii="Calibri" w:hAnsi="Calibri" w:cs="Calibri"/>
          <w:sz w:val="18"/>
          <w:szCs w:val="24"/>
        </w:rPr>
        <w:t>, 1968–1981 (2019).</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82.</w:t>
      </w:r>
      <w:r>
        <w:rPr>
          <w:rFonts w:ascii="Calibri" w:hAnsi="Calibri" w:cs="Calibri"/>
          <w:sz w:val="18"/>
          <w:szCs w:val="24"/>
        </w:rPr>
        <w:tab/>
        <w:t xml:space="preserve">Ghasemi, S., Sibi, M. P., Ulven, C. A., Webster, D. C. &amp; Pourhashem, G. A Preliminary Environmental Assessment of Epoxidized Sucrose Soyate (ESS)-Based Biocomposite. </w:t>
      </w:r>
      <w:r>
        <w:rPr>
          <w:rFonts w:ascii="Calibri" w:hAnsi="Calibri" w:cs="Calibri"/>
          <w:i/>
          <w:iCs/>
          <w:sz w:val="18"/>
          <w:szCs w:val="24"/>
        </w:rPr>
        <w:t>Mol. 2020, Vol. 25, Page 2797</w:t>
      </w:r>
      <w:r>
        <w:rPr>
          <w:rFonts w:ascii="Calibri" w:hAnsi="Calibri" w:cs="Calibri"/>
          <w:sz w:val="18"/>
          <w:szCs w:val="24"/>
        </w:rPr>
        <w:t xml:space="preserve"> </w:t>
      </w:r>
      <w:r>
        <w:rPr>
          <w:rFonts w:ascii="Calibri" w:hAnsi="Calibri" w:cs="Calibri"/>
          <w:b/>
          <w:bCs/>
          <w:sz w:val="18"/>
          <w:szCs w:val="24"/>
        </w:rPr>
        <w:t>25</w:t>
      </w:r>
      <w:r>
        <w:rPr>
          <w:rFonts w:ascii="Calibri" w:hAnsi="Calibri" w:cs="Calibri"/>
          <w:sz w:val="18"/>
          <w:szCs w:val="24"/>
        </w:rPr>
        <w:t>, 2797 (2020).</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83.</w:t>
      </w:r>
      <w:r>
        <w:rPr>
          <w:rFonts w:ascii="Calibri" w:hAnsi="Calibri" w:cs="Calibri"/>
          <w:sz w:val="18"/>
          <w:szCs w:val="24"/>
        </w:rPr>
        <w:tab/>
        <w:t xml:space="preserve">Sadhukhan, J. </w:t>
      </w:r>
      <w:r>
        <w:rPr>
          <w:rFonts w:ascii="Calibri" w:hAnsi="Calibri" w:cs="Calibri"/>
          <w:i/>
          <w:iCs/>
          <w:sz w:val="18"/>
          <w:szCs w:val="24"/>
        </w:rPr>
        <w:t>et al.</w:t>
      </w:r>
      <w:r>
        <w:rPr>
          <w:rFonts w:ascii="Calibri" w:hAnsi="Calibri" w:cs="Calibri"/>
          <w:sz w:val="18"/>
          <w:szCs w:val="24"/>
        </w:rPr>
        <w:t xml:space="preserve"> Novel macroalgae (seaweed) biorefinery systems for integrated chemical, protein, salt, nutrient and mineral extractions and environmental protection by green synthesis and life cycle sustainability assessments. </w:t>
      </w:r>
      <w:r>
        <w:rPr>
          <w:rFonts w:ascii="Calibri" w:hAnsi="Calibri" w:cs="Calibri"/>
          <w:i/>
          <w:iCs/>
          <w:sz w:val="18"/>
          <w:szCs w:val="24"/>
        </w:rPr>
        <w:t>Green Chem.</w:t>
      </w:r>
      <w:r>
        <w:rPr>
          <w:rFonts w:ascii="Calibri" w:hAnsi="Calibri" w:cs="Calibri"/>
          <w:sz w:val="18"/>
          <w:szCs w:val="24"/>
        </w:rPr>
        <w:t xml:space="preserve"> </w:t>
      </w:r>
      <w:r>
        <w:rPr>
          <w:rFonts w:ascii="Calibri" w:hAnsi="Calibri" w:cs="Calibri"/>
          <w:b/>
          <w:bCs/>
          <w:sz w:val="18"/>
          <w:szCs w:val="24"/>
        </w:rPr>
        <w:t>21</w:t>
      </w:r>
      <w:r>
        <w:rPr>
          <w:rFonts w:ascii="Calibri" w:hAnsi="Calibri" w:cs="Calibri"/>
          <w:sz w:val="18"/>
          <w:szCs w:val="24"/>
        </w:rPr>
        <w:t>, 2635–2655 (2019).</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84.</w:t>
      </w:r>
      <w:r>
        <w:rPr>
          <w:rFonts w:ascii="Calibri" w:hAnsi="Calibri" w:cs="Calibri"/>
          <w:sz w:val="18"/>
          <w:szCs w:val="24"/>
        </w:rPr>
        <w:tab/>
        <w:t xml:space="preserve">Lin, Z., Nikolakis, V. &amp; Ierapetritou, M. Life cycle assessment of biobased p -xylene production. </w:t>
      </w:r>
      <w:r>
        <w:rPr>
          <w:rFonts w:ascii="Calibri" w:hAnsi="Calibri" w:cs="Calibri"/>
          <w:i/>
          <w:iCs/>
          <w:sz w:val="18"/>
          <w:szCs w:val="24"/>
        </w:rPr>
        <w:t>Ind. Eng. Chem. Res.</w:t>
      </w:r>
      <w:r>
        <w:rPr>
          <w:rFonts w:ascii="Calibri" w:hAnsi="Calibri" w:cs="Calibri"/>
          <w:sz w:val="18"/>
          <w:szCs w:val="24"/>
        </w:rPr>
        <w:t xml:space="preserve"> </w:t>
      </w:r>
      <w:r>
        <w:rPr>
          <w:rFonts w:ascii="Calibri" w:hAnsi="Calibri" w:cs="Calibri"/>
          <w:b/>
          <w:bCs/>
          <w:sz w:val="18"/>
          <w:szCs w:val="24"/>
        </w:rPr>
        <w:t>54</w:t>
      </w:r>
      <w:r>
        <w:rPr>
          <w:rFonts w:ascii="Calibri" w:hAnsi="Calibri" w:cs="Calibri"/>
          <w:sz w:val="18"/>
          <w:szCs w:val="24"/>
        </w:rPr>
        <w:t>, 2366–2378 (2015).</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85.</w:t>
      </w:r>
      <w:r>
        <w:rPr>
          <w:rFonts w:ascii="Calibri" w:hAnsi="Calibri" w:cs="Calibri"/>
          <w:sz w:val="18"/>
          <w:szCs w:val="24"/>
        </w:rPr>
        <w:tab/>
        <w:t xml:space="preserve">Dros, A. B., Larue, O., Reimond, A., De Campo, F. &amp; Pera-Titus, M. Hexamethylenediamine (HMDA) from fossil- vs. bio-based routes: an economic and life cycle assessment comparative study. </w:t>
      </w:r>
      <w:r>
        <w:rPr>
          <w:rFonts w:ascii="Calibri" w:hAnsi="Calibri" w:cs="Calibri"/>
          <w:i/>
          <w:iCs/>
          <w:sz w:val="18"/>
          <w:szCs w:val="24"/>
        </w:rPr>
        <w:t>Green Chem.</w:t>
      </w:r>
      <w:r>
        <w:rPr>
          <w:rFonts w:ascii="Calibri" w:hAnsi="Calibri" w:cs="Calibri"/>
          <w:sz w:val="18"/>
          <w:szCs w:val="24"/>
        </w:rPr>
        <w:t xml:space="preserve"> </w:t>
      </w:r>
      <w:r>
        <w:rPr>
          <w:rFonts w:ascii="Calibri" w:hAnsi="Calibri" w:cs="Calibri"/>
          <w:b/>
          <w:bCs/>
          <w:sz w:val="18"/>
          <w:szCs w:val="24"/>
        </w:rPr>
        <w:t>17</w:t>
      </w:r>
      <w:r>
        <w:rPr>
          <w:rFonts w:ascii="Calibri" w:hAnsi="Calibri" w:cs="Calibri"/>
          <w:sz w:val="18"/>
          <w:szCs w:val="24"/>
        </w:rPr>
        <w:t>, 4760–4772 (2015).</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86.</w:t>
      </w:r>
      <w:r>
        <w:rPr>
          <w:rFonts w:ascii="Calibri" w:hAnsi="Calibri" w:cs="Calibri"/>
          <w:sz w:val="18"/>
          <w:szCs w:val="24"/>
        </w:rPr>
        <w:tab/>
        <w:t xml:space="preserve">Liptow, C., Tillman, A. M. &amp; Janssen, M. Life cycle assessment of biomass-based ethylene production in Sweden — is gasification or fermentation the environmentally preferable route? </w:t>
      </w:r>
      <w:r>
        <w:rPr>
          <w:rFonts w:ascii="Calibri" w:hAnsi="Calibri" w:cs="Calibri"/>
          <w:i/>
          <w:iCs/>
          <w:sz w:val="18"/>
          <w:szCs w:val="24"/>
        </w:rPr>
        <w:t>Int. J. Life Cycle Assess.</w:t>
      </w:r>
      <w:r>
        <w:rPr>
          <w:rFonts w:ascii="Calibri" w:hAnsi="Calibri" w:cs="Calibri"/>
          <w:sz w:val="18"/>
          <w:szCs w:val="24"/>
        </w:rPr>
        <w:t xml:space="preserve"> </w:t>
      </w:r>
      <w:r>
        <w:rPr>
          <w:rFonts w:ascii="Calibri" w:hAnsi="Calibri" w:cs="Calibri"/>
          <w:b/>
          <w:bCs/>
          <w:sz w:val="18"/>
          <w:szCs w:val="24"/>
        </w:rPr>
        <w:t>20</w:t>
      </w:r>
      <w:r>
        <w:rPr>
          <w:rFonts w:ascii="Calibri" w:hAnsi="Calibri" w:cs="Calibri"/>
          <w:sz w:val="18"/>
          <w:szCs w:val="24"/>
        </w:rPr>
        <w:t>, 632–644 (2015).</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87.</w:t>
      </w:r>
      <w:r>
        <w:rPr>
          <w:rFonts w:ascii="Calibri" w:hAnsi="Calibri" w:cs="Calibri"/>
          <w:sz w:val="18"/>
          <w:szCs w:val="24"/>
        </w:rPr>
        <w:tab/>
        <w:t xml:space="preserve">Khoo, H. H., Ee, W. L. &amp; Isoni, V. Bio-chemicals from lignocellulose feedstock: Sustainability, LCA and the green conundrum. </w:t>
      </w:r>
      <w:r>
        <w:rPr>
          <w:rFonts w:ascii="Calibri" w:hAnsi="Calibri" w:cs="Calibri"/>
          <w:i/>
          <w:iCs/>
          <w:sz w:val="18"/>
          <w:szCs w:val="24"/>
        </w:rPr>
        <w:t>Green Chem.</w:t>
      </w:r>
      <w:r>
        <w:rPr>
          <w:rFonts w:ascii="Calibri" w:hAnsi="Calibri" w:cs="Calibri"/>
          <w:sz w:val="18"/>
          <w:szCs w:val="24"/>
        </w:rPr>
        <w:t xml:space="preserve"> </w:t>
      </w:r>
      <w:r>
        <w:rPr>
          <w:rFonts w:ascii="Calibri" w:hAnsi="Calibri" w:cs="Calibri"/>
          <w:b/>
          <w:bCs/>
          <w:sz w:val="18"/>
          <w:szCs w:val="24"/>
        </w:rPr>
        <w:t>18</w:t>
      </w:r>
      <w:r>
        <w:rPr>
          <w:rFonts w:ascii="Calibri" w:hAnsi="Calibri" w:cs="Calibri"/>
          <w:sz w:val="18"/>
          <w:szCs w:val="24"/>
        </w:rPr>
        <w:t>, 1912–1922 (2016).</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88.</w:t>
      </w:r>
      <w:r>
        <w:rPr>
          <w:rFonts w:ascii="Calibri" w:hAnsi="Calibri" w:cs="Calibri"/>
          <w:sz w:val="18"/>
          <w:szCs w:val="24"/>
        </w:rPr>
        <w:tab/>
        <w:t xml:space="preserve">Forte, A., Zucaro, A., Basosi, R. &amp; Fierro, A. LCA of 1,4-Butanediol Produced via Direct Fermentation of Sugars from Wheat Straw Feedstock within a Territorial Biorefinery. </w:t>
      </w:r>
      <w:r>
        <w:rPr>
          <w:rFonts w:ascii="Calibri" w:hAnsi="Calibri" w:cs="Calibri"/>
          <w:i/>
          <w:iCs/>
          <w:sz w:val="18"/>
          <w:szCs w:val="24"/>
        </w:rPr>
        <w:t>Mater. 2016, Vol. 9, Page 563</w:t>
      </w:r>
      <w:r>
        <w:rPr>
          <w:rFonts w:ascii="Calibri" w:hAnsi="Calibri" w:cs="Calibri"/>
          <w:sz w:val="18"/>
          <w:szCs w:val="24"/>
        </w:rPr>
        <w:t xml:space="preserve"> </w:t>
      </w:r>
      <w:r>
        <w:rPr>
          <w:rFonts w:ascii="Calibri" w:hAnsi="Calibri" w:cs="Calibri"/>
          <w:b/>
          <w:bCs/>
          <w:sz w:val="18"/>
          <w:szCs w:val="24"/>
        </w:rPr>
        <w:t>9</w:t>
      </w:r>
      <w:r>
        <w:rPr>
          <w:rFonts w:ascii="Calibri" w:hAnsi="Calibri" w:cs="Calibri"/>
          <w:sz w:val="18"/>
          <w:szCs w:val="24"/>
        </w:rPr>
        <w:t>, 563 (2016).</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89.</w:t>
      </w:r>
      <w:r>
        <w:rPr>
          <w:rFonts w:ascii="Calibri" w:hAnsi="Calibri" w:cs="Calibri"/>
          <w:sz w:val="18"/>
          <w:szCs w:val="24"/>
        </w:rPr>
        <w:tab/>
        <w:t xml:space="preserve">Montazeri, M. &amp; Eckelman, M. J. Life Cycle Assessment of Catechols from Lignin Depolymerization. </w:t>
      </w:r>
      <w:r>
        <w:rPr>
          <w:rFonts w:ascii="Calibri" w:hAnsi="Calibri" w:cs="Calibri"/>
          <w:i/>
          <w:iCs/>
          <w:sz w:val="18"/>
          <w:szCs w:val="24"/>
        </w:rPr>
        <w:t>ACS Sustain. Chem. Eng.</w:t>
      </w:r>
      <w:r>
        <w:rPr>
          <w:rFonts w:ascii="Calibri" w:hAnsi="Calibri" w:cs="Calibri"/>
          <w:sz w:val="18"/>
          <w:szCs w:val="24"/>
        </w:rPr>
        <w:t xml:space="preserve"> </w:t>
      </w:r>
      <w:r>
        <w:rPr>
          <w:rFonts w:ascii="Calibri" w:hAnsi="Calibri" w:cs="Calibri"/>
          <w:b/>
          <w:bCs/>
          <w:sz w:val="18"/>
          <w:szCs w:val="24"/>
        </w:rPr>
        <w:t>4</w:t>
      </w:r>
      <w:r>
        <w:rPr>
          <w:rFonts w:ascii="Calibri" w:hAnsi="Calibri" w:cs="Calibri"/>
          <w:sz w:val="18"/>
          <w:szCs w:val="24"/>
        </w:rPr>
        <w:t>, 708–718 (2016).</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90.</w:t>
      </w:r>
      <w:r>
        <w:rPr>
          <w:rFonts w:ascii="Calibri" w:hAnsi="Calibri" w:cs="Calibri"/>
          <w:sz w:val="18"/>
          <w:szCs w:val="24"/>
        </w:rPr>
        <w:tab/>
        <w:t xml:space="preserve">Gezae Daful, A. &amp; Görgens, J. F. Techno-economic analysis and environmental impact assessment of lignocellulosic lactic acid production. </w:t>
      </w:r>
      <w:r>
        <w:rPr>
          <w:rFonts w:ascii="Calibri" w:hAnsi="Calibri" w:cs="Calibri"/>
          <w:i/>
          <w:iCs/>
          <w:sz w:val="18"/>
          <w:szCs w:val="24"/>
        </w:rPr>
        <w:t>Chem. Eng. Sci.</w:t>
      </w:r>
      <w:r>
        <w:rPr>
          <w:rFonts w:ascii="Calibri" w:hAnsi="Calibri" w:cs="Calibri"/>
          <w:sz w:val="18"/>
          <w:szCs w:val="24"/>
        </w:rPr>
        <w:t xml:space="preserve"> </w:t>
      </w:r>
      <w:r>
        <w:rPr>
          <w:rFonts w:ascii="Calibri" w:hAnsi="Calibri" w:cs="Calibri"/>
          <w:b/>
          <w:bCs/>
          <w:sz w:val="18"/>
          <w:szCs w:val="24"/>
        </w:rPr>
        <w:t>162</w:t>
      </w:r>
      <w:r>
        <w:rPr>
          <w:rFonts w:ascii="Calibri" w:hAnsi="Calibri" w:cs="Calibri"/>
          <w:sz w:val="18"/>
          <w:szCs w:val="24"/>
        </w:rPr>
        <w:t>, 53–65 (2017).</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91.</w:t>
      </w:r>
      <w:r>
        <w:rPr>
          <w:rFonts w:ascii="Calibri" w:hAnsi="Calibri" w:cs="Calibri"/>
          <w:sz w:val="18"/>
          <w:szCs w:val="24"/>
        </w:rPr>
        <w:tab/>
        <w:t xml:space="preserve">Moussa, H. I., Elkamel, A. &amp; Young, S. B. Assessing energy performance of bio-based succinic acid production using LCA.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139</w:t>
      </w:r>
      <w:r>
        <w:rPr>
          <w:rFonts w:ascii="Calibri" w:hAnsi="Calibri" w:cs="Calibri"/>
          <w:sz w:val="18"/>
          <w:szCs w:val="24"/>
        </w:rPr>
        <w:t>, 761–769 (2016).</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92.</w:t>
      </w:r>
      <w:r>
        <w:rPr>
          <w:rFonts w:ascii="Calibri" w:hAnsi="Calibri" w:cs="Calibri"/>
          <w:sz w:val="18"/>
          <w:szCs w:val="24"/>
        </w:rPr>
        <w:tab/>
        <w:t xml:space="preserve">Morales, M. </w:t>
      </w:r>
      <w:r>
        <w:rPr>
          <w:rFonts w:ascii="Calibri" w:hAnsi="Calibri" w:cs="Calibri"/>
          <w:i/>
          <w:iCs/>
          <w:sz w:val="18"/>
          <w:szCs w:val="24"/>
        </w:rPr>
        <w:t>et al.</w:t>
      </w:r>
      <w:r>
        <w:rPr>
          <w:rFonts w:ascii="Calibri" w:hAnsi="Calibri" w:cs="Calibri"/>
          <w:sz w:val="18"/>
          <w:szCs w:val="24"/>
        </w:rPr>
        <w:t xml:space="preserve"> Sustainability assessment of succinic acid production technologies from biomass using metabolic engineering. </w:t>
      </w:r>
      <w:r>
        <w:rPr>
          <w:rFonts w:ascii="Calibri" w:hAnsi="Calibri" w:cs="Calibri"/>
          <w:i/>
          <w:iCs/>
          <w:sz w:val="18"/>
          <w:szCs w:val="24"/>
        </w:rPr>
        <w:t>Energy Environ. Sci.</w:t>
      </w:r>
      <w:r>
        <w:rPr>
          <w:rFonts w:ascii="Calibri" w:hAnsi="Calibri" w:cs="Calibri"/>
          <w:sz w:val="18"/>
          <w:szCs w:val="24"/>
        </w:rPr>
        <w:t xml:space="preserve"> </w:t>
      </w:r>
      <w:r>
        <w:rPr>
          <w:rFonts w:ascii="Calibri" w:hAnsi="Calibri" w:cs="Calibri"/>
          <w:b/>
          <w:bCs/>
          <w:sz w:val="18"/>
          <w:szCs w:val="24"/>
        </w:rPr>
        <w:t>9</w:t>
      </w:r>
      <w:r>
        <w:rPr>
          <w:rFonts w:ascii="Calibri" w:hAnsi="Calibri" w:cs="Calibri"/>
          <w:sz w:val="18"/>
          <w:szCs w:val="24"/>
        </w:rPr>
        <w:t>, 2794–2805 (2016).</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93.</w:t>
      </w:r>
      <w:r>
        <w:rPr>
          <w:rFonts w:ascii="Calibri" w:hAnsi="Calibri" w:cs="Calibri"/>
          <w:sz w:val="18"/>
          <w:szCs w:val="24"/>
        </w:rPr>
        <w:tab/>
        <w:t xml:space="preserve">Cespi, D., Passarini, F., Vassura, I. &amp; Cavani, F. Butadiene from biomass, a life cycle perspective to address sustainability in the chemical industry. </w:t>
      </w:r>
      <w:r>
        <w:rPr>
          <w:rFonts w:ascii="Calibri" w:hAnsi="Calibri" w:cs="Calibri"/>
          <w:i/>
          <w:iCs/>
          <w:sz w:val="18"/>
          <w:szCs w:val="24"/>
        </w:rPr>
        <w:t>Green Chem.</w:t>
      </w:r>
      <w:r>
        <w:rPr>
          <w:rFonts w:ascii="Calibri" w:hAnsi="Calibri" w:cs="Calibri"/>
          <w:sz w:val="18"/>
          <w:szCs w:val="24"/>
        </w:rPr>
        <w:t xml:space="preserve"> </w:t>
      </w:r>
      <w:r>
        <w:rPr>
          <w:rFonts w:ascii="Calibri" w:hAnsi="Calibri" w:cs="Calibri"/>
          <w:b/>
          <w:bCs/>
          <w:sz w:val="18"/>
          <w:szCs w:val="24"/>
        </w:rPr>
        <w:t>18</w:t>
      </w:r>
      <w:r>
        <w:rPr>
          <w:rFonts w:ascii="Calibri" w:hAnsi="Calibri" w:cs="Calibri"/>
          <w:sz w:val="18"/>
          <w:szCs w:val="24"/>
        </w:rPr>
        <w:t>, 1625–1638 (2016).</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94.</w:t>
      </w:r>
      <w:r>
        <w:rPr>
          <w:rFonts w:ascii="Calibri" w:hAnsi="Calibri" w:cs="Calibri"/>
          <w:sz w:val="18"/>
          <w:szCs w:val="24"/>
        </w:rPr>
        <w:tab/>
        <w:t xml:space="preserve">Gargalo, C. L. </w:t>
      </w:r>
      <w:r>
        <w:rPr>
          <w:rFonts w:ascii="Calibri" w:hAnsi="Calibri" w:cs="Calibri"/>
          <w:i/>
          <w:iCs/>
          <w:sz w:val="18"/>
          <w:szCs w:val="24"/>
        </w:rPr>
        <w:t>et al.</w:t>
      </w:r>
      <w:r>
        <w:rPr>
          <w:rFonts w:ascii="Calibri" w:hAnsi="Calibri" w:cs="Calibri"/>
          <w:sz w:val="18"/>
          <w:szCs w:val="24"/>
        </w:rPr>
        <w:t xml:space="preserve"> Assessing the environmental sustainability of early stage design for bioprocesses under uncertainties: An analysis of glycerol bioconversion.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139</w:t>
      </w:r>
      <w:r>
        <w:rPr>
          <w:rFonts w:ascii="Calibri" w:hAnsi="Calibri" w:cs="Calibri"/>
          <w:sz w:val="18"/>
          <w:szCs w:val="24"/>
        </w:rPr>
        <w:t>, 1245–1260 (2016).</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lastRenderedPageBreak/>
        <w:t>95.</w:t>
      </w:r>
      <w:r>
        <w:rPr>
          <w:rFonts w:ascii="Calibri" w:hAnsi="Calibri" w:cs="Calibri"/>
          <w:sz w:val="18"/>
          <w:szCs w:val="24"/>
        </w:rPr>
        <w:tab/>
        <w:t xml:space="preserve">Morales, M. </w:t>
      </w:r>
      <w:r>
        <w:rPr>
          <w:rFonts w:ascii="Calibri" w:hAnsi="Calibri" w:cs="Calibri"/>
          <w:i/>
          <w:iCs/>
          <w:sz w:val="18"/>
          <w:szCs w:val="24"/>
        </w:rPr>
        <w:t>et al.</w:t>
      </w:r>
      <w:r>
        <w:rPr>
          <w:rFonts w:ascii="Calibri" w:hAnsi="Calibri" w:cs="Calibri"/>
          <w:sz w:val="18"/>
          <w:szCs w:val="24"/>
        </w:rPr>
        <w:t xml:space="preserve"> Environmental and economic assessment of lactic acid production from glycerol using cascade bio- and chemocatalysis. </w:t>
      </w:r>
      <w:r>
        <w:rPr>
          <w:rFonts w:ascii="Calibri" w:hAnsi="Calibri" w:cs="Calibri"/>
          <w:i/>
          <w:iCs/>
          <w:sz w:val="18"/>
          <w:szCs w:val="24"/>
        </w:rPr>
        <w:t>Energy Environ. Sci.</w:t>
      </w:r>
      <w:r>
        <w:rPr>
          <w:rFonts w:ascii="Calibri" w:hAnsi="Calibri" w:cs="Calibri"/>
          <w:sz w:val="18"/>
          <w:szCs w:val="24"/>
        </w:rPr>
        <w:t xml:space="preserve"> </w:t>
      </w:r>
      <w:r>
        <w:rPr>
          <w:rFonts w:ascii="Calibri" w:hAnsi="Calibri" w:cs="Calibri"/>
          <w:b/>
          <w:bCs/>
          <w:sz w:val="18"/>
          <w:szCs w:val="24"/>
        </w:rPr>
        <w:t>8</w:t>
      </w:r>
      <w:r>
        <w:rPr>
          <w:rFonts w:ascii="Calibri" w:hAnsi="Calibri" w:cs="Calibri"/>
          <w:sz w:val="18"/>
          <w:szCs w:val="24"/>
        </w:rPr>
        <w:t>, 558–567 (2015).</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96.</w:t>
      </w:r>
      <w:r>
        <w:rPr>
          <w:rFonts w:ascii="Calibri" w:hAnsi="Calibri" w:cs="Calibri"/>
          <w:sz w:val="18"/>
          <w:szCs w:val="24"/>
        </w:rPr>
        <w:tab/>
        <w:t xml:space="preserve">Yu, J. &amp; Chen, L. X. L. The Greenhouse Gas Emissions and Fossil Energy Requirement of Bioplastics from Cradle to Gate of a Biomass Refinery. </w:t>
      </w:r>
      <w:r>
        <w:rPr>
          <w:rFonts w:ascii="Calibri" w:hAnsi="Calibri" w:cs="Calibri"/>
          <w:i/>
          <w:iCs/>
          <w:sz w:val="18"/>
          <w:szCs w:val="24"/>
        </w:rPr>
        <w:t>Environ. Sci. Technol.</w:t>
      </w:r>
      <w:r>
        <w:rPr>
          <w:rFonts w:ascii="Calibri" w:hAnsi="Calibri" w:cs="Calibri"/>
          <w:sz w:val="18"/>
          <w:szCs w:val="24"/>
        </w:rPr>
        <w:t xml:space="preserve"> </w:t>
      </w:r>
      <w:r>
        <w:rPr>
          <w:rFonts w:ascii="Calibri" w:hAnsi="Calibri" w:cs="Calibri"/>
          <w:b/>
          <w:bCs/>
          <w:sz w:val="18"/>
          <w:szCs w:val="24"/>
        </w:rPr>
        <w:t>42</w:t>
      </w:r>
      <w:r>
        <w:rPr>
          <w:rFonts w:ascii="Calibri" w:hAnsi="Calibri" w:cs="Calibri"/>
          <w:sz w:val="18"/>
          <w:szCs w:val="24"/>
        </w:rPr>
        <w:t>, 6961–6966 (2008).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97.</w:t>
      </w:r>
      <w:r>
        <w:rPr>
          <w:rFonts w:ascii="Calibri" w:hAnsi="Calibri" w:cs="Calibri"/>
          <w:sz w:val="18"/>
          <w:szCs w:val="24"/>
        </w:rPr>
        <w:tab/>
        <w:t xml:space="preserve">Kim, S. &amp; Dale, B. E. Energy and greenhouse gas profiles of polyhydroxybutyrates derived from corn grain: A life cycle perspective. </w:t>
      </w:r>
      <w:r>
        <w:rPr>
          <w:rFonts w:ascii="Calibri" w:hAnsi="Calibri" w:cs="Calibri"/>
          <w:i/>
          <w:iCs/>
          <w:sz w:val="18"/>
          <w:szCs w:val="24"/>
        </w:rPr>
        <w:t>Environ. Sci. Technol.</w:t>
      </w:r>
      <w:r>
        <w:rPr>
          <w:rFonts w:ascii="Calibri" w:hAnsi="Calibri" w:cs="Calibri"/>
          <w:sz w:val="18"/>
          <w:szCs w:val="24"/>
        </w:rPr>
        <w:t xml:space="preserve"> </w:t>
      </w:r>
      <w:r>
        <w:rPr>
          <w:rFonts w:ascii="Calibri" w:hAnsi="Calibri" w:cs="Calibri"/>
          <w:b/>
          <w:bCs/>
          <w:sz w:val="18"/>
          <w:szCs w:val="24"/>
        </w:rPr>
        <w:t>42</w:t>
      </w:r>
      <w:r>
        <w:rPr>
          <w:rFonts w:ascii="Calibri" w:hAnsi="Calibri" w:cs="Calibri"/>
          <w:sz w:val="18"/>
          <w:szCs w:val="24"/>
        </w:rPr>
        <w:t>, 7690–7695 (2008).</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98.</w:t>
      </w:r>
      <w:r>
        <w:rPr>
          <w:rFonts w:ascii="Calibri" w:hAnsi="Calibri" w:cs="Calibri"/>
          <w:sz w:val="18"/>
          <w:szCs w:val="24"/>
        </w:rPr>
        <w:tab/>
        <w:t xml:space="preserve">Kendall, A. A life cycle assessment of biopolymer production from material recovery facility residuals. </w:t>
      </w:r>
      <w:r>
        <w:rPr>
          <w:rFonts w:ascii="Calibri" w:hAnsi="Calibri" w:cs="Calibri"/>
          <w:i/>
          <w:iCs/>
          <w:sz w:val="18"/>
          <w:szCs w:val="24"/>
        </w:rPr>
        <w:t>Resour. Conserv. Recycl.</w:t>
      </w:r>
      <w:r>
        <w:rPr>
          <w:rFonts w:ascii="Calibri" w:hAnsi="Calibri" w:cs="Calibri"/>
          <w:sz w:val="18"/>
          <w:szCs w:val="24"/>
        </w:rPr>
        <w:t xml:space="preserve"> </w:t>
      </w:r>
      <w:r>
        <w:rPr>
          <w:rFonts w:ascii="Calibri" w:hAnsi="Calibri" w:cs="Calibri"/>
          <w:b/>
          <w:bCs/>
          <w:sz w:val="18"/>
          <w:szCs w:val="24"/>
        </w:rPr>
        <w:t>61</w:t>
      </w:r>
      <w:r>
        <w:rPr>
          <w:rFonts w:ascii="Calibri" w:hAnsi="Calibri" w:cs="Calibri"/>
          <w:sz w:val="18"/>
          <w:szCs w:val="24"/>
        </w:rPr>
        <w:t>, 69–74 (2012).</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99.</w:t>
      </w:r>
      <w:r>
        <w:rPr>
          <w:rFonts w:ascii="Calibri" w:hAnsi="Calibri" w:cs="Calibri"/>
          <w:sz w:val="18"/>
          <w:szCs w:val="24"/>
        </w:rPr>
        <w:tab/>
        <w:t xml:space="preserve">Eerhart, A. J. J. E., Faaij, A. P. C. &amp; Patel, M. K. Replacing fossil based PET with biobased PEF; Process analysis, energy and GHG balance. </w:t>
      </w:r>
      <w:r>
        <w:rPr>
          <w:rFonts w:ascii="Calibri" w:hAnsi="Calibri" w:cs="Calibri"/>
          <w:i/>
          <w:iCs/>
          <w:sz w:val="18"/>
          <w:szCs w:val="24"/>
        </w:rPr>
        <w:t>Energy Environ. Sci.</w:t>
      </w:r>
      <w:r>
        <w:rPr>
          <w:rFonts w:ascii="Calibri" w:hAnsi="Calibri" w:cs="Calibri"/>
          <w:sz w:val="18"/>
          <w:szCs w:val="24"/>
        </w:rPr>
        <w:t xml:space="preserve"> </w:t>
      </w:r>
      <w:r>
        <w:rPr>
          <w:rFonts w:ascii="Calibri" w:hAnsi="Calibri" w:cs="Calibri"/>
          <w:b/>
          <w:bCs/>
          <w:sz w:val="18"/>
          <w:szCs w:val="24"/>
        </w:rPr>
        <w:t>5</w:t>
      </w:r>
      <w:r>
        <w:rPr>
          <w:rFonts w:ascii="Calibri" w:hAnsi="Calibri" w:cs="Calibri"/>
          <w:sz w:val="18"/>
          <w:szCs w:val="24"/>
        </w:rPr>
        <w:t>, 6407–6422 (2012).</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100.</w:t>
      </w:r>
      <w:r>
        <w:rPr>
          <w:rFonts w:ascii="Calibri" w:hAnsi="Calibri" w:cs="Calibri"/>
          <w:sz w:val="18"/>
          <w:szCs w:val="24"/>
        </w:rPr>
        <w:tab/>
        <w:t xml:space="preserve">Nuss, P. &amp; Gardner, K. H. Attributional life cycle assessment (ALCA) of polyitaconic acid production from northeast US softwood biomass. </w:t>
      </w:r>
      <w:r>
        <w:rPr>
          <w:rFonts w:ascii="Calibri" w:hAnsi="Calibri" w:cs="Calibri"/>
          <w:i/>
          <w:iCs/>
          <w:sz w:val="18"/>
          <w:szCs w:val="24"/>
        </w:rPr>
        <w:t>Int. J. Life Cycle Assess.</w:t>
      </w:r>
      <w:r>
        <w:rPr>
          <w:rFonts w:ascii="Calibri" w:hAnsi="Calibri" w:cs="Calibri"/>
          <w:sz w:val="18"/>
          <w:szCs w:val="24"/>
        </w:rPr>
        <w:t xml:space="preserve"> </w:t>
      </w:r>
      <w:r>
        <w:rPr>
          <w:rFonts w:ascii="Calibri" w:hAnsi="Calibri" w:cs="Calibri"/>
          <w:b/>
          <w:bCs/>
          <w:sz w:val="18"/>
          <w:szCs w:val="24"/>
        </w:rPr>
        <w:t>18</w:t>
      </w:r>
      <w:r>
        <w:rPr>
          <w:rFonts w:ascii="Calibri" w:hAnsi="Calibri" w:cs="Calibri"/>
          <w:sz w:val="18"/>
          <w:szCs w:val="24"/>
        </w:rPr>
        <w:t>, 603–612 (2013).</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101.</w:t>
      </w:r>
      <w:r>
        <w:rPr>
          <w:rFonts w:ascii="Calibri" w:hAnsi="Calibri" w:cs="Calibri"/>
          <w:sz w:val="18"/>
          <w:szCs w:val="24"/>
        </w:rPr>
        <w:tab/>
        <w:t xml:space="preserve">Akanuma, Y., Selke, S. E. M. &amp; Auras, R. A preliminary LCA case study: Comparison of different pathways to produce purified terephthalic acid suitable for synthesis of 100 % bio-based PET. </w:t>
      </w:r>
      <w:r>
        <w:rPr>
          <w:rFonts w:ascii="Calibri" w:hAnsi="Calibri" w:cs="Calibri"/>
          <w:i/>
          <w:iCs/>
          <w:sz w:val="18"/>
          <w:szCs w:val="24"/>
        </w:rPr>
        <w:t>Int. J. Life Cycle Assess.</w:t>
      </w:r>
      <w:r>
        <w:rPr>
          <w:rFonts w:ascii="Calibri" w:hAnsi="Calibri" w:cs="Calibri"/>
          <w:sz w:val="18"/>
          <w:szCs w:val="24"/>
        </w:rPr>
        <w:t xml:space="preserve"> </w:t>
      </w:r>
      <w:r>
        <w:rPr>
          <w:rFonts w:ascii="Calibri" w:hAnsi="Calibri" w:cs="Calibri"/>
          <w:b/>
          <w:bCs/>
          <w:sz w:val="18"/>
          <w:szCs w:val="24"/>
        </w:rPr>
        <w:t>19</w:t>
      </w:r>
      <w:r>
        <w:rPr>
          <w:rFonts w:ascii="Calibri" w:hAnsi="Calibri" w:cs="Calibri"/>
          <w:sz w:val="18"/>
          <w:szCs w:val="24"/>
        </w:rPr>
        <w:t>, 1238–1246 (2014).</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102.</w:t>
      </w:r>
      <w:r>
        <w:rPr>
          <w:rFonts w:ascii="Calibri" w:hAnsi="Calibri" w:cs="Calibri"/>
          <w:sz w:val="18"/>
          <w:szCs w:val="24"/>
        </w:rPr>
        <w:tab/>
        <w:t xml:space="preserve">Papong, S. </w:t>
      </w:r>
      <w:r>
        <w:rPr>
          <w:rFonts w:ascii="Calibri" w:hAnsi="Calibri" w:cs="Calibri"/>
          <w:i/>
          <w:iCs/>
          <w:sz w:val="18"/>
          <w:szCs w:val="24"/>
        </w:rPr>
        <w:t>et al.</w:t>
      </w:r>
      <w:r>
        <w:rPr>
          <w:rFonts w:ascii="Calibri" w:hAnsi="Calibri" w:cs="Calibri"/>
          <w:sz w:val="18"/>
          <w:szCs w:val="24"/>
        </w:rPr>
        <w:t xml:space="preserve"> Comparative assessment of the environmental profile of PLA and PET drinking water bottles from a life cycle perspective.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65</w:t>
      </w:r>
      <w:r>
        <w:rPr>
          <w:rFonts w:ascii="Calibri" w:hAnsi="Calibri" w:cs="Calibri"/>
          <w:sz w:val="18"/>
          <w:szCs w:val="24"/>
        </w:rPr>
        <w:t>, 539–550 (2014).</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103.</w:t>
      </w:r>
      <w:r>
        <w:rPr>
          <w:rFonts w:ascii="Calibri" w:hAnsi="Calibri" w:cs="Calibri"/>
          <w:sz w:val="18"/>
          <w:szCs w:val="24"/>
        </w:rPr>
        <w:tab/>
        <w:t xml:space="preserve">Hohenschuh, W., Kumar, D. &amp; Murthy, G. S. Economic and cradle-to-gate life cycle assessment of poly-3-hydroxybutyrate production from plastic producing, genetically modified hybrid poplar leaves. </w:t>
      </w:r>
      <w:r>
        <w:rPr>
          <w:rFonts w:ascii="Calibri" w:hAnsi="Calibri" w:cs="Calibri"/>
          <w:i/>
          <w:iCs/>
          <w:sz w:val="18"/>
          <w:szCs w:val="24"/>
        </w:rPr>
        <w:t>J. Renew. Sustain. Energy</w:t>
      </w:r>
      <w:r>
        <w:rPr>
          <w:rFonts w:ascii="Calibri" w:hAnsi="Calibri" w:cs="Calibri"/>
          <w:sz w:val="18"/>
          <w:szCs w:val="24"/>
        </w:rPr>
        <w:t xml:space="preserve"> </w:t>
      </w:r>
      <w:r>
        <w:rPr>
          <w:rFonts w:ascii="Calibri" w:hAnsi="Calibri" w:cs="Calibri"/>
          <w:b/>
          <w:bCs/>
          <w:sz w:val="18"/>
          <w:szCs w:val="24"/>
        </w:rPr>
        <w:t>6</w:t>
      </w:r>
      <w:r>
        <w:rPr>
          <w:rFonts w:ascii="Calibri" w:hAnsi="Calibri" w:cs="Calibri"/>
          <w:sz w:val="18"/>
          <w:szCs w:val="24"/>
        </w:rPr>
        <w:t>, 063113 (2014).</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104.</w:t>
      </w:r>
      <w:r>
        <w:rPr>
          <w:rFonts w:ascii="Calibri" w:hAnsi="Calibri" w:cs="Calibri"/>
          <w:sz w:val="18"/>
          <w:szCs w:val="24"/>
        </w:rPr>
        <w:tab/>
        <w:t xml:space="preserve">Heimersson, S., Morgan-Sagastume, F., Peters, G. M., Werker, A. &amp; Svanström, M. Methodological issues in life cycle assessment of mixed-culture polyhydroxyalkanoate production utilising waste as feedstock. </w:t>
      </w:r>
      <w:r>
        <w:rPr>
          <w:rFonts w:ascii="Calibri" w:hAnsi="Calibri" w:cs="Calibri"/>
          <w:i/>
          <w:iCs/>
          <w:sz w:val="18"/>
          <w:szCs w:val="24"/>
        </w:rPr>
        <w:t>N. Biotechnol.</w:t>
      </w:r>
      <w:r>
        <w:rPr>
          <w:rFonts w:ascii="Calibri" w:hAnsi="Calibri" w:cs="Calibri"/>
          <w:sz w:val="18"/>
          <w:szCs w:val="24"/>
        </w:rPr>
        <w:t xml:space="preserve"> </w:t>
      </w:r>
      <w:r>
        <w:rPr>
          <w:rFonts w:ascii="Calibri" w:hAnsi="Calibri" w:cs="Calibri"/>
          <w:b/>
          <w:bCs/>
          <w:sz w:val="18"/>
          <w:szCs w:val="24"/>
        </w:rPr>
        <w:t>31</w:t>
      </w:r>
      <w:r>
        <w:rPr>
          <w:rFonts w:ascii="Calibri" w:hAnsi="Calibri" w:cs="Calibri"/>
          <w:sz w:val="18"/>
          <w:szCs w:val="24"/>
        </w:rPr>
        <w:t>, 383–393 (2014).</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105.</w:t>
      </w:r>
      <w:r>
        <w:rPr>
          <w:rFonts w:ascii="Calibri" w:hAnsi="Calibri" w:cs="Calibri"/>
          <w:sz w:val="18"/>
          <w:szCs w:val="24"/>
        </w:rPr>
        <w:tab/>
        <w:t xml:space="preserve">Zolkarnain, N. </w:t>
      </w:r>
      <w:r>
        <w:rPr>
          <w:rFonts w:ascii="Calibri" w:hAnsi="Calibri" w:cs="Calibri"/>
          <w:i/>
          <w:iCs/>
          <w:sz w:val="18"/>
          <w:szCs w:val="24"/>
        </w:rPr>
        <w:t>et al.</w:t>
      </w:r>
      <w:r>
        <w:rPr>
          <w:rFonts w:ascii="Calibri" w:hAnsi="Calibri" w:cs="Calibri"/>
          <w:sz w:val="18"/>
          <w:szCs w:val="24"/>
        </w:rPr>
        <w:t xml:space="preserve"> Evaluation of environmental impacts and GHG of palm polyol production using life cycle assessment approach. </w:t>
      </w:r>
      <w:r>
        <w:rPr>
          <w:rFonts w:ascii="Calibri" w:hAnsi="Calibri" w:cs="Calibri"/>
          <w:i/>
          <w:iCs/>
          <w:sz w:val="18"/>
          <w:szCs w:val="24"/>
        </w:rPr>
        <w:t>J. oil Palm Res.</w:t>
      </w:r>
      <w:r>
        <w:rPr>
          <w:rFonts w:ascii="Calibri" w:hAnsi="Calibri" w:cs="Calibri"/>
          <w:sz w:val="18"/>
          <w:szCs w:val="24"/>
        </w:rPr>
        <w:t xml:space="preserve"> </w:t>
      </w:r>
      <w:r>
        <w:rPr>
          <w:rFonts w:ascii="Calibri" w:hAnsi="Calibri" w:cs="Calibri"/>
          <w:b/>
          <w:bCs/>
          <w:sz w:val="18"/>
          <w:szCs w:val="24"/>
        </w:rPr>
        <w:t>27</w:t>
      </w:r>
      <w:r>
        <w:rPr>
          <w:rFonts w:ascii="Calibri" w:hAnsi="Calibri" w:cs="Calibri"/>
          <w:sz w:val="18"/>
          <w:szCs w:val="24"/>
        </w:rPr>
        <w:t>, 144–155 (2015).</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106.</w:t>
      </w:r>
      <w:r>
        <w:rPr>
          <w:rFonts w:ascii="Calibri" w:hAnsi="Calibri" w:cs="Calibri"/>
          <w:sz w:val="18"/>
          <w:szCs w:val="24"/>
        </w:rPr>
        <w:tab/>
        <w:t xml:space="preserve">Sun, X. Z., Minowa, T., Yamaguchi, K. &amp; Genchi, Y. Evaluation of energy consumption and greenhouse gas emissions from poly(phenyllactic acid) production using sweet sorghum.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87</w:t>
      </w:r>
      <w:r>
        <w:rPr>
          <w:rFonts w:ascii="Calibri" w:hAnsi="Calibri" w:cs="Calibri"/>
          <w:sz w:val="18"/>
          <w:szCs w:val="24"/>
        </w:rPr>
        <w:t>, 208–215 (2015).</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107.</w:t>
      </w:r>
      <w:r>
        <w:rPr>
          <w:rFonts w:ascii="Calibri" w:hAnsi="Calibri" w:cs="Calibri"/>
          <w:sz w:val="18"/>
          <w:szCs w:val="24"/>
        </w:rPr>
        <w:tab/>
        <w:t xml:space="preserve">Tecchio, P., Freni, P., De Benedetti, B. &amp; Fenouillot, F. Ex-ante Life Cycle Assessment approach developed for a case study on bio-based polybutylene succinate.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112</w:t>
      </w:r>
      <w:r>
        <w:rPr>
          <w:rFonts w:ascii="Calibri" w:hAnsi="Calibri" w:cs="Calibri"/>
          <w:sz w:val="18"/>
          <w:szCs w:val="24"/>
        </w:rPr>
        <w:t>, 316–325 (2016).</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108.</w:t>
      </w:r>
      <w:r>
        <w:rPr>
          <w:rFonts w:ascii="Calibri" w:hAnsi="Calibri" w:cs="Calibri"/>
          <w:sz w:val="18"/>
          <w:szCs w:val="24"/>
        </w:rPr>
        <w:tab/>
        <w:t xml:space="preserve">Gontia, P. &amp; Janssen, M. Life cycle assessment of bio-based sodium polyacrylate production from pulp mill side streams: case study of thermo-mechanical and sulfite pulp mills.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131</w:t>
      </w:r>
      <w:r>
        <w:rPr>
          <w:rFonts w:ascii="Calibri" w:hAnsi="Calibri" w:cs="Calibri"/>
          <w:sz w:val="18"/>
          <w:szCs w:val="24"/>
        </w:rPr>
        <w:t>, 475–484 (2016).</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109.</w:t>
      </w:r>
      <w:r>
        <w:rPr>
          <w:rFonts w:ascii="Calibri" w:hAnsi="Calibri" w:cs="Calibri"/>
          <w:sz w:val="18"/>
          <w:szCs w:val="24"/>
        </w:rPr>
        <w:tab/>
        <w:t xml:space="preserve">Chen, L., Pelton, R. E. O. &amp; Smith, T. M. Comparative life cycle assessment of fossil and bio-based polyethylene terephthalate (PET) bottles. </w:t>
      </w:r>
      <w:r>
        <w:rPr>
          <w:rFonts w:ascii="Calibri" w:hAnsi="Calibri" w:cs="Calibri"/>
          <w:i/>
          <w:iCs/>
          <w:sz w:val="18"/>
          <w:szCs w:val="24"/>
        </w:rPr>
        <w:t>J. Clean. Prod.</w:t>
      </w:r>
      <w:r>
        <w:rPr>
          <w:rFonts w:ascii="Calibri" w:hAnsi="Calibri" w:cs="Calibri"/>
          <w:sz w:val="18"/>
          <w:szCs w:val="24"/>
        </w:rPr>
        <w:t xml:space="preserve"> </w:t>
      </w:r>
      <w:r>
        <w:rPr>
          <w:rFonts w:ascii="Calibri" w:hAnsi="Calibri" w:cs="Calibri"/>
          <w:b/>
          <w:bCs/>
          <w:sz w:val="18"/>
          <w:szCs w:val="24"/>
        </w:rPr>
        <w:t>137</w:t>
      </w:r>
      <w:r>
        <w:rPr>
          <w:rFonts w:ascii="Calibri" w:hAnsi="Calibri" w:cs="Calibri"/>
          <w:sz w:val="18"/>
          <w:szCs w:val="24"/>
        </w:rPr>
        <w:t>, 667–676 (2016).</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110.</w:t>
      </w:r>
      <w:r>
        <w:rPr>
          <w:rFonts w:ascii="Calibri" w:hAnsi="Calibri" w:cs="Calibri"/>
          <w:sz w:val="18"/>
          <w:szCs w:val="24"/>
        </w:rPr>
        <w:tab/>
        <w:t xml:space="preserve">Posen, I. D., Jaramillo, P. &amp; Griffin, W. M. Uncertainty in the Life Cycle Greenhouse Gas Emissions from U.S. Production of Three Biobased Polymer Families. </w:t>
      </w:r>
      <w:r>
        <w:rPr>
          <w:rFonts w:ascii="Calibri" w:hAnsi="Calibri" w:cs="Calibri"/>
          <w:i/>
          <w:iCs/>
          <w:sz w:val="18"/>
          <w:szCs w:val="24"/>
        </w:rPr>
        <w:t>Environ. Sci. Technol.</w:t>
      </w:r>
      <w:r>
        <w:rPr>
          <w:rFonts w:ascii="Calibri" w:hAnsi="Calibri" w:cs="Calibri"/>
          <w:sz w:val="18"/>
          <w:szCs w:val="24"/>
        </w:rPr>
        <w:t xml:space="preserve"> </w:t>
      </w:r>
      <w:r>
        <w:rPr>
          <w:rFonts w:ascii="Calibri" w:hAnsi="Calibri" w:cs="Calibri"/>
          <w:b/>
          <w:bCs/>
          <w:sz w:val="18"/>
          <w:szCs w:val="24"/>
        </w:rPr>
        <w:t>50</w:t>
      </w:r>
      <w:r>
        <w:rPr>
          <w:rFonts w:ascii="Calibri" w:hAnsi="Calibri" w:cs="Calibri"/>
          <w:sz w:val="18"/>
          <w:szCs w:val="24"/>
        </w:rPr>
        <w:t>, 2846–2858 (2016).</w:t>
      </w:r>
    </w:p>
    <w:p w:rsidR="0009124B" w:rsidRDefault="00EB3E17">
      <w:pPr>
        <w:widowControl w:val="0"/>
        <w:autoSpaceDE w:val="0"/>
        <w:autoSpaceDN w:val="0"/>
        <w:adjustRightInd w:val="0"/>
        <w:spacing w:line="240" w:lineRule="auto"/>
        <w:ind w:left="640" w:hanging="640"/>
        <w:rPr>
          <w:rFonts w:ascii="Calibri" w:hAnsi="Calibri" w:cs="Calibri"/>
          <w:sz w:val="18"/>
          <w:szCs w:val="24"/>
        </w:rPr>
      </w:pPr>
      <w:r>
        <w:rPr>
          <w:rFonts w:ascii="Calibri" w:hAnsi="Calibri" w:cs="Calibri"/>
          <w:sz w:val="18"/>
          <w:szCs w:val="24"/>
        </w:rPr>
        <w:t>111.</w:t>
      </w:r>
      <w:r>
        <w:rPr>
          <w:rFonts w:ascii="Calibri" w:hAnsi="Calibri" w:cs="Calibri"/>
          <w:sz w:val="18"/>
          <w:szCs w:val="24"/>
        </w:rPr>
        <w:tab/>
        <w:t xml:space="preserve">Belboom, S. &amp; Léonard, A. Does biobased polymer achieve better environmental impacts than fossil polymer? Comparison of fossil HDPE and biobased HDPE produced from sugar beet and wheat. </w:t>
      </w:r>
      <w:r>
        <w:rPr>
          <w:rFonts w:ascii="Calibri" w:hAnsi="Calibri" w:cs="Calibri"/>
          <w:i/>
          <w:iCs/>
          <w:sz w:val="18"/>
          <w:szCs w:val="24"/>
        </w:rPr>
        <w:t>Biomass and Bioenergy</w:t>
      </w:r>
      <w:r>
        <w:rPr>
          <w:rFonts w:ascii="Calibri" w:hAnsi="Calibri" w:cs="Calibri"/>
          <w:sz w:val="18"/>
          <w:szCs w:val="24"/>
        </w:rPr>
        <w:t xml:space="preserve"> </w:t>
      </w:r>
      <w:r>
        <w:rPr>
          <w:rFonts w:ascii="Calibri" w:hAnsi="Calibri" w:cs="Calibri"/>
          <w:b/>
          <w:bCs/>
          <w:sz w:val="18"/>
          <w:szCs w:val="24"/>
        </w:rPr>
        <w:t>85</w:t>
      </w:r>
      <w:r>
        <w:rPr>
          <w:rFonts w:ascii="Calibri" w:hAnsi="Calibri" w:cs="Calibri"/>
          <w:sz w:val="18"/>
          <w:szCs w:val="24"/>
        </w:rPr>
        <w:t>, 159–167 (2016).</w:t>
      </w:r>
    </w:p>
    <w:p w:rsidR="0009124B" w:rsidRDefault="00EB3E17">
      <w:pPr>
        <w:widowControl w:val="0"/>
        <w:autoSpaceDE w:val="0"/>
        <w:autoSpaceDN w:val="0"/>
        <w:adjustRightInd w:val="0"/>
        <w:spacing w:line="240" w:lineRule="auto"/>
        <w:ind w:left="640" w:hanging="640"/>
        <w:rPr>
          <w:rFonts w:ascii="Calibri" w:hAnsi="Calibri" w:cs="Calibri"/>
          <w:sz w:val="18"/>
        </w:rPr>
      </w:pPr>
      <w:r>
        <w:rPr>
          <w:rFonts w:ascii="Calibri" w:hAnsi="Calibri" w:cs="Calibri"/>
          <w:sz w:val="18"/>
          <w:szCs w:val="24"/>
        </w:rPr>
        <w:t>112.</w:t>
      </w:r>
      <w:r>
        <w:rPr>
          <w:rFonts w:ascii="Calibri" w:hAnsi="Calibri" w:cs="Calibri"/>
          <w:sz w:val="18"/>
          <w:szCs w:val="24"/>
        </w:rPr>
        <w:tab/>
        <w:t xml:space="preserve">Kim, S. &amp; Dale, B. E. Life Cycle Assessment Study of Biopolymers (Polyhydroxyalkanoates) - Derived from No-Tilled Corn (11 pp). </w:t>
      </w:r>
      <w:r>
        <w:rPr>
          <w:rFonts w:ascii="Calibri" w:hAnsi="Calibri" w:cs="Calibri"/>
          <w:i/>
          <w:iCs/>
          <w:sz w:val="18"/>
          <w:szCs w:val="24"/>
        </w:rPr>
        <w:t>Int. J. Life Cycle Assess. 2005 103</w:t>
      </w:r>
      <w:r>
        <w:rPr>
          <w:rFonts w:ascii="Calibri" w:hAnsi="Calibri" w:cs="Calibri"/>
          <w:sz w:val="18"/>
          <w:szCs w:val="24"/>
        </w:rPr>
        <w:t xml:space="preserve"> </w:t>
      </w:r>
      <w:r>
        <w:rPr>
          <w:rFonts w:ascii="Calibri" w:hAnsi="Calibri" w:cs="Calibri"/>
          <w:b/>
          <w:bCs/>
          <w:sz w:val="18"/>
          <w:szCs w:val="24"/>
        </w:rPr>
        <w:t>10</w:t>
      </w:r>
      <w:r>
        <w:rPr>
          <w:rFonts w:ascii="Calibri" w:hAnsi="Calibri" w:cs="Calibri"/>
          <w:sz w:val="18"/>
          <w:szCs w:val="24"/>
        </w:rPr>
        <w:t>, 200–210 (2004).</w:t>
      </w:r>
    </w:p>
    <w:p w:rsidR="0009124B" w:rsidRDefault="00EB3E17">
      <w:pPr>
        <w:tabs>
          <w:tab w:val="left" w:pos="1003"/>
        </w:tabs>
        <w:rPr>
          <w:rFonts w:cstheme="minorHAnsi"/>
          <w:lang w:val="it-IT"/>
        </w:rPr>
      </w:pPr>
      <w:r>
        <w:rPr>
          <w:sz w:val="18"/>
        </w:rPr>
        <w:fldChar w:fldCharType="end"/>
      </w:r>
    </w:p>
    <w:sectPr w:rsidR="0009124B" w:rsidSect="004F5BDD">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A62" w:rsidRDefault="005D4A62">
      <w:pPr>
        <w:spacing w:line="240" w:lineRule="auto"/>
      </w:pPr>
      <w:r>
        <w:separator/>
      </w:r>
    </w:p>
  </w:endnote>
  <w:endnote w:type="continuationSeparator" w:id="0">
    <w:p w:rsidR="005D4A62" w:rsidRDefault="005D4A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4"/>
      </w:rPr>
      <w:id w:val="939799587"/>
      <w:docPartObj>
        <w:docPartGallery w:val="AutoText"/>
      </w:docPartObj>
    </w:sdtPr>
    <w:sdtEndPr/>
    <w:sdtContent>
      <w:p w:rsidR="005D4A62" w:rsidRDefault="005D4A62">
        <w:pPr>
          <w:pStyle w:val="Footer"/>
          <w:jc w:val="right"/>
          <w:rPr>
            <w:sz w:val="14"/>
          </w:rPr>
        </w:pPr>
        <w:r>
          <w:rPr>
            <w:sz w:val="14"/>
          </w:rPr>
          <w:fldChar w:fldCharType="begin"/>
        </w:r>
        <w:r>
          <w:rPr>
            <w:sz w:val="14"/>
          </w:rPr>
          <w:instrText xml:space="preserve"> PAGE   \* MERGEFORMAT </w:instrText>
        </w:r>
        <w:r>
          <w:rPr>
            <w:sz w:val="14"/>
          </w:rPr>
          <w:fldChar w:fldCharType="separate"/>
        </w:r>
        <w:r w:rsidR="004F5BDD">
          <w:rPr>
            <w:noProof/>
            <w:sz w:val="14"/>
          </w:rPr>
          <w:t>33</w:t>
        </w:r>
        <w:r>
          <w:rPr>
            <w:sz w:val="14"/>
          </w:rPr>
          <w:fldChar w:fldCharType="end"/>
        </w:r>
      </w:p>
    </w:sdtContent>
  </w:sdt>
  <w:p w:rsidR="005D4A62" w:rsidRDefault="005D4A62">
    <w:pPr>
      <w:pStyle w:val="Footer"/>
      <w:rPr>
        <w:rFonts w:ascii="Times New Roman" w:hAnsi="Times New Roman" w:cs="Times New Roman"/>
        <w:sz w:val="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A62" w:rsidRDefault="005D4A62">
      <w:pPr>
        <w:spacing w:line="240" w:lineRule="auto"/>
      </w:pPr>
      <w:r>
        <w:separator/>
      </w:r>
    </w:p>
  </w:footnote>
  <w:footnote w:type="continuationSeparator" w:id="0">
    <w:p w:rsidR="005D4A62" w:rsidRDefault="005D4A6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306"/>
    <w:rsid w:val="DBED837D"/>
    <w:rsid w:val="DFCA8F51"/>
    <w:rsid w:val="000035C2"/>
    <w:rsid w:val="0002451A"/>
    <w:rsid w:val="00027736"/>
    <w:rsid w:val="00042346"/>
    <w:rsid w:val="0004535A"/>
    <w:rsid w:val="0005716B"/>
    <w:rsid w:val="0008287F"/>
    <w:rsid w:val="0009124B"/>
    <w:rsid w:val="000917F6"/>
    <w:rsid w:val="00096543"/>
    <w:rsid w:val="000A1B8A"/>
    <w:rsid w:val="000A56D1"/>
    <w:rsid w:val="000B3880"/>
    <w:rsid w:val="000D0811"/>
    <w:rsid w:val="0013705D"/>
    <w:rsid w:val="00154069"/>
    <w:rsid w:val="00157B2E"/>
    <w:rsid w:val="00157EBE"/>
    <w:rsid w:val="00161C0C"/>
    <w:rsid w:val="0016544E"/>
    <w:rsid w:val="00165F28"/>
    <w:rsid w:val="00170756"/>
    <w:rsid w:val="00174BC3"/>
    <w:rsid w:val="00194C1E"/>
    <w:rsid w:val="001A0AAD"/>
    <w:rsid w:val="001A0EA4"/>
    <w:rsid w:val="001B5215"/>
    <w:rsid w:val="001C0753"/>
    <w:rsid w:val="001D2B7D"/>
    <w:rsid w:val="001E4DA4"/>
    <w:rsid w:val="001E5ECD"/>
    <w:rsid w:val="001E7750"/>
    <w:rsid w:val="0021713E"/>
    <w:rsid w:val="00221086"/>
    <w:rsid w:val="00234BA6"/>
    <w:rsid w:val="00256861"/>
    <w:rsid w:val="002759A8"/>
    <w:rsid w:val="002D6805"/>
    <w:rsid w:val="003049C7"/>
    <w:rsid w:val="00316369"/>
    <w:rsid w:val="00326DEF"/>
    <w:rsid w:val="00353936"/>
    <w:rsid w:val="0037304D"/>
    <w:rsid w:val="00380C2A"/>
    <w:rsid w:val="00391397"/>
    <w:rsid w:val="003919B9"/>
    <w:rsid w:val="003930BA"/>
    <w:rsid w:val="003A22F7"/>
    <w:rsid w:val="003A417B"/>
    <w:rsid w:val="003A4DE1"/>
    <w:rsid w:val="003B743E"/>
    <w:rsid w:val="003C7497"/>
    <w:rsid w:val="003D2358"/>
    <w:rsid w:val="003E0A4F"/>
    <w:rsid w:val="003F245A"/>
    <w:rsid w:val="003F2A5A"/>
    <w:rsid w:val="00402131"/>
    <w:rsid w:val="00405EA4"/>
    <w:rsid w:val="00415D9C"/>
    <w:rsid w:val="00424D88"/>
    <w:rsid w:val="00436096"/>
    <w:rsid w:val="0043771E"/>
    <w:rsid w:val="004403DB"/>
    <w:rsid w:val="0044172D"/>
    <w:rsid w:val="00451A45"/>
    <w:rsid w:val="0045513B"/>
    <w:rsid w:val="00482F97"/>
    <w:rsid w:val="004C33AF"/>
    <w:rsid w:val="004C69BB"/>
    <w:rsid w:val="004D54F2"/>
    <w:rsid w:val="004F5BDD"/>
    <w:rsid w:val="00511676"/>
    <w:rsid w:val="00514AD3"/>
    <w:rsid w:val="0052697C"/>
    <w:rsid w:val="00535552"/>
    <w:rsid w:val="00546063"/>
    <w:rsid w:val="00551C5F"/>
    <w:rsid w:val="00554658"/>
    <w:rsid w:val="00570A7C"/>
    <w:rsid w:val="005847C2"/>
    <w:rsid w:val="00586366"/>
    <w:rsid w:val="005A6990"/>
    <w:rsid w:val="005D4462"/>
    <w:rsid w:val="005D4A62"/>
    <w:rsid w:val="005D6972"/>
    <w:rsid w:val="005E3959"/>
    <w:rsid w:val="005E698A"/>
    <w:rsid w:val="005F260A"/>
    <w:rsid w:val="005F7DBA"/>
    <w:rsid w:val="00604D11"/>
    <w:rsid w:val="00615C49"/>
    <w:rsid w:val="00623439"/>
    <w:rsid w:val="0063226B"/>
    <w:rsid w:val="0064675B"/>
    <w:rsid w:val="00650DF4"/>
    <w:rsid w:val="0065655D"/>
    <w:rsid w:val="0066141D"/>
    <w:rsid w:val="00687631"/>
    <w:rsid w:val="006A7A46"/>
    <w:rsid w:val="006B5413"/>
    <w:rsid w:val="006B7644"/>
    <w:rsid w:val="006B7C59"/>
    <w:rsid w:val="006D2480"/>
    <w:rsid w:val="006D358D"/>
    <w:rsid w:val="006F590F"/>
    <w:rsid w:val="0070536C"/>
    <w:rsid w:val="007059C7"/>
    <w:rsid w:val="00706E56"/>
    <w:rsid w:val="00710799"/>
    <w:rsid w:val="007241CB"/>
    <w:rsid w:val="00737277"/>
    <w:rsid w:val="00740551"/>
    <w:rsid w:val="00750692"/>
    <w:rsid w:val="00752A0E"/>
    <w:rsid w:val="00762701"/>
    <w:rsid w:val="0076335E"/>
    <w:rsid w:val="00767AAB"/>
    <w:rsid w:val="007805AC"/>
    <w:rsid w:val="007855F4"/>
    <w:rsid w:val="007A59AC"/>
    <w:rsid w:val="007B1361"/>
    <w:rsid w:val="007C79E7"/>
    <w:rsid w:val="007E67D9"/>
    <w:rsid w:val="007F03AD"/>
    <w:rsid w:val="007F535D"/>
    <w:rsid w:val="00801650"/>
    <w:rsid w:val="008026E5"/>
    <w:rsid w:val="00807B03"/>
    <w:rsid w:val="00823EC0"/>
    <w:rsid w:val="00827B0E"/>
    <w:rsid w:val="008367CC"/>
    <w:rsid w:val="0084152E"/>
    <w:rsid w:val="00852F00"/>
    <w:rsid w:val="00865361"/>
    <w:rsid w:val="00875006"/>
    <w:rsid w:val="00876B4C"/>
    <w:rsid w:val="00881BFF"/>
    <w:rsid w:val="00893D36"/>
    <w:rsid w:val="008C656A"/>
    <w:rsid w:val="008D7E13"/>
    <w:rsid w:val="008E7B0A"/>
    <w:rsid w:val="008F03F5"/>
    <w:rsid w:val="00900A19"/>
    <w:rsid w:val="00926EA2"/>
    <w:rsid w:val="00935346"/>
    <w:rsid w:val="009627E8"/>
    <w:rsid w:val="0099630F"/>
    <w:rsid w:val="009A1638"/>
    <w:rsid w:val="009A6ECA"/>
    <w:rsid w:val="009B16BF"/>
    <w:rsid w:val="009C4FDD"/>
    <w:rsid w:val="009D547E"/>
    <w:rsid w:val="009D664B"/>
    <w:rsid w:val="009E0B82"/>
    <w:rsid w:val="009F01E7"/>
    <w:rsid w:val="009F0725"/>
    <w:rsid w:val="00A04F84"/>
    <w:rsid w:val="00A15F9E"/>
    <w:rsid w:val="00A20B66"/>
    <w:rsid w:val="00A562E0"/>
    <w:rsid w:val="00A6409E"/>
    <w:rsid w:val="00A67872"/>
    <w:rsid w:val="00A76595"/>
    <w:rsid w:val="00A813B3"/>
    <w:rsid w:val="00A93121"/>
    <w:rsid w:val="00AB5C0A"/>
    <w:rsid w:val="00AC4885"/>
    <w:rsid w:val="00AC6AAF"/>
    <w:rsid w:val="00AD16F7"/>
    <w:rsid w:val="00AD4941"/>
    <w:rsid w:val="00AD68AB"/>
    <w:rsid w:val="00AE5570"/>
    <w:rsid w:val="00AF3280"/>
    <w:rsid w:val="00AF574B"/>
    <w:rsid w:val="00B15BD1"/>
    <w:rsid w:val="00B205CA"/>
    <w:rsid w:val="00B25988"/>
    <w:rsid w:val="00B4060F"/>
    <w:rsid w:val="00B46834"/>
    <w:rsid w:val="00B73130"/>
    <w:rsid w:val="00BA23E6"/>
    <w:rsid w:val="00BC2306"/>
    <w:rsid w:val="00BC48C7"/>
    <w:rsid w:val="00BC716F"/>
    <w:rsid w:val="00BD247C"/>
    <w:rsid w:val="00BE7E24"/>
    <w:rsid w:val="00C06FE2"/>
    <w:rsid w:val="00C40C51"/>
    <w:rsid w:val="00C47E11"/>
    <w:rsid w:val="00C54A40"/>
    <w:rsid w:val="00C60014"/>
    <w:rsid w:val="00C608AA"/>
    <w:rsid w:val="00C63E63"/>
    <w:rsid w:val="00C80034"/>
    <w:rsid w:val="00C911B3"/>
    <w:rsid w:val="00CA5A9C"/>
    <w:rsid w:val="00CA5C26"/>
    <w:rsid w:val="00CB2560"/>
    <w:rsid w:val="00CB3D3E"/>
    <w:rsid w:val="00CB3DE2"/>
    <w:rsid w:val="00CB5CBC"/>
    <w:rsid w:val="00CE1774"/>
    <w:rsid w:val="00CE6D1D"/>
    <w:rsid w:val="00D211B3"/>
    <w:rsid w:val="00D25C01"/>
    <w:rsid w:val="00D269ED"/>
    <w:rsid w:val="00D41B75"/>
    <w:rsid w:val="00D45597"/>
    <w:rsid w:val="00D45F24"/>
    <w:rsid w:val="00D60D3A"/>
    <w:rsid w:val="00D84D51"/>
    <w:rsid w:val="00D97A7B"/>
    <w:rsid w:val="00DA5E4E"/>
    <w:rsid w:val="00DB6A89"/>
    <w:rsid w:val="00DC0785"/>
    <w:rsid w:val="00DC62F3"/>
    <w:rsid w:val="00DE2E7B"/>
    <w:rsid w:val="00DF1699"/>
    <w:rsid w:val="00DF4DC6"/>
    <w:rsid w:val="00E020C9"/>
    <w:rsid w:val="00E04D67"/>
    <w:rsid w:val="00E2241E"/>
    <w:rsid w:val="00E26240"/>
    <w:rsid w:val="00E4005E"/>
    <w:rsid w:val="00E44AE1"/>
    <w:rsid w:val="00E60DD6"/>
    <w:rsid w:val="00E81394"/>
    <w:rsid w:val="00E92BC3"/>
    <w:rsid w:val="00E96A33"/>
    <w:rsid w:val="00EA6081"/>
    <w:rsid w:val="00EB20FD"/>
    <w:rsid w:val="00EB3E17"/>
    <w:rsid w:val="00EB4E11"/>
    <w:rsid w:val="00ED517D"/>
    <w:rsid w:val="00EF5DE1"/>
    <w:rsid w:val="00F2033F"/>
    <w:rsid w:val="00F3537A"/>
    <w:rsid w:val="00F37052"/>
    <w:rsid w:val="00F41278"/>
    <w:rsid w:val="00F46A67"/>
    <w:rsid w:val="00F5612F"/>
    <w:rsid w:val="00F66C8E"/>
    <w:rsid w:val="00F711DE"/>
    <w:rsid w:val="00F74586"/>
    <w:rsid w:val="00F74643"/>
    <w:rsid w:val="00F74EBE"/>
    <w:rsid w:val="00FA224F"/>
    <w:rsid w:val="00FE417F"/>
    <w:rsid w:val="00FE4944"/>
    <w:rsid w:val="6FF7462B"/>
    <w:rsid w:val="716E6B4E"/>
    <w:rsid w:val="7D578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AA593F-DB74-4626-87A9-A7183B126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spacing w:after="0" w:line="240" w:lineRule="auto"/>
      <w:ind w:left="433" w:hanging="333"/>
    </w:pPr>
    <w:rPr>
      <w:rFonts w:ascii="Arial" w:eastAsia="Arial" w:hAnsi="Arial"/>
      <w:sz w:val="24"/>
      <w:szCs w:val="24"/>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uiPriority w:val="39"/>
    <w:unhideWhenUsed/>
    <w:qFormat/>
    <w:pPr>
      <w:spacing w:after="100"/>
    </w:pPr>
  </w:style>
  <w:style w:type="paragraph" w:styleId="TOC2">
    <w:name w:val="toc 2"/>
    <w:basedOn w:val="Normal"/>
    <w:next w:val="Normal"/>
    <w:uiPriority w:val="39"/>
    <w:unhideWhenUsed/>
    <w:qFormat/>
    <w:pPr>
      <w:spacing w:after="100"/>
      <w:ind w:left="220"/>
    </w:p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pPr>
      <w:spacing w:after="0" w:line="240" w:lineRule="auto"/>
    </w:pPr>
    <w:rPr>
      <w:sz w:val="22"/>
      <w:szCs w:val="22"/>
    </w:rPr>
  </w:style>
  <w:style w:type="table" w:customStyle="1" w:styleId="PlainTable21">
    <w:name w:val="Plain Table 21"/>
    <w:basedOn w:val="TableNormal"/>
    <w:uiPriority w:val="42"/>
    <w:qFormat/>
    <w:pPr>
      <w:spacing w:after="0" w:line="240" w:lineRule="auto"/>
    </w:p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ommentTextChar">
    <w:name w:val="Comment Text Char"/>
    <w:basedOn w:val="DefaultParagraphFont"/>
    <w:link w:val="CommentText"/>
    <w:uiPriority w:val="99"/>
    <w:qFormat/>
    <w:rPr>
      <w:sz w:val="20"/>
      <w:szCs w:val="20"/>
    </w:rPr>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BodyTextChar">
    <w:name w:val="Body Text Char"/>
    <w:basedOn w:val="DefaultParagraphFont"/>
    <w:link w:val="BodyText"/>
    <w:uiPriority w:val="1"/>
    <w:qFormat/>
    <w:rPr>
      <w:rFonts w:ascii="Arial" w:eastAsia="Arial" w:hAnsi="Arial"/>
      <w:sz w:val="24"/>
      <w:szCs w:val="24"/>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qFormat/>
    <w:rPr>
      <w:color w:val="808080"/>
    </w:rPr>
  </w:style>
  <w:style w:type="table" w:customStyle="1" w:styleId="PlainTable11">
    <w:name w:val="Plain Table 11"/>
    <w:basedOn w:val="TableNormal"/>
    <w:uiPriority w:val="41"/>
    <w:qFormat/>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erChar">
    <w:name w:val="Header Char"/>
    <w:basedOn w:val="DefaultParagraphFont"/>
    <w:link w:val="Header"/>
    <w:uiPriority w:val="99"/>
    <w:qFormat/>
  </w:style>
  <w:style w:type="paragraph" w:customStyle="1" w:styleId="TOCHeading1">
    <w:name w:val="TOC Heading1"/>
    <w:basedOn w:val="Heading1"/>
    <w:next w:val="Normal"/>
    <w:uiPriority w:val="39"/>
    <w:unhideWhenUsed/>
    <w:qFormat/>
    <w:pPr>
      <w:outlineLvl w:val="9"/>
    </w:p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E74B5" w:themeColor="accent1" w:themeShade="BF"/>
      <w:sz w:val="26"/>
      <w:szCs w:val="26"/>
    </w:rPr>
  </w:style>
  <w:style w:type="paragraph" w:customStyle="1" w:styleId="msonormal0">
    <w:name w:val="msonormal"/>
    <w:basedOn w:val="Normal"/>
    <w:rsid w:val="00F74586"/>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9D5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598259">
      <w:bodyDiv w:val="1"/>
      <w:marLeft w:val="0"/>
      <w:marRight w:val="0"/>
      <w:marTop w:val="0"/>
      <w:marBottom w:val="0"/>
      <w:divBdr>
        <w:top w:val="none" w:sz="0" w:space="0" w:color="auto"/>
        <w:left w:val="none" w:sz="0" w:space="0" w:color="auto"/>
        <w:bottom w:val="none" w:sz="0" w:space="0" w:color="auto"/>
        <w:right w:val="none" w:sz="0" w:space="0" w:color="auto"/>
      </w:divBdr>
    </w:div>
    <w:div w:id="1738017874">
      <w:bodyDiv w:val="1"/>
      <w:marLeft w:val="0"/>
      <w:marRight w:val="0"/>
      <w:marTop w:val="0"/>
      <w:marBottom w:val="0"/>
      <w:divBdr>
        <w:top w:val="none" w:sz="0" w:space="0" w:color="auto"/>
        <w:left w:val="none" w:sz="0" w:space="0" w:color="auto"/>
        <w:bottom w:val="none" w:sz="0" w:space="0" w:color="auto"/>
        <w:right w:val="none" w:sz="0" w:space="0" w:color="auto"/>
      </w:divBdr>
    </w:div>
    <w:div w:id="1984040892">
      <w:bodyDiv w:val="1"/>
      <w:marLeft w:val="0"/>
      <w:marRight w:val="0"/>
      <w:marTop w:val="0"/>
      <w:marBottom w:val="0"/>
      <w:divBdr>
        <w:top w:val="none" w:sz="0" w:space="0" w:color="auto"/>
        <w:left w:val="none" w:sz="0" w:space="0" w:color="auto"/>
        <w:bottom w:val="none" w:sz="0" w:space="0" w:color="auto"/>
        <w:right w:val="none" w:sz="0" w:space="0" w:color="auto"/>
      </w:divBdr>
    </w:div>
    <w:div w:id="2026443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link.springer.com/article/10.1007/s10924-018-1234-3" TargetMode="External"/><Relationship Id="rId21" Type="http://schemas.openxmlformats.org/officeDocument/2006/relationships/hyperlink" Target="https://onlinelibrary.wiley.com/doi/full/10.1002/bbb.1790" TargetMode="External"/><Relationship Id="rId42" Type="http://schemas.openxmlformats.org/officeDocument/2006/relationships/hyperlink" Target="https://pubs.acs.org/doi/abs/10.1021/acssuschemeng.7b00286" TargetMode="External"/><Relationship Id="rId63" Type="http://schemas.openxmlformats.org/officeDocument/2006/relationships/hyperlink" Target="https://www.sciencedirect.com/science/article/pii/S0959652618322297" TargetMode="External"/><Relationship Id="rId84" Type="http://schemas.openxmlformats.org/officeDocument/2006/relationships/hyperlink" Target="https://www.sciencedirect.com/science/article/pii/S0048969720338791" TargetMode="External"/><Relationship Id="rId138" Type="http://schemas.openxmlformats.org/officeDocument/2006/relationships/hyperlink" Target="https://onlinelibrary.wiley.com/doi/pdf/10.1002/bbb.2052" TargetMode="External"/><Relationship Id="rId159" Type="http://schemas.openxmlformats.org/officeDocument/2006/relationships/hyperlink" Target="https://onlinelibrary.wiley.com/doi/pdf/10.1002/bbb.1406" TargetMode="External"/><Relationship Id="rId170" Type="http://schemas.openxmlformats.org/officeDocument/2006/relationships/hyperlink" Target="https://pubs.rsc.org/en/content/articlelanding/2015/GC/C5GC01549A" TargetMode="External"/><Relationship Id="rId191" Type="http://schemas.openxmlformats.org/officeDocument/2006/relationships/hyperlink" Target="https://www.sciencedirect.com/science/article/pii/S0959652616312525?via%3Dihub" TargetMode="External"/><Relationship Id="rId205" Type="http://schemas.openxmlformats.org/officeDocument/2006/relationships/hyperlink" Target="https://www.sciencedirect.com/science/article/pii/S0959652616313208" TargetMode="External"/><Relationship Id="rId226" Type="http://schemas.openxmlformats.org/officeDocument/2006/relationships/hyperlink" Target="http://jopr.mpob.gov.my/wp-content/uploads/2015/06/joprv27june-noorazah1.pdf" TargetMode="External"/><Relationship Id="rId247" Type="http://schemas.openxmlformats.org/officeDocument/2006/relationships/hyperlink" Target="https://pubs.acs.org/doi/full/10.1021/acs.est.5b05589" TargetMode="External"/><Relationship Id="rId107" Type="http://schemas.openxmlformats.org/officeDocument/2006/relationships/hyperlink" Target="https://onlinelibrary.wiley.com/doi/epdf/10.1002/bbb.1734" TargetMode="External"/><Relationship Id="rId11" Type="http://schemas.openxmlformats.org/officeDocument/2006/relationships/image" Target="media/image5.jpeg"/><Relationship Id="rId32" Type="http://schemas.openxmlformats.org/officeDocument/2006/relationships/hyperlink" Target="https://www.sciencedirect.com/science/article/pii/S095965261300807X" TargetMode="External"/><Relationship Id="rId53" Type="http://schemas.openxmlformats.org/officeDocument/2006/relationships/hyperlink" Target="https://pubs.acs.org/doi/abs/10.1021/acs.est.6b06220" TargetMode="External"/><Relationship Id="rId74" Type="http://schemas.openxmlformats.org/officeDocument/2006/relationships/hyperlink" Target="https://pubs.rsc.org/en/content/articlehtml/2020/gc/c9gc02992c" TargetMode="External"/><Relationship Id="rId128" Type="http://schemas.openxmlformats.org/officeDocument/2006/relationships/hyperlink" Target="https://www.sciencedirect.com/science/article/pii/S0048969717309233" TargetMode="External"/><Relationship Id="rId149" Type="http://schemas.openxmlformats.org/officeDocument/2006/relationships/hyperlink" Target="https://pubs.acs.org/doi/pdf/10.1021/sc4000225" TargetMode="External"/><Relationship Id="rId5" Type="http://schemas.openxmlformats.org/officeDocument/2006/relationships/footnotes" Target="footnotes.xml"/><Relationship Id="rId95" Type="http://schemas.openxmlformats.org/officeDocument/2006/relationships/hyperlink" Target="https://www.sciencedirect.com/science/article/pii/S0141391002004007" TargetMode="External"/><Relationship Id="rId160" Type="http://schemas.openxmlformats.org/officeDocument/2006/relationships/hyperlink" Target="https://www.sciencedirect.com/science/article/pii/S0959652613004873" TargetMode="External"/><Relationship Id="rId181" Type="http://schemas.openxmlformats.org/officeDocument/2006/relationships/hyperlink" Target="https://pubs.rsc.org/en/content/articlelanding/2016/GC/C5GC02065D" TargetMode="External"/><Relationship Id="rId216" Type="http://schemas.openxmlformats.org/officeDocument/2006/relationships/hyperlink" Target="https://pubs.rsc.org/en/content/articlelanding/2012/ee/c2ee02480b" TargetMode="External"/><Relationship Id="rId237" Type="http://schemas.openxmlformats.org/officeDocument/2006/relationships/hyperlink" Target="https://www.sciencedirect.com/science/article/pii/S0959652616309908?via%3Dihub" TargetMode="External"/><Relationship Id="rId22" Type="http://schemas.openxmlformats.org/officeDocument/2006/relationships/hyperlink" Target="https://onlinelibrary.wiley.com/doi/full/10.1002/bbb.1790" TargetMode="External"/><Relationship Id="rId43" Type="http://schemas.openxmlformats.org/officeDocument/2006/relationships/hyperlink" Target="https://pubs.acs.org/doi/abs/10.1021/acssuschemeng.7b00286" TargetMode="External"/><Relationship Id="rId64" Type="http://schemas.openxmlformats.org/officeDocument/2006/relationships/hyperlink" Target="https://www.sciencedirect.com/science/article/pii/S1385894718310908" TargetMode="External"/><Relationship Id="rId118" Type="http://schemas.openxmlformats.org/officeDocument/2006/relationships/hyperlink" Target="https://www.sciencedirect.com/science/article/pii/S0959652616320145?via%3Dihub" TargetMode="External"/><Relationship Id="rId139" Type="http://schemas.openxmlformats.org/officeDocument/2006/relationships/hyperlink" Target="https://onlinelibrary.wiley.com/doi/pdf/10.1002/bbb.2052" TargetMode="External"/><Relationship Id="rId85" Type="http://schemas.openxmlformats.org/officeDocument/2006/relationships/hyperlink" Target="https://www.sciencedirect.com/science/article/pii/S0048969720338791" TargetMode="External"/><Relationship Id="rId150" Type="http://schemas.openxmlformats.org/officeDocument/2006/relationships/hyperlink" Target="https://pubs.acs.org/doi/pdf/10.1021/sc4000225" TargetMode="External"/><Relationship Id="rId171" Type="http://schemas.openxmlformats.org/officeDocument/2006/relationships/hyperlink" Target="https://pubs.rsc.org/en/content/articlelanding/2015/GC/C5GC01549A" TargetMode="External"/><Relationship Id="rId192" Type="http://schemas.openxmlformats.org/officeDocument/2006/relationships/hyperlink" Target="https://pubs.rsc.org/en/content/articlelanding/2016/ee/c6ee00634e" TargetMode="External"/><Relationship Id="rId206" Type="http://schemas.openxmlformats.org/officeDocument/2006/relationships/hyperlink" Target="https://pubs.rsc.org/en/content/articlelanding/2015/ee/c4ee03352c" TargetMode="External"/><Relationship Id="rId227" Type="http://schemas.openxmlformats.org/officeDocument/2006/relationships/hyperlink" Target="https://www.sciencedirect.com/science/article/pii/S0959652614009718?casa_token=RPRzU58u7R4AAAAA:2B4rhuYlfCKAjryBci4Zm5PNSEjMj4v0NYi3AIezJ-FHHqGt5snFRkg0fz5KJhW4K3rgYx7De2s" TargetMode="External"/><Relationship Id="rId248" Type="http://schemas.openxmlformats.org/officeDocument/2006/relationships/hyperlink" Target="https://pubs.acs.org/doi/full/10.1021/acs.est.5b05589" TargetMode="External"/><Relationship Id="rId12" Type="http://schemas.openxmlformats.org/officeDocument/2006/relationships/image" Target="media/image6.emf"/><Relationship Id="rId33" Type="http://schemas.openxmlformats.org/officeDocument/2006/relationships/hyperlink" Target="https://pubs.acs.org/doi/abs/10.1021/es503766e" TargetMode="External"/><Relationship Id="rId108" Type="http://schemas.openxmlformats.org/officeDocument/2006/relationships/hyperlink" Target="https://onlinelibrary.wiley.com/doi/epdf/10.1002/bbb.1734" TargetMode="External"/><Relationship Id="rId129" Type="http://schemas.openxmlformats.org/officeDocument/2006/relationships/hyperlink" Target="https://www.sciencedirect.com/science/article/pii/S0048969717309233" TargetMode="External"/><Relationship Id="rId54" Type="http://schemas.openxmlformats.org/officeDocument/2006/relationships/hyperlink" Target="https://pubs.acs.org/doi/abs/10.1021/acs.est.6b06220" TargetMode="External"/><Relationship Id="rId75" Type="http://schemas.openxmlformats.org/officeDocument/2006/relationships/hyperlink" Target="https://pubs.rsc.org/en/content/articlehtml/2020/gc/c9gc02992c" TargetMode="External"/><Relationship Id="rId96" Type="http://schemas.openxmlformats.org/officeDocument/2006/relationships/hyperlink" Target="https://www.sciencedirect.com/science/article/pii/S0141391002004007" TargetMode="External"/><Relationship Id="rId140" Type="http://schemas.openxmlformats.org/officeDocument/2006/relationships/hyperlink" Target="https://onlinelibrary.wiley.com/doi/pdf/10.1002/bbb.2052" TargetMode="External"/><Relationship Id="rId161" Type="http://schemas.openxmlformats.org/officeDocument/2006/relationships/hyperlink" Target="https://www.sciencedirect.com/science/article/pii/S0959652613004873" TargetMode="External"/><Relationship Id="rId182" Type="http://schemas.openxmlformats.org/officeDocument/2006/relationships/hyperlink" Target="https://pubs.rsc.org/en/content/articlelanding/2016/GC/C5GC02065D" TargetMode="External"/><Relationship Id="rId217" Type="http://schemas.openxmlformats.org/officeDocument/2006/relationships/hyperlink" Target="https://link.springer.com/article/10.1007/s11367-012-0511-y" TargetMode="External"/><Relationship Id="rId6" Type="http://schemas.openxmlformats.org/officeDocument/2006/relationships/endnotes" Target="endnotes.xml"/><Relationship Id="rId238" Type="http://schemas.openxmlformats.org/officeDocument/2006/relationships/hyperlink" Target="https://pubs.acs.org/doi/full/10.1021/acs.est.5b05589" TargetMode="External"/><Relationship Id="rId23" Type="http://schemas.openxmlformats.org/officeDocument/2006/relationships/hyperlink" Target="https://onlinelibrary.wiley.com/doi/full/10.1002/bbb.1790" TargetMode="External"/><Relationship Id="rId119" Type="http://schemas.openxmlformats.org/officeDocument/2006/relationships/hyperlink" Target="https://onlinelibrary.wiley.com/doi/epdf/10.1002/bbb.1849" TargetMode="External"/><Relationship Id="rId44" Type="http://schemas.openxmlformats.org/officeDocument/2006/relationships/hyperlink" Target="https://pubs.acs.org/doi/abs/10.1021/acssuschemeng.7b01729" TargetMode="External"/><Relationship Id="rId65" Type="http://schemas.openxmlformats.org/officeDocument/2006/relationships/hyperlink" Target="https://onlinelibrary.wiley.com/doi/full/10.1002/bbb.1986" TargetMode="External"/><Relationship Id="rId86" Type="http://schemas.openxmlformats.org/officeDocument/2006/relationships/hyperlink" Target="https://link.springer.com/article/10.1007/s10443-011-9201-3" TargetMode="External"/><Relationship Id="rId130" Type="http://schemas.openxmlformats.org/officeDocument/2006/relationships/hyperlink" Target="https://onlinelibrary.wiley.com/doi/pdf/10.1002/bbb.1893?casa_token=D3IhTp5M_nUAAAAA:N1ZT3y60ApzHpxerDq_BP3jf5c3mYcaNdwcbJRFor9oK0gshR-HYLdLeEqfMaFZep5K2YAXeg13vwU7Z" TargetMode="External"/><Relationship Id="rId151" Type="http://schemas.openxmlformats.org/officeDocument/2006/relationships/hyperlink" Target="https://www.sciencedirect.com/science/article/pii/S0921344915300434" TargetMode="External"/><Relationship Id="rId172" Type="http://schemas.openxmlformats.org/officeDocument/2006/relationships/hyperlink" Target="https://pubs.rsc.org/en/content/articlelanding/2015/GC/C5GC01549A" TargetMode="External"/><Relationship Id="rId193" Type="http://schemas.openxmlformats.org/officeDocument/2006/relationships/hyperlink" Target="https://pubs.rsc.org/en/content/articlelanding/2016/ee/c6ee00634e" TargetMode="External"/><Relationship Id="rId207" Type="http://schemas.openxmlformats.org/officeDocument/2006/relationships/hyperlink" Target="https://pubs.rsc.org/en/content/articlelanding/2015/ee/c4ee03352c" TargetMode="External"/><Relationship Id="rId228" Type="http://schemas.openxmlformats.org/officeDocument/2006/relationships/hyperlink" Target="https://www.sciencedirect.com/science/article/pii/S0959652615010197?casa_token=0hsPJv-I2yYAAAAA:-esYbByYPECjO462_3eHVcR2FA1P2bb4VmRmEfm73QljHi0p0lTUiKW5GIPOSchRYWNKWOgzMKY" TargetMode="External"/><Relationship Id="rId249" Type="http://schemas.openxmlformats.org/officeDocument/2006/relationships/hyperlink" Target="https://pubs.acs.org/doi/full/10.1021/acs.est.5b05589" TargetMode="External"/><Relationship Id="rId13" Type="http://schemas.openxmlformats.org/officeDocument/2006/relationships/footer" Target="footer1.xml"/><Relationship Id="rId109" Type="http://schemas.openxmlformats.org/officeDocument/2006/relationships/hyperlink" Target="https://onlinelibrary.wiley.com/doi/epdf/10.1002/bbb.1734" TargetMode="External"/><Relationship Id="rId34" Type="http://schemas.openxmlformats.org/officeDocument/2006/relationships/hyperlink" Target="https://pubs.acs.org/doi/abs/10.1021/es503766e" TargetMode="External"/><Relationship Id="rId55" Type="http://schemas.openxmlformats.org/officeDocument/2006/relationships/hyperlink" Target="https://pubs.acs.org/doi/abs/10.1021/acs.est.6b06220" TargetMode="External"/><Relationship Id="rId76" Type="http://schemas.openxmlformats.org/officeDocument/2006/relationships/hyperlink" Target="https://pubs.rsc.org/en/content/articlehtml/2020/gc/c9gc02992c" TargetMode="External"/><Relationship Id="rId97" Type="http://schemas.openxmlformats.org/officeDocument/2006/relationships/hyperlink" Target="https://link.springer.com/article/10.1065/lca2004.08.171" TargetMode="External"/><Relationship Id="rId120" Type="http://schemas.openxmlformats.org/officeDocument/2006/relationships/hyperlink" Target="https://onlinelibrary.wiley.com/doi/epdf/10.1002/bbb.1849" TargetMode="External"/><Relationship Id="rId141" Type="http://schemas.openxmlformats.org/officeDocument/2006/relationships/hyperlink" Target="https://onlinelibrary.wiley.com/doi/pdf/10.1002/bbb.2052" TargetMode="External"/><Relationship Id="rId7" Type="http://schemas.openxmlformats.org/officeDocument/2006/relationships/image" Target="media/image1.jpeg"/><Relationship Id="rId162" Type="http://schemas.openxmlformats.org/officeDocument/2006/relationships/hyperlink" Target="https://www.mdpi.com/1996-1944/12/18/2987" TargetMode="External"/><Relationship Id="rId183" Type="http://schemas.openxmlformats.org/officeDocument/2006/relationships/hyperlink" Target="https://pubs.rsc.org/en/content/articlelanding/2016/GC/C5GC02065D" TargetMode="External"/><Relationship Id="rId218" Type="http://schemas.openxmlformats.org/officeDocument/2006/relationships/hyperlink" Target="https://link.springer.com/article/10.1007/s11367-012-0511-y" TargetMode="External"/><Relationship Id="rId239" Type="http://schemas.openxmlformats.org/officeDocument/2006/relationships/hyperlink" Target="https://pubs.acs.org/doi/full/10.1021/acs.est.5b05589" TargetMode="External"/><Relationship Id="rId250" Type="http://schemas.openxmlformats.org/officeDocument/2006/relationships/hyperlink" Target="https://www.sciencedirect.com/science/article/pii/S0961953415301860?via%3Dihub" TargetMode="External"/><Relationship Id="rId24" Type="http://schemas.openxmlformats.org/officeDocument/2006/relationships/hyperlink" Target="https://www.sciencedirect.com/science/article/pii/S0959652611000849?via%3Dihub" TargetMode="External"/><Relationship Id="rId45" Type="http://schemas.openxmlformats.org/officeDocument/2006/relationships/hyperlink" Target="https://pubs.acs.org/doi/abs/10.1021/acssuschemeng.7b01729" TargetMode="External"/><Relationship Id="rId66" Type="http://schemas.openxmlformats.org/officeDocument/2006/relationships/hyperlink" Target="https://onlinelibrary.wiley.com/doi/full/10.1002/bbb.1986" TargetMode="External"/><Relationship Id="rId87" Type="http://schemas.openxmlformats.org/officeDocument/2006/relationships/hyperlink" Target="https://link.springer.com/article/10.1007/s10443-011-9201-3" TargetMode="External"/><Relationship Id="rId110" Type="http://schemas.openxmlformats.org/officeDocument/2006/relationships/hyperlink" Target="https://onlinelibrary.wiley.com/doi/epdf/10.1002/bbb.1734" TargetMode="External"/><Relationship Id="rId131" Type="http://schemas.openxmlformats.org/officeDocument/2006/relationships/hyperlink" Target="https://onlinelibrary.wiley.com/doi/pdf/10.1002/bbb.1893?casa_token=D3IhTp5M_nUAAAAA:N1ZT3y60ApzHpxerDq_BP3jf5c3mYcaNdwcbJRFor9oK0gshR-HYLdLeEqfMaFZep5K2YAXeg13vwU7Z" TargetMode="External"/><Relationship Id="rId152" Type="http://schemas.openxmlformats.org/officeDocument/2006/relationships/hyperlink" Target="https://www.sciencedirect.com/science/article/pii/S0921344915300434" TargetMode="External"/><Relationship Id="rId173" Type="http://schemas.openxmlformats.org/officeDocument/2006/relationships/hyperlink" Target="https://pubs.rsc.org/en/content/articlelanding/2015/GC/C5GC01549A" TargetMode="External"/><Relationship Id="rId194" Type="http://schemas.openxmlformats.org/officeDocument/2006/relationships/hyperlink" Target="https://pubs.rsc.org/en/content/articlelanding/2016/ee/c6ee00634e" TargetMode="External"/><Relationship Id="rId208" Type="http://schemas.openxmlformats.org/officeDocument/2006/relationships/hyperlink" Target="https://pubs.rsc.org/en/content/articlelanding/2015/ee/c4ee03352c" TargetMode="External"/><Relationship Id="rId229" Type="http://schemas.openxmlformats.org/officeDocument/2006/relationships/hyperlink" Target="https://www.sciencedirect.com/science/article/pii/S0959652615010197?via%3Dihub" TargetMode="External"/><Relationship Id="rId240" Type="http://schemas.openxmlformats.org/officeDocument/2006/relationships/hyperlink" Target="https://pubs.acs.org/doi/full/10.1021/acs.est.5b05589" TargetMode="External"/><Relationship Id="rId14" Type="http://schemas.openxmlformats.org/officeDocument/2006/relationships/hyperlink" Target="https://pubs.acs.org/doi/abs/10.1021/ie801612p" TargetMode="External"/><Relationship Id="rId35" Type="http://schemas.openxmlformats.org/officeDocument/2006/relationships/hyperlink" Target="https://pubs.acs.org/doi/abs/10.1021/es503766e" TargetMode="External"/><Relationship Id="rId56" Type="http://schemas.openxmlformats.org/officeDocument/2006/relationships/hyperlink" Target="https://pubs.acs.org/doi/abs/10.1021/acssuschemeng.8b00215" TargetMode="External"/><Relationship Id="rId77" Type="http://schemas.openxmlformats.org/officeDocument/2006/relationships/hyperlink" Target="https://pubs.rsc.org/en/content/articlehtml/2020/gc/c9gc02992c" TargetMode="External"/><Relationship Id="rId100" Type="http://schemas.openxmlformats.org/officeDocument/2006/relationships/hyperlink" Target="https://www.sciencedirect.com/science/article/pii/S0921344917302793?via%3Dihub" TargetMode="External"/><Relationship Id="rId8" Type="http://schemas.openxmlformats.org/officeDocument/2006/relationships/image" Target="media/image2.png"/><Relationship Id="rId98" Type="http://schemas.openxmlformats.org/officeDocument/2006/relationships/hyperlink" Target="https://link.springer.com/article/10.1065/lca2004.08.171" TargetMode="External"/><Relationship Id="rId121" Type="http://schemas.openxmlformats.org/officeDocument/2006/relationships/hyperlink" Target="https://pubs.rsc.org/en/content/articlelanding/2019/GC/C9GC03055G" TargetMode="External"/><Relationship Id="rId142" Type="http://schemas.openxmlformats.org/officeDocument/2006/relationships/hyperlink" Target="https://onlinelibrary.wiley.com/doi/pdf/10.1002/bbb.2052" TargetMode="External"/><Relationship Id="rId163" Type="http://schemas.openxmlformats.org/officeDocument/2006/relationships/hyperlink" Target="https://onlinelibrary.wiley.com/doi/full/10.1002/jctb.5980" TargetMode="External"/><Relationship Id="rId184" Type="http://schemas.openxmlformats.org/officeDocument/2006/relationships/hyperlink" Target="https://pubs.rsc.org/en/content/articlelanding/2016/GC/C5GC02065D" TargetMode="External"/><Relationship Id="rId219" Type="http://schemas.openxmlformats.org/officeDocument/2006/relationships/hyperlink" Target="https://link.springer.com/article/10.1007%2Fs11367-014-0725-2" TargetMode="External"/><Relationship Id="rId230" Type="http://schemas.openxmlformats.org/officeDocument/2006/relationships/hyperlink" Target="https://www.sciencedirect.com/science/article/pii/S0959652615010197?via%3Dihub" TargetMode="External"/><Relationship Id="rId251" Type="http://schemas.openxmlformats.org/officeDocument/2006/relationships/hyperlink" Target="https://www.sciencedirect.com/science/article/pii/S0961953415301860?via%3Dihub" TargetMode="External"/><Relationship Id="rId25" Type="http://schemas.openxmlformats.org/officeDocument/2006/relationships/hyperlink" Target="https://onlinelibrary.wiley.com/doi/full/10.1111/j.1530-9290.2011.00405.x" TargetMode="External"/><Relationship Id="rId46" Type="http://schemas.openxmlformats.org/officeDocument/2006/relationships/hyperlink" Target="https://pubs.acs.org/doi/abs/10.1021/acssuschemeng.7b01729" TargetMode="External"/><Relationship Id="rId67" Type="http://schemas.openxmlformats.org/officeDocument/2006/relationships/hyperlink" Target="https://onlinelibrary.wiley.com/doi/full/10.1002/bbb.1986" TargetMode="External"/><Relationship Id="rId88" Type="http://schemas.openxmlformats.org/officeDocument/2006/relationships/hyperlink" Target="https://link.springer.com/article/10.1007%2Fs11367-014-0731-4" TargetMode="External"/><Relationship Id="rId111" Type="http://schemas.openxmlformats.org/officeDocument/2006/relationships/hyperlink" Target="https://www.sciencedirect.com/science/article/pii/S0959652617313604?via%3Dihub" TargetMode="External"/><Relationship Id="rId132" Type="http://schemas.openxmlformats.org/officeDocument/2006/relationships/hyperlink" Target="https://www.researchgate.net/profile/Israel_Herrera2/publication/318657420_Are_Polymers_Toxic_Case_Study_Environmental_Impact_of_a_Biopolymer/links/5a2d18e845851552ae7ccfbc/Are-Polymers-Toxic-Case-Study-Environmental-Impact-of-a-Biopolymer.pdf" TargetMode="External"/><Relationship Id="rId153" Type="http://schemas.openxmlformats.org/officeDocument/2006/relationships/hyperlink" Target="https://pubs.acs.org/doi/full/10.1021/acssuschemeng.5b00209" TargetMode="External"/><Relationship Id="rId174" Type="http://schemas.openxmlformats.org/officeDocument/2006/relationships/hyperlink" Target="https://pubs.rsc.org/en/content/articlelanding/2015/GC/C5GC01549A" TargetMode="External"/><Relationship Id="rId195" Type="http://schemas.openxmlformats.org/officeDocument/2006/relationships/hyperlink" Target="https://pubs.rsc.org/en/content/articlelanding/2016/ee/c6ee00634e" TargetMode="External"/><Relationship Id="rId209" Type="http://schemas.openxmlformats.org/officeDocument/2006/relationships/hyperlink" Target="https://pubs.rsc.org/en/content/articlelanding/2015/ee/c4ee03352c" TargetMode="External"/><Relationship Id="rId220" Type="http://schemas.openxmlformats.org/officeDocument/2006/relationships/hyperlink" Target="https://link.springer.com/article/10.1007%2Fs11367-014-0725-2" TargetMode="External"/><Relationship Id="rId241" Type="http://schemas.openxmlformats.org/officeDocument/2006/relationships/hyperlink" Target="https://pubs.acs.org/doi/full/10.1021/acs.est.5b05589" TargetMode="External"/><Relationship Id="rId15" Type="http://schemas.openxmlformats.org/officeDocument/2006/relationships/hyperlink" Target="https://www.sciencedirect.com/science/article/pii/S0959652617313914" TargetMode="External"/><Relationship Id="rId36" Type="http://schemas.openxmlformats.org/officeDocument/2006/relationships/hyperlink" Target="https://onlinelibrary.wiley.com/doi/full/10.1002/bbb.1427" TargetMode="External"/><Relationship Id="rId57" Type="http://schemas.openxmlformats.org/officeDocument/2006/relationships/hyperlink" Target="https://pubs.acs.org/doi/abs/10.1021/acs.iecr.7b03731" TargetMode="External"/><Relationship Id="rId78" Type="http://schemas.openxmlformats.org/officeDocument/2006/relationships/hyperlink" Target="https://onlinelibrary.wiley.com/doi/full/10.1002/bit.27299" TargetMode="External"/><Relationship Id="rId99" Type="http://schemas.openxmlformats.org/officeDocument/2006/relationships/hyperlink" Target="https://www.sciencedirect.com/science/article/pii/S0921344917302793?via%3Dihub" TargetMode="External"/><Relationship Id="rId101" Type="http://schemas.openxmlformats.org/officeDocument/2006/relationships/hyperlink" Target="https://www.sciencedirect.com/science/article/pii/S0959652617325313" TargetMode="External"/><Relationship Id="rId122" Type="http://schemas.openxmlformats.org/officeDocument/2006/relationships/hyperlink" Target="https://www.sciencedirect.com/science/article/pii/S0921344918303963?casa_token=aca7_WA1Vv8AAAAA:MVr-ZH6bUlLukStowdM5vj5A7p4dVjTml6LDEtuw_rq5YB5wNj9CWJxqqDU4ognI52T6DpAcxto" TargetMode="External"/><Relationship Id="rId143" Type="http://schemas.openxmlformats.org/officeDocument/2006/relationships/hyperlink" Target="https://www.sciencedirect.com/science/article/pii/S0959652606003507" TargetMode="External"/><Relationship Id="rId164" Type="http://schemas.openxmlformats.org/officeDocument/2006/relationships/hyperlink" Target="https://pubs.rsc.org/en/content/articlehtml/2019/gc/c9gc00607a" TargetMode="External"/><Relationship Id="rId185" Type="http://schemas.openxmlformats.org/officeDocument/2006/relationships/hyperlink" Target="https://pubs.rsc.org/en/content/articlelanding/2016/GC/C5GC02065D" TargetMode="External"/><Relationship Id="rId9" Type="http://schemas.openxmlformats.org/officeDocument/2006/relationships/image" Target="media/image3.png"/><Relationship Id="rId210" Type="http://schemas.openxmlformats.org/officeDocument/2006/relationships/hyperlink" Target="https://pubs.rsc.org/en/content/articlelanding/2015/ee/c4ee03352c" TargetMode="External"/><Relationship Id="rId26" Type="http://schemas.openxmlformats.org/officeDocument/2006/relationships/hyperlink" Target="https://link.springer.com/article/10.1007/s11367-013-0564-6" TargetMode="External"/><Relationship Id="rId231" Type="http://schemas.openxmlformats.org/officeDocument/2006/relationships/hyperlink" Target="https://www.sciencedirect.com/science/article/pii/S0959652616304449" TargetMode="External"/><Relationship Id="rId252" Type="http://schemas.openxmlformats.org/officeDocument/2006/relationships/hyperlink" Target="https://www.sciencedirect.com/science/article/pii/S0961953415301860?via%3Dihub" TargetMode="External"/><Relationship Id="rId47" Type="http://schemas.openxmlformats.org/officeDocument/2006/relationships/hyperlink" Target="https://pubs.acs.org/doi/abs/10.1021/acssuschemeng.7b01729" TargetMode="External"/><Relationship Id="rId68" Type="http://schemas.openxmlformats.org/officeDocument/2006/relationships/hyperlink" Target="https://onlinelibrary.wiley.com/doi/full/10.1002/bbb.1986" TargetMode="External"/><Relationship Id="rId89" Type="http://schemas.openxmlformats.org/officeDocument/2006/relationships/hyperlink" Target="https://link.springer.com/article/10.1007%2Fs11367-014-0731-4" TargetMode="External"/><Relationship Id="rId112" Type="http://schemas.openxmlformats.org/officeDocument/2006/relationships/hyperlink" Target="https://www.sciencedirect.com/science/article/pii/S0959652617319121" TargetMode="External"/><Relationship Id="rId133" Type="http://schemas.openxmlformats.org/officeDocument/2006/relationships/hyperlink" Target="https://onlinelibrary.wiley.com/doi/pdf/10.1002/mabi.200400023?casa_token=beCRdJnMGWYAAAAA:MH92QbkyEFV_b07l8jlJwOnLyYegukpYty79cPWC1mhyboG6bPOO03UzGWTTWQpeVfLQe4pH8DopfOW-" TargetMode="External"/><Relationship Id="rId154" Type="http://schemas.openxmlformats.org/officeDocument/2006/relationships/hyperlink" Target="https://pubs.acs.org/doi/full/10.1021/acssuschemeng.5b00209" TargetMode="External"/><Relationship Id="rId175" Type="http://schemas.openxmlformats.org/officeDocument/2006/relationships/hyperlink" Target="https://pubs.rsc.org/en/content/articlelanding/2015/GC/C5GC01549A" TargetMode="External"/><Relationship Id="rId196" Type="http://schemas.openxmlformats.org/officeDocument/2006/relationships/hyperlink" Target="https://pubs.rsc.org/en/content/articlelanding/2016/ee/c6ee00634e" TargetMode="External"/><Relationship Id="rId200" Type="http://schemas.openxmlformats.org/officeDocument/2006/relationships/hyperlink" Target="https://pubs.rsc.org/en/content/articlelanding/2016/gc/c5gc02148k" TargetMode="External"/><Relationship Id="rId16" Type="http://schemas.openxmlformats.org/officeDocument/2006/relationships/hyperlink" Target="https://onlinelibrary.wiley.com/doi/full/10.1002/bbb.1790" TargetMode="External"/><Relationship Id="rId221" Type="http://schemas.openxmlformats.org/officeDocument/2006/relationships/hyperlink" Target="https://www.sciencedirect.com/science/article/pii/S0959652613006331?via%3Dihub" TargetMode="External"/><Relationship Id="rId242" Type="http://schemas.openxmlformats.org/officeDocument/2006/relationships/hyperlink" Target="https://pubs.acs.org/doi/full/10.1021/acs.est.5b05589" TargetMode="External"/><Relationship Id="rId37" Type="http://schemas.openxmlformats.org/officeDocument/2006/relationships/hyperlink" Target="https://onlinelibrary.wiley.com/doi/full/10.1002/bbb.1427" TargetMode="External"/><Relationship Id="rId58" Type="http://schemas.openxmlformats.org/officeDocument/2006/relationships/hyperlink" Target="https://pubs.acs.org/doi/abs/10.1021/acs.iecr.7b03731" TargetMode="External"/><Relationship Id="rId79" Type="http://schemas.openxmlformats.org/officeDocument/2006/relationships/hyperlink" Target="https://onlinelibrary.wiley.com/doi/full/10.1111/gcbb.12652" TargetMode="External"/><Relationship Id="rId102" Type="http://schemas.openxmlformats.org/officeDocument/2006/relationships/hyperlink" Target="https://www.sciencedirect.com/science/article/pii/S0959652617332377" TargetMode="External"/><Relationship Id="rId123" Type="http://schemas.openxmlformats.org/officeDocument/2006/relationships/hyperlink" Target="https://pubs.acs.org/doi/10.1021/acsomega.9b02025" TargetMode="External"/><Relationship Id="rId144" Type="http://schemas.openxmlformats.org/officeDocument/2006/relationships/hyperlink" Target="https://www.researchgate.net/profile/Bruce_Dale/publication/233629770_Life_Cycle_Assessment_of_Kenaf_Fiber_Reinforced_Biocomposite/links/54c162840cf2d03405c54a9f.pdf" TargetMode="External"/><Relationship Id="rId90" Type="http://schemas.openxmlformats.org/officeDocument/2006/relationships/hyperlink" Target="https://www.sciencedirect.com/science/article/pii/S0959652618306930" TargetMode="External"/><Relationship Id="rId165" Type="http://schemas.openxmlformats.org/officeDocument/2006/relationships/hyperlink" Target="https://pubs.rsc.org/en/content/articlehtml/2019/gc/c9gc00607a" TargetMode="External"/><Relationship Id="rId186" Type="http://schemas.openxmlformats.org/officeDocument/2006/relationships/hyperlink" Target="https://pubs.rsc.org/en/content/articlelanding/2016/GC/C5GC02065D" TargetMode="External"/><Relationship Id="rId211" Type="http://schemas.openxmlformats.org/officeDocument/2006/relationships/hyperlink" Target="https://pubs.rsc.org/en/content/articlelanding/2015/ee/c4ee03352c" TargetMode="External"/><Relationship Id="rId232" Type="http://schemas.openxmlformats.org/officeDocument/2006/relationships/hyperlink" Target="https://www.sciencedirect.com/science/article/pii/S0959652616304449" TargetMode="External"/><Relationship Id="rId253" Type="http://schemas.openxmlformats.org/officeDocument/2006/relationships/hyperlink" Target="https://www.sciencedirect.com/science/article/pii/S0961953415301860?via%3Dihub" TargetMode="External"/><Relationship Id="rId27" Type="http://schemas.openxmlformats.org/officeDocument/2006/relationships/hyperlink" Target="https://www.sciencedirect.com/science/article/pii/S0960852413014806?via%3Dihub" TargetMode="External"/><Relationship Id="rId48" Type="http://schemas.openxmlformats.org/officeDocument/2006/relationships/hyperlink" Target="https://pubs.acs.org/doi/abs/10.1021/acssuschemeng.7b01729" TargetMode="External"/><Relationship Id="rId69" Type="http://schemas.openxmlformats.org/officeDocument/2006/relationships/hyperlink" Target="https://onlinelibrary.wiley.com/doi/full/10.1002/bbb.1986" TargetMode="External"/><Relationship Id="rId113" Type="http://schemas.openxmlformats.org/officeDocument/2006/relationships/hyperlink" Target="https://www.sciencedirect.com/science/article/pii/S0959652617319121" TargetMode="External"/><Relationship Id="rId134" Type="http://schemas.openxmlformats.org/officeDocument/2006/relationships/hyperlink" Target="https://www.sciencedirect.com/science/article/pii/S0168165607001514?casa_token=-FIFBwzE89cAAAAA:ZkSVSpNUNJZk-UXte-4fLEp6EXueAL47MtwC_UifQ56X85ghpxASyZi6uTCsCPtcbrsXCjYujYg" TargetMode="External"/><Relationship Id="rId80" Type="http://schemas.openxmlformats.org/officeDocument/2006/relationships/hyperlink" Target="https://onlinelibrary.wiley.com/doi/full/10.1111/gcbb.12652" TargetMode="External"/><Relationship Id="rId155" Type="http://schemas.openxmlformats.org/officeDocument/2006/relationships/hyperlink" Target="https://www.sciencedirect.com/science/article/pii/S0266353815300725" TargetMode="External"/><Relationship Id="rId176" Type="http://schemas.openxmlformats.org/officeDocument/2006/relationships/hyperlink" Target="https://pubs.rsc.org/en/content/articlelanding/2015/GC/C5GC01549A" TargetMode="External"/><Relationship Id="rId197" Type="http://schemas.openxmlformats.org/officeDocument/2006/relationships/hyperlink" Target="https://pubs.rsc.org/en/content/articlelanding/2016/gc/c5gc02148k" TargetMode="External"/><Relationship Id="rId201" Type="http://schemas.openxmlformats.org/officeDocument/2006/relationships/hyperlink" Target="https://pubs.rsc.org/en/content/articlelanding/2016/gc/c5gc02148k" TargetMode="External"/><Relationship Id="rId222" Type="http://schemas.openxmlformats.org/officeDocument/2006/relationships/hyperlink" Target="https://www.sciencedirect.com/science/article/pii/S0959652613006331?via%3Dihub" TargetMode="External"/><Relationship Id="rId243" Type="http://schemas.openxmlformats.org/officeDocument/2006/relationships/hyperlink" Target="https://pubs.acs.org/doi/full/10.1021/acs.est.5b05589" TargetMode="External"/><Relationship Id="rId17" Type="http://schemas.openxmlformats.org/officeDocument/2006/relationships/hyperlink" Target="https://onlinelibrary.wiley.com/doi/full/10.1002/bbb.1790" TargetMode="External"/><Relationship Id="rId38" Type="http://schemas.openxmlformats.org/officeDocument/2006/relationships/hyperlink" Target="https://www.sciencedirect.com/science/article/pii/S0921344914002870" TargetMode="External"/><Relationship Id="rId59" Type="http://schemas.openxmlformats.org/officeDocument/2006/relationships/hyperlink" Target="https://www.sciencedirect.com/science/article/pii/S0959652618325046" TargetMode="External"/><Relationship Id="rId103" Type="http://schemas.openxmlformats.org/officeDocument/2006/relationships/hyperlink" Target="https://www.sciencedirect.com/science/article/pii/S0959652617332377" TargetMode="External"/><Relationship Id="rId124" Type="http://schemas.openxmlformats.org/officeDocument/2006/relationships/hyperlink" Target="https://pubs.acs.org/doi/abs/10.1021/acssuschemeng.9b04930" TargetMode="External"/><Relationship Id="rId70" Type="http://schemas.openxmlformats.org/officeDocument/2006/relationships/hyperlink" Target="https://onlinelibrary.wiley.com/doi/full/10.1002/bbb.1986" TargetMode="External"/><Relationship Id="rId91" Type="http://schemas.openxmlformats.org/officeDocument/2006/relationships/hyperlink" Target="https://www.sciencedirect.com/science/article/pii/S0959652618306930" TargetMode="External"/><Relationship Id="rId145" Type="http://schemas.openxmlformats.org/officeDocument/2006/relationships/hyperlink" Target="https://www.sciencedirect.com/science/article/pii/S0959652612002569" TargetMode="External"/><Relationship Id="rId166" Type="http://schemas.openxmlformats.org/officeDocument/2006/relationships/hyperlink" Target="https://pubs.acs.org/doi/10.1021/ie5037287" TargetMode="External"/><Relationship Id="rId187" Type="http://schemas.openxmlformats.org/officeDocument/2006/relationships/hyperlink" Target="https://www.mdpi.com/1996-1944/9/7/563/htm" TargetMode="External"/><Relationship Id="rId1" Type="http://schemas.openxmlformats.org/officeDocument/2006/relationships/customXml" Target="../customXml/item1.xml"/><Relationship Id="rId212" Type="http://schemas.openxmlformats.org/officeDocument/2006/relationships/hyperlink" Target="https://pubs.rsc.org/en/content/articlelanding/2015/ee/c4ee03352c" TargetMode="External"/><Relationship Id="rId233" Type="http://schemas.openxmlformats.org/officeDocument/2006/relationships/hyperlink" Target="https://www.sciencedirect.com/science/article/pii/S0959652616309908?via%3Dihub" TargetMode="External"/><Relationship Id="rId254" Type="http://schemas.openxmlformats.org/officeDocument/2006/relationships/fontTable" Target="fontTable.xml"/><Relationship Id="rId28" Type="http://schemas.openxmlformats.org/officeDocument/2006/relationships/hyperlink" Target="https://www.sciencedirect.com/science/article/pii/S0960852413014806?via%3Dihub" TargetMode="External"/><Relationship Id="rId49" Type="http://schemas.openxmlformats.org/officeDocument/2006/relationships/hyperlink" Target="https://onlinelibrary.wiley.com/doi/full/10.1002/bbb.1801" TargetMode="External"/><Relationship Id="rId114" Type="http://schemas.openxmlformats.org/officeDocument/2006/relationships/hyperlink" Target="https://www.sciencedirect.com/science/article/pii/S0959652617319121" TargetMode="External"/><Relationship Id="rId60" Type="http://schemas.openxmlformats.org/officeDocument/2006/relationships/hyperlink" Target="https://www.sciencedirect.com/science/article/pii/S0959652618325046" TargetMode="External"/><Relationship Id="rId81" Type="http://schemas.openxmlformats.org/officeDocument/2006/relationships/hyperlink" Target="https://link.springer.com/article/10.1007/s11367-020-01733-9" TargetMode="External"/><Relationship Id="rId135" Type="http://schemas.openxmlformats.org/officeDocument/2006/relationships/hyperlink" Target="https://onlinelibrary.wiley.com/doi/pdf/10.1002/bbb.2052" TargetMode="External"/><Relationship Id="rId156" Type="http://schemas.openxmlformats.org/officeDocument/2006/relationships/hyperlink" Target="https://www.sciencedirect.com/science/article/pii/S0266353815300725" TargetMode="External"/><Relationship Id="rId177" Type="http://schemas.openxmlformats.org/officeDocument/2006/relationships/hyperlink" Target="https://pubs.rsc.org/en/content/articlelanding/2015/GC/C5GC01549A" TargetMode="External"/><Relationship Id="rId198" Type="http://schemas.openxmlformats.org/officeDocument/2006/relationships/hyperlink" Target="https://pubs.rsc.org/en/content/articlelanding/2016/gc/c5gc02148k" TargetMode="External"/><Relationship Id="rId202" Type="http://schemas.openxmlformats.org/officeDocument/2006/relationships/hyperlink" Target="https://pubs.rsc.org/en/content/articlelanding/2016/gc/c5gc02148k" TargetMode="External"/><Relationship Id="rId223" Type="http://schemas.openxmlformats.org/officeDocument/2006/relationships/hyperlink" Target="https://aip.scitation.org/doi/10.1063/1.4901870" TargetMode="External"/><Relationship Id="rId244" Type="http://schemas.openxmlformats.org/officeDocument/2006/relationships/hyperlink" Target="https://pubs.acs.org/doi/full/10.1021/acs.est.5b05589" TargetMode="External"/><Relationship Id="rId18" Type="http://schemas.openxmlformats.org/officeDocument/2006/relationships/hyperlink" Target="https://onlinelibrary.wiley.com/doi/full/10.1002/bbb.1790" TargetMode="External"/><Relationship Id="rId39" Type="http://schemas.openxmlformats.org/officeDocument/2006/relationships/hyperlink" Target="https://www.sciencedirect.com/science/article/pii/S0921344914002870" TargetMode="External"/><Relationship Id="rId50" Type="http://schemas.openxmlformats.org/officeDocument/2006/relationships/hyperlink" Target="https://onlinelibrary.wiley.com/doi/full/10.1002/bbb.1801" TargetMode="External"/><Relationship Id="rId104" Type="http://schemas.openxmlformats.org/officeDocument/2006/relationships/hyperlink" Target="https://www.sciencedirect.com/science/article/pii/S0959652617332377" TargetMode="External"/><Relationship Id="rId125" Type="http://schemas.openxmlformats.org/officeDocument/2006/relationships/hyperlink" Target="https://pubs.acs.org/doi/abs/10.1021/acssuschemeng.9b04930" TargetMode="External"/><Relationship Id="rId146" Type="http://schemas.openxmlformats.org/officeDocument/2006/relationships/hyperlink" Target="https://www.sciencedirect.com/science/article/pii/S0959652612002569" TargetMode="External"/><Relationship Id="rId167" Type="http://schemas.openxmlformats.org/officeDocument/2006/relationships/hyperlink" Target="https://pubs.rsc.org/en/content/articlelanding/2015/GC/C5GC01549A" TargetMode="External"/><Relationship Id="rId188" Type="http://schemas.openxmlformats.org/officeDocument/2006/relationships/hyperlink" Target="https://pubs.acs.org/doi/abs/10.1021/acssuschemeng.5b00550" TargetMode="External"/><Relationship Id="rId71" Type="http://schemas.openxmlformats.org/officeDocument/2006/relationships/hyperlink" Target="https://www.sciencedirect.com/science/article/pii/S0960852420304508?casa_token=BjeD1jsx1pkAAAAA:BAL9oan6Xa7oFjT2uuKQl-ueA11Cc7QPwyWFpdYDWXN0mV_-9kRomwQmCMFCUd2tchpyxNAhGHs" TargetMode="External"/><Relationship Id="rId92" Type="http://schemas.openxmlformats.org/officeDocument/2006/relationships/hyperlink" Target="https://www.sciencedirect.com/science/article/pii/S0959652618306930" TargetMode="External"/><Relationship Id="rId213" Type="http://schemas.openxmlformats.org/officeDocument/2006/relationships/hyperlink" Target="https://pubs.acs.org/doi/10.1021/es7032235" TargetMode="External"/><Relationship Id="rId234" Type="http://schemas.openxmlformats.org/officeDocument/2006/relationships/hyperlink" Target="https://www.sciencedirect.com/science/article/pii/S0959652616309908?via%3Dihub" TargetMode="External"/><Relationship Id="rId2" Type="http://schemas.openxmlformats.org/officeDocument/2006/relationships/styles" Target="styles.xml"/><Relationship Id="rId29" Type="http://schemas.openxmlformats.org/officeDocument/2006/relationships/hyperlink" Target="https://www.sciencedirect.com/science/article/pii/S0960852413014806?via%3Dihub" TargetMode="External"/><Relationship Id="rId255" Type="http://schemas.openxmlformats.org/officeDocument/2006/relationships/theme" Target="theme/theme1.xml"/><Relationship Id="rId40" Type="http://schemas.openxmlformats.org/officeDocument/2006/relationships/hyperlink" Target="https://www.sciencedirect.com/science/article/pii/S0921344914002870" TargetMode="External"/><Relationship Id="rId115" Type="http://schemas.openxmlformats.org/officeDocument/2006/relationships/hyperlink" Target="https://link.springer.com/article/10.1007/s10924-017-1085-3" TargetMode="External"/><Relationship Id="rId136" Type="http://schemas.openxmlformats.org/officeDocument/2006/relationships/hyperlink" Target="https://onlinelibrary.wiley.com/doi/pdf/10.1002/bbb.2052" TargetMode="External"/><Relationship Id="rId157" Type="http://schemas.openxmlformats.org/officeDocument/2006/relationships/hyperlink" Target="https://link.springer.com/article/10.1007/s11367-008-0004-1" TargetMode="External"/><Relationship Id="rId178" Type="http://schemas.openxmlformats.org/officeDocument/2006/relationships/hyperlink" Target="https://link.springer.com/article/10.1007%2Fs11367-015-0855-1" TargetMode="External"/><Relationship Id="rId61" Type="http://schemas.openxmlformats.org/officeDocument/2006/relationships/hyperlink" Target="https://www.sciencedirect.com/science/article/pii/S0959652618325046" TargetMode="External"/><Relationship Id="rId82" Type="http://schemas.openxmlformats.org/officeDocument/2006/relationships/hyperlink" Target="https://www.mdpi.com/1996-1073/12/23/4502/htm" TargetMode="External"/><Relationship Id="rId199" Type="http://schemas.openxmlformats.org/officeDocument/2006/relationships/hyperlink" Target="https://pubs.rsc.org/en/content/articlelanding/2016/gc/c5gc02148k" TargetMode="External"/><Relationship Id="rId203" Type="http://schemas.openxmlformats.org/officeDocument/2006/relationships/hyperlink" Target="https://www.sciencedirect.com/science/article/pii/S0959652616313208" TargetMode="External"/><Relationship Id="rId19" Type="http://schemas.openxmlformats.org/officeDocument/2006/relationships/hyperlink" Target="https://onlinelibrary.wiley.com/doi/full/10.1002/bbb.1790" TargetMode="External"/><Relationship Id="rId224" Type="http://schemas.openxmlformats.org/officeDocument/2006/relationships/hyperlink" Target="https://www.sciencedirect.com/science/article/pii/S1871678413001295?via%3Dihub" TargetMode="External"/><Relationship Id="rId245" Type="http://schemas.openxmlformats.org/officeDocument/2006/relationships/hyperlink" Target="https://pubs.acs.org/doi/full/10.1021/acs.est.5b05589" TargetMode="External"/><Relationship Id="rId30" Type="http://schemas.openxmlformats.org/officeDocument/2006/relationships/hyperlink" Target="https://www.sciencedirect.com/science/article/pii/S0960852413014806?via%3Dihub" TargetMode="External"/><Relationship Id="rId105" Type="http://schemas.openxmlformats.org/officeDocument/2006/relationships/hyperlink" Target="https://link.springer.com/article/10.1007%2Fs11367-011-0263-0" TargetMode="External"/><Relationship Id="rId126" Type="http://schemas.openxmlformats.org/officeDocument/2006/relationships/hyperlink" Target="https://www.sciencedirect.com/science/article/pii/S0959652620314505" TargetMode="External"/><Relationship Id="rId147" Type="http://schemas.openxmlformats.org/officeDocument/2006/relationships/hyperlink" Target="https://pubs.acs.org/doi/pdf/10.1021/sc4000225" TargetMode="External"/><Relationship Id="rId168" Type="http://schemas.openxmlformats.org/officeDocument/2006/relationships/hyperlink" Target="https://pubs.rsc.org/en/content/articlelanding/2015/GC/C5GC01549A" TargetMode="External"/><Relationship Id="rId51" Type="http://schemas.openxmlformats.org/officeDocument/2006/relationships/hyperlink" Target="https://onlinelibrary.wiley.com/doi/full/10.1002/bbb.1801" TargetMode="External"/><Relationship Id="rId72" Type="http://schemas.openxmlformats.org/officeDocument/2006/relationships/hyperlink" Target="https://pubs.rsc.org/en/content/articlehtml/2020/gc/c9gc02992c" TargetMode="External"/><Relationship Id="rId93" Type="http://schemas.openxmlformats.org/officeDocument/2006/relationships/hyperlink" Target="https://www.sciencedirect.com/science/article/pii/S0048969720310974" TargetMode="External"/><Relationship Id="rId189" Type="http://schemas.openxmlformats.org/officeDocument/2006/relationships/hyperlink" Target="https://www.sciencedirect.com/science/article/abs/pii/S0960308516300256?via%3Dihub" TargetMode="External"/><Relationship Id="rId3" Type="http://schemas.openxmlformats.org/officeDocument/2006/relationships/settings" Target="settings.xml"/><Relationship Id="rId214" Type="http://schemas.openxmlformats.org/officeDocument/2006/relationships/hyperlink" Target="https://pubs.acs.org/doi/abs/10.1021/es8004199" TargetMode="External"/><Relationship Id="rId235" Type="http://schemas.openxmlformats.org/officeDocument/2006/relationships/hyperlink" Target="https://www.sciencedirect.com/science/article/pii/S0959652616309908?via%3Dihub" TargetMode="External"/><Relationship Id="rId116" Type="http://schemas.openxmlformats.org/officeDocument/2006/relationships/hyperlink" Target="https://www.sciencedirect.com/science/article/pii/S2352550918300824?via%3Dihub" TargetMode="External"/><Relationship Id="rId137" Type="http://schemas.openxmlformats.org/officeDocument/2006/relationships/hyperlink" Target="https://onlinelibrary.wiley.com/doi/pdf/10.1002/bbb.2052" TargetMode="External"/><Relationship Id="rId158" Type="http://schemas.openxmlformats.org/officeDocument/2006/relationships/hyperlink" Target="https://link.springer.com/article/10.1007/s11367-012-0503-y" TargetMode="External"/><Relationship Id="rId20" Type="http://schemas.openxmlformats.org/officeDocument/2006/relationships/hyperlink" Target="https://onlinelibrary.wiley.com/doi/full/10.1002/bbb.1790" TargetMode="External"/><Relationship Id="rId41" Type="http://schemas.openxmlformats.org/officeDocument/2006/relationships/hyperlink" Target="https://pubs.acs.org/doi/abs/10.1021/acssuschemeng.7b00286" TargetMode="External"/><Relationship Id="rId62" Type="http://schemas.openxmlformats.org/officeDocument/2006/relationships/hyperlink" Target="https://www.sciencedirect.com/science/article/pii/S0959652618322297" TargetMode="External"/><Relationship Id="rId83" Type="http://schemas.openxmlformats.org/officeDocument/2006/relationships/hyperlink" Target="https://www.sciencedirect.com/science/article/pii/S0048969720338791" TargetMode="External"/><Relationship Id="rId179" Type="http://schemas.openxmlformats.org/officeDocument/2006/relationships/hyperlink" Target="https://link.springer.com/article/10.1007%2Fs11367-015-0855-1" TargetMode="External"/><Relationship Id="rId190" Type="http://schemas.openxmlformats.org/officeDocument/2006/relationships/hyperlink" Target="https://www.sciencedirect.com/science/article/pii/S0959652616312525?via%3Dihub" TargetMode="External"/><Relationship Id="rId204" Type="http://schemas.openxmlformats.org/officeDocument/2006/relationships/hyperlink" Target="https://www.sciencedirect.com/science/article/pii/S0959652616313208" TargetMode="External"/><Relationship Id="rId225" Type="http://schemas.openxmlformats.org/officeDocument/2006/relationships/hyperlink" Target="https://www.sciencedirect.com/science/article/pii/S1871678413001295?via%3Dihub" TargetMode="External"/><Relationship Id="rId246" Type="http://schemas.openxmlformats.org/officeDocument/2006/relationships/hyperlink" Target="https://pubs.acs.org/doi/full/10.1021/acs.est.5b05589" TargetMode="External"/><Relationship Id="rId106" Type="http://schemas.openxmlformats.org/officeDocument/2006/relationships/hyperlink" Target="https://www.sciencedirect.com/science/article/pii/S0959652618312459" TargetMode="External"/><Relationship Id="rId127" Type="http://schemas.openxmlformats.org/officeDocument/2006/relationships/hyperlink" Target="https://www.sciencedirect.com/science/article/pii/S0959652620314505" TargetMode="External"/><Relationship Id="rId10" Type="http://schemas.openxmlformats.org/officeDocument/2006/relationships/image" Target="media/image4.png"/><Relationship Id="rId31" Type="http://schemas.openxmlformats.org/officeDocument/2006/relationships/hyperlink" Target="https://link.springer.com/article/10.1007/s11367-014-0745-y" TargetMode="External"/><Relationship Id="rId52" Type="http://schemas.openxmlformats.org/officeDocument/2006/relationships/hyperlink" Target="https://link.springer.com/article/10.1007/s10098-017-1401-6" TargetMode="External"/><Relationship Id="rId73" Type="http://schemas.openxmlformats.org/officeDocument/2006/relationships/hyperlink" Target="https://pubs.rsc.org/en/content/articlehtml/2020/gc/c9gc02992c" TargetMode="External"/><Relationship Id="rId94" Type="http://schemas.openxmlformats.org/officeDocument/2006/relationships/hyperlink" Target="https://www.sciencedirect.com/science/article/pii/S0048969720310974" TargetMode="External"/><Relationship Id="rId148" Type="http://schemas.openxmlformats.org/officeDocument/2006/relationships/hyperlink" Target="https://pubs.acs.org/doi/pdf/10.1021/sc4000225" TargetMode="External"/><Relationship Id="rId169" Type="http://schemas.openxmlformats.org/officeDocument/2006/relationships/hyperlink" Target="https://pubs.rsc.org/en/content/articlelanding/2015/GC/C5GC01549A" TargetMode="External"/><Relationship Id="rId4" Type="http://schemas.openxmlformats.org/officeDocument/2006/relationships/webSettings" Target="webSettings.xml"/><Relationship Id="rId180" Type="http://schemas.openxmlformats.org/officeDocument/2006/relationships/hyperlink" Target="https://link.springer.com/article/10.1007%2Fs11367-015-0855-1" TargetMode="External"/><Relationship Id="rId215" Type="http://schemas.openxmlformats.org/officeDocument/2006/relationships/hyperlink" Target="https://www.sciencedirect.com/science/article/pii/S0921344912000092?via%3Dihub" TargetMode="External"/><Relationship Id="rId236" Type="http://schemas.openxmlformats.org/officeDocument/2006/relationships/hyperlink" Target="https://www.sciencedirect.com/science/article/pii/S0959652616309908?via%3Di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38</Pages>
  <Words>62682</Words>
  <Characters>357292</Characters>
  <Application>Microsoft Office Word</Application>
  <DocSecurity>0</DocSecurity>
  <Lines>2977</Lines>
  <Paragraphs>838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Emma</cp:lastModifiedBy>
  <cp:revision>19</cp:revision>
  <dcterms:created xsi:type="dcterms:W3CDTF">2022-02-18T12:26:00Z</dcterms:created>
  <dcterms:modified xsi:type="dcterms:W3CDTF">2022-07-01T14:04:00Z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http://www.zotero.org/styles/journal-of-cleaner-production</vt:lpwstr>
  </property>
  <property fmtid="{D5CDD505-2E9C-101B-9397-08002B2CF9AE}" pid="13" name="Mendeley Recent Style Name 5_1">
    <vt:lpwstr>Journal of Cleaner Production</vt:lpwstr>
  </property>
  <property fmtid="{D5CDD505-2E9C-101B-9397-08002B2CF9AE}" pid="14" name="Mendeley Recent Style Id 6_1">
    <vt:lpwstr>http://www.zotero.org/styles/journal-of-industrial-ecology</vt:lpwstr>
  </property>
  <property fmtid="{D5CDD505-2E9C-101B-9397-08002B2CF9AE}" pid="15" name="Mendeley Recent Style Name 6_1">
    <vt:lpwstr>Journal of Industrial Ecology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4d97f675-d1dd-3c84-adf0-1d36835629a5</vt:lpwstr>
  </property>
  <property fmtid="{D5CDD505-2E9C-101B-9397-08002B2CF9AE}" pid="24" name="Mendeley Citation Style_1">
    <vt:lpwstr>http://www.zotero.org/styles/nature</vt:lpwstr>
  </property>
  <property fmtid="{D5CDD505-2E9C-101B-9397-08002B2CF9AE}" pid="25" name="KSOProductBuildVer">
    <vt:lpwstr>1033-11.1.0.10161</vt:lpwstr>
  </property>
</Properties>
</file>