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D9CF8" w14:textId="77777777" w:rsidR="00FB270A" w:rsidRPr="0003124D" w:rsidRDefault="00FB270A" w:rsidP="00FB270A">
      <w:pPr>
        <w:pStyle w:val="Heading1"/>
        <w:numPr>
          <w:ilvl w:val="0"/>
          <w:numId w:val="5"/>
        </w:numPr>
      </w:pPr>
      <w:bookmarkStart w:id="0" w:name="_Toc103043106"/>
      <w:bookmarkStart w:id="1" w:name="_Toc103149105"/>
      <w:bookmarkStart w:id="2" w:name="_Toc105024216"/>
      <w:r w:rsidRPr="0003124D">
        <w:t>Appendi</w:t>
      </w:r>
      <w:bookmarkEnd w:id="0"/>
      <w:r w:rsidRPr="0003124D">
        <w:t>ces</w:t>
      </w:r>
      <w:bookmarkEnd w:id="1"/>
      <w:bookmarkEnd w:id="2"/>
    </w:p>
    <w:p w14:paraId="251BAFC9" w14:textId="77777777" w:rsidR="00FB270A" w:rsidRPr="0003124D" w:rsidRDefault="00FB270A" w:rsidP="00FB270A">
      <w:pPr>
        <w:rPr>
          <w:rFonts w:cs="Times New Roman"/>
          <w:color w:val="000000" w:themeColor="text1"/>
          <w:lang w:eastAsia="en-AU"/>
        </w:rPr>
      </w:pPr>
      <w:r w:rsidRPr="0003124D">
        <w:rPr>
          <w:rStyle w:val="fontstyle01"/>
          <w:rFonts w:ascii="Times New Roman" w:hAnsi="Times New Roman" w:cs="Times New Roman"/>
          <w:color w:val="000000" w:themeColor="text1"/>
        </w:rPr>
        <w:t>Appendix</w:t>
      </w:r>
      <w:r w:rsidRPr="0003124D">
        <w:rPr>
          <w:rFonts w:cs="Times New Roman"/>
          <w:color w:val="000000" w:themeColor="text1"/>
        </w:rPr>
        <w:t xml:space="preserve"> </w:t>
      </w:r>
      <w:r w:rsidRPr="0003124D">
        <w:rPr>
          <w:rStyle w:val="fontstyle01"/>
          <w:rFonts w:ascii="Times New Roman" w:hAnsi="Times New Roman" w:cs="Times New Roman"/>
          <w:color w:val="000000" w:themeColor="text1"/>
        </w:rPr>
        <w:t>1</w:t>
      </w:r>
      <w:r>
        <w:rPr>
          <w:rStyle w:val="fontstyle01"/>
          <w:rFonts w:ascii="Times New Roman" w:hAnsi="Times New Roman" w:cs="Times New Roman"/>
          <w:b w:val="0"/>
          <w:bCs w:val="0"/>
          <w:color w:val="000000" w:themeColor="text1"/>
        </w:rPr>
        <w:t xml:space="preserve"> </w:t>
      </w:r>
      <w:r w:rsidRPr="00710648">
        <w:rPr>
          <w:rFonts w:cs="Times New Roman"/>
          <w:b/>
          <w:bCs/>
          <w:color w:val="000000" w:themeColor="text1"/>
          <w:lang w:eastAsia="en-AU"/>
        </w:rPr>
        <w:t>PRISMA 2020 Checklist</w:t>
      </w:r>
    </w:p>
    <w:tbl>
      <w:tblPr>
        <w:tblpPr w:leftFromText="180" w:rightFromText="180" w:vertAnchor="text" w:tblpY="1"/>
        <w:tblOverlap w:val="never"/>
        <w:tblW w:w="14169" w:type="dxa"/>
        <w:tblBorders>
          <w:top w:val="nil"/>
          <w:left w:val="nil"/>
          <w:bottom w:val="nil"/>
          <w:right w:val="nil"/>
        </w:tblBorders>
        <w:tblLook w:val="0000" w:firstRow="0" w:lastRow="0" w:firstColumn="0" w:lastColumn="0" w:noHBand="0" w:noVBand="0"/>
      </w:tblPr>
      <w:tblGrid>
        <w:gridCol w:w="1657"/>
        <w:gridCol w:w="696"/>
        <w:gridCol w:w="10467"/>
        <w:gridCol w:w="1349"/>
      </w:tblGrid>
      <w:tr w:rsidR="00FB270A" w:rsidRPr="0003124D" w14:paraId="3FDC9332" w14:textId="77777777" w:rsidTr="00E20111">
        <w:trPr>
          <w:trHeight w:val="65"/>
          <w:tblHeader/>
        </w:trPr>
        <w:tc>
          <w:tcPr>
            <w:tcW w:w="166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23375C2" w14:textId="77777777" w:rsidR="00FB270A" w:rsidRPr="0003124D" w:rsidRDefault="00FB270A" w:rsidP="00E20111">
            <w:pPr>
              <w:pStyle w:val="Default"/>
              <w:contextualSpacing/>
              <w:rPr>
                <w:rFonts w:ascii="Times New Roman" w:hAnsi="Times New Roman" w:cs="Times New Roman"/>
                <w:color w:val="000000" w:themeColor="text1"/>
              </w:rPr>
            </w:pPr>
            <w:bookmarkStart w:id="3" w:name="_Hlk104755608"/>
            <w:r w:rsidRPr="0003124D">
              <w:rPr>
                <w:rFonts w:ascii="Times New Roman" w:hAnsi="Times New Roman" w:cs="Times New Roman"/>
                <w:b/>
                <w:bCs/>
                <w:color w:val="000000" w:themeColor="text1"/>
              </w:rPr>
              <w:t xml:space="preserve">Section and Topic </w:t>
            </w:r>
          </w:p>
        </w:tc>
        <w:tc>
          <w:tcPr>
            <w:tcW w:w="69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B394EBE" w14:textId="77777777" w:rsidR="00FB270A" w:rsidRPr="0003124D" w:rsidRDefault="00FB270A" w:rsidP="00E20111">
            <w:pPr>
              <w:pStyle w:val="Default"/>
              <w:contextualSpacing/>
              <w:rPr>
                <w:rFonts w:ascii="Times New Roman" w:hAnsi="Times New Roman" w:cs="Times New Roman"/>
                <w:b/>
                <w:bCs/>
                <w:color w:val="000000" w:themeColor="text1"/>
              </w:rPr>
            </w:pPr>
            <w:r w:rsidRPr="0003124D">
              <w:rPr>
                <w:rFonts w:ascii="Times New Roman" w:hAnsi="Times New Roman" w:cs="Times New Roman"/>
                <w:b/>
                <w:bCs/>
                <w:color w:val="000000" w:themeColor="text1"/>
              </w:rPr>
              <w:t>Item #</w:t>
            </w:r>
          </w:p>
        </w:tc>
        <w:tc>
          <w:tcPr>
            <w:tcW w:w="1155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08EC2DC"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b/>
                <w:bCs/>
                <w:color w:val="000000" w:themeColor="text1"/>
              </w:rPr>
              <w:t xml:space="preserve">Checklist item </w:t>
            </w:r>
          </w:p>
        </w:tc>
        <w:tc>
          <w:tcPr>
            <w:tcW w:w="252"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FD66B3B"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b/>
                <w:bCs/>
                <w:color w:val="000000" w:themeColor="text1"/>
              </w:rPr>
              <w:t xml:space="preserve">Location where item is reported </w:t>
            </w:r>
          </w:p>
        </w:tc>
      </w:tr>
      <w:tr w:rsidR="00FB270A" w:rsidRPr="0003124D" w14:paraId="1884F4E1" w14:textId="77777777" w:rsidTr="00E20111">
        <w:trPr>
          <w:trHeight w:val="24"/>
        </w:trPr>
        <w:tc>
          <w:tcPr>
            <w:tcW w:w="1391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C07BA10"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b/>
                <w:bCs/>
                <w:color w:val="000000" w:themeColor="text1"/>
              </w:rPr>
              <w:t xml:space="preserve">TITLE </w:t>
            </w:r>
          </w:p>
        </w:tc>
        <w:tc>
          <w:tcPr>
            <w:tcW w:w="252" w:type="dxa"/>
            <w:tcBorders>
              <w:top w:val="double" w:sz="5" w:space="0" w:color="000000"/>
              <w:left w:val="single" w:sz="5" w:space="0" w:color="000000"/>
              <w:bottom w:val="single" w:sz="5" w:space="0" w:color="000000"/>
              <w:right w:val="single" w:sz="5" w:space="0" w:color="000000"/>
            </w:tcBorders>
            <w:shd w:val="clear" w:color="auto" w:fill="FFFFCC"/>
          </w:tcPr>
          <w:p w14:paraId="1F79A393" w14:textId="77777777" w:rsidR="00FB270A" w:rsidRPr="0003124D" w:rsidRDefault="00FB270A" w:rsidP="00E20111">
            <w:pPr>
              <w:pStyle w:val="Default"/>
              <w:contextualSpacing/>
              <w:jc w:val="right"/>
              <w:rPr>
                <w:rFonts w:ascii="Times New Roman" w:hAnsi="Times New Roman" w:cs="Times New Roman"/>
                <w:color w:val="000000" w:themeColor="text1"/>
              </w:rPr>
            </w:pPr>
          </w:p>
        </w:tc>
      </w:tr>
      <w:tr w:rsidR="00FB270A" w:rsidRPr="0003124D" w14:paraId="09F99291" w14:textId="77777777" w:rsidTr="00E20111">
        <w:trPr>
          <w:trHeight w:val="48"/>
        </w:trPr>
        <w:tc>
          <w:tcPr>
            <w:tcW w:w="1666" w:type="dxa"/>
            <w:tcBorders>
              <w:top w:val="single" w:sz="5" w:space="0" w:color="000000"/>
              <w:left w:val="single" w:sz="5" w:space="0" w:color="000000"/>
              <w:bottom w:val="double" w:sz="2" w:space="0" w:color="FFFFCC"/>
              <w:right w:val="single" w:sz="5" w:space="0" w:color="000000"/>
            </w:tcBorders>
          </w:tcPr>
          <w:p w14:paraId="3FB3113D"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Title </w:t>
            </w:r>
          </w:p>
        </w:tc>
        <w:tc>
          <w:tcPr>
            <w:tcW w:w="696" w:type="dxa"/>
            <w:tcBorders>
              <w:top w:val="single" w:sz="5" w:space="0" w:color="000000"/>
              <w:left w:val="single" w:sz="5" w:space="0" w:color="000000"/>
              <w:bottom w:val="double" w:sz="2" w:space="0" w:color="FFFFCC"/>
              <w:right w:val="single" w:sz="5" w:space="0" w:color="000000"/>
            </w:tcBorders>
          </w:tcPr>
          <w:p w14:paraId="53A91F29"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w:t>
            </w:r>
          </w:p>
        </w:tc>
        <w:tc>
          <w:tcPr>
            <w:tcW w:w="11555" w:type="dxa"/>
            <w:tcBorders>
              <w:top w:val="single" w:sz="5" w:space="0" w:color="000000"/>
              <w:left w:val="single" w:sz="5" w:space="0" w:color="000000"/>
              <w:bottom w:val="double" w:sz="5" w:space="0" w:color="000000"/>
              <w:right w:val="single" w:sz="5" w:space="0" w:color="000000"/>
            </w:tcBorders>
          </w:tcPr>
          <w:p w14:paraId="1A1D451C"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Identify the report as a systematic review.</w:t>
            </w:r>
          </w:p>
        </w:tc>
        <w:tc>
          <w:tcPr>
            <w:tcW w:w="252" w:type="dxa"/>
            <w:tcBorders>
              <w:top w:val="single" w:sz="5" w:space="0" w:color="000000"/>
              <w:left w:val="single" w:sz="5" w:space="0" w:color="000000"/>
              <w:bottom w:val="double" w:sz="5" w:space="0" w:color="000000"/>
              <w:right w:val="single" w:sz="5" w:space="0" w:color="000000"/>
            </w:tcBorders>
          </w:tcPr>
          <w:p w14:paraId="6FF0F525"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i</w:t>
            </w:r>
          </w:p>
        </w:tc>
      </w:tr>
      <w:tr w:rsidR="00FB270A" w:rsidRPr="0003124D" w14:paraId="070676A0" w14:textId="77777777" w:rsidTr="00E20111">
        <w:trPr>
          <w:trHeight w:val="24"/>
        </w:trPr>
        <w:tc>
          <w:tcPr>
            <w:tcW w:w="1391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787D8C"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b/>
                <w:bCs/>
                <w:color w:val="000000" w:themeColor="text1"/>
              </w:rPr>
              <w:t xml:space="preserve">ABSTRACT </w:t>
            </w:r>
          </w:p>
        </w:tc>
        <w:tc>
          <w:tcPr>
            <w:tcW w:w="252" w:type="dxa"/>
            <w:tcBorders>
              <w:top w:val="double" w:sz="5" w:space="0" w:color="000000"/>
              <w:left w:val="single" w:sz="5" w:space="0" w:color="000000"/>
              <w:bottom w:val="single" w:sz="5" w:space="0" w:color="000000"/>
              <w:right w:val="single" w:sz="5" w:space="0" w:color="000000"/>
            </w:tcBorders>
            <w:shd w:val="clear" w:color="auto" w:fill="FFFFCC"/>
          </w:tcPr>
          <w:p w14:paraId="17753888"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iii</w:t>
            </w:r>
          </w:p>
        </w:tc>
      </w:tr>
      <w:tr w:rsidR="00FB270A" w:rsidRPr="0003124D" w14:paraId="3DCEB412" w14:textId="77777777" w:rsidTr="00E20111">
        <w:trPr>
          <w:trHeight w:val="48"/>
        </w:trPr>
        <w:tc>
          <w:tcPr>
            <w:tcW w:w="1666" w:type="dxa"/>
            <w:tcBorders>
              <w:top w:val="single" w:sz="5" w:space="0" w:color="000000"/>
              <w:left w:val="single" w:sz="5" w:space="0" w:color="000000"/>
              <w:bottom w:val="double" w:sz="2" w:space="0" w:color="FFFFCC"/>
              <w:right w:val="single" w:sz="5" w:space="0" w:color="000000"/>
            </w:tcBorders>
          </w:tcPr>
          <w:p w14:paraId="1E019AF7"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Abstract </w:t>
            </w:r>
          </w:p>
        </w:tc>
        <w:tc>
          <w:tcPr>
            <w:tcW w:w="696" w:type="dxa"/>
            <w:tcBorders>
              <w:top w:val="single" w:sz="5" w:space="0" w:color="000000"/>
              <w:left w:val="single" w:sz="5" w:space="0" w:color="000000"/>
              <w:bottom w:val="double" w:sz="2" w:space="0" w:color="FFFFCC"/>
              <w:right w:val="single" w:sz="5" w:space="0" w:color="000000"/>
            </w:tcBorders>
          </w:tcPr>
          <w:p w14:paraId="3EA2AA1B"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w:t>
            </w:r>
          </w:p>
        </w:tc>
        <w:tc>
          <w:tcPr>
            <w:tcW w:w="11555" w:type="dxa"/>
            <w:tcBorders>
              <w:top w:val="single" w:sz="5" w:space="0" w:color="000000"/>
              <w:left w:val="single" w:sz="5" w:space="0" w:color="000000"/>
              <w:bottom w:val="double" w:sz="5" w:space="0" w:color="000000"/>
              <w:right w:val="single" w:sz="5" w:space="0" w:color="000000"/>
            </w:tcBorders>
          </w:tcPr>
          <w:p w14:paraId="0164A661"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See the PRISMA 2020 for Abstracts checklist.</w:t>
            </w:r>
          </w:p>
        </w:tc>
        <w:tc>
          <w:tcPr>
            <w:tcW w:w="252" w:type="dxa"/>
            <w:tcBorders>
              <w:top w:val="single" w:sz="5" w:space="0" w:color="000000"/>
              <w:left w:val="single" w:sz="5" w:space="0" w:color="000000"/>
              <w:bottom w:val="double" w:sz="5" w:space="0" w:color="000000"/>
              <w:right w:val="single" w:sz="5" w:space="0" w:color="000000"/>
            </w:tcBorders>
          </w:tcPr>
          <w:p w14:paraId="0D4F7F2E"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iii</w:t>
            </w:r>
          </w:p>
        </w:tc>
      </w:tr>
      <w:tr w:rsidR="00FB270A" w:rsidRPr="0003124D" w14:paraId="7BEC8E6C" w14:textId="77777777" w:rsidTr="00E20111">
        <w:trPr>
          <w:trHeight w:val="24"/>
        </w:trPr>
        <w:tc>
          <w:tcPr>
            <w:tcW w:w="1391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DEE9E6"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b/>
                <w:bCs/>
                <w:color w:val="000000" w:themeColor="text1"/>
              </w:rPr>
              <w:t xml:space="preserve">INTRODUCTION </w:t>
            </w:r>
          </w:p>
        </w:tc>
        <w:tc>
          <w:tcPr>
            <w:tcW w:w="252" w:type="dxa"/>
            <w:tcBorders>
              <w:top w:val="double" w:sz="5" w:space="0" w:color="000000"/>
              <w:left w:val="single" w:sz="5" w:space="0" w:color="000000"/>
              <w:bottom w:val="single" w:sz="5" w:space="0" w:color="000000"/>
              <w:right w:val="single" w:sz="5" w:space="0" w:color="000000"/>
            </w:tcBorders>
            <w:shd w:val="clear" w:color="auto" w:fill="FFFFCC"/>
          </w:tcPr>
          <w:p w14:paraId="2BBFE623"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w:t>
            </w:r>
          </w:p>
        </w:tc>
      </w:tr>
      <w:tr w:rsidR="00FB270A" w:rsidRPr="0003124D" w14:paraId="13A646AB"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3D20D0E7"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Rationale </w:t>
            </w:r>
          </w:p>
        </w:tc>
        <w:tc>
          <w:tcPr>
            <w:tcW w:w="696" w:type="dxa"/>
            <w:tcBorders>
              <w:top w:val="single" w:sz="5" w:space="0" w:color="000000"/>
              <w:left w:val="single" w:sz="5" w:space="0" w:color="000000"/>
              <w:bottom w:val="single" w:sz="5" w:space="0" w:color="000000"/>
              <w:right w:val="single" w:sz="5" w:space="0" w:color="000000"/>
            </w:tcBorders>
          </w:tcPr>
          <w:p w14:paraId="2EFAF793"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3</w:t>
            </w:r>
          </w:p>
        </w:tc>
        <w:tc>
          <w:tcPr>
            <w:tcW w:w="11555" w:type="dxa"/>
            <w:tcBorders>
              <w:top w:val="single" w:sz="5" w:space="0" w:color="000000"/>
              <w:left w:val="single" w:sz="5" w:space="0" w:color="000000"/>
              <w:bottom w:val="single" w:sz="5" w:space="0" w:color="000000"/>
              <w:right w:val="single" w:sz="5" w:space="0" w:color="000000"/>
            </w:tcBorders>
          </w:tcPr>
          <w:p w14:paraId="6CF88B15"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Describe the rationale for the review in the context of existing knowledge.</w:t>
            </w:r>
          </w:p>
        </w:tc>
        <w:tc>
          <w:tcPr>
            <w:tcW w:w="252" w:type="dxa"/>
            <w:tcBorders>
              <w:top w:val="single" w:sz="5" w:space="0" w:color="000000"/>
              <w:left w:val="single" w:sz="5" w:space="0" w:color="000000"/>
              <w:bottom w:val="single" w:sz="5" w:space="0" w:color="000000"/>
              <w:right w:val="single" w:sz="5" w:space="0" w:color="000000"/>
            </w:tcBorders>
          </w:tcPr>
          <w:p w14:paraId="15FC85D0"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1</w:t>
            </w:r>
          </w:p>
        </w:tc>
      </w:tr>
      <w:tr w:rsidR="00FB270A" w:rsidRPr="0003124D" w14:paraId="21331DE7" w14:textId="77777777" w:rsidTr="00E20111">
        <w:trPr>
          <w:trHeight w:val="48"/>
        </w:trPr>
        <w:tc>
          <w:tcPr>
            <w:tcW w:w="1666" w:type="dxa"/>
            <w:tcBorders>
              <w:top w:val="single" w:sz="5" w:space="0" w:color="000000"/>
              <w:left w:val="single" w:sz="5" w:space="0" w:color="000000"/>
              <w:bottom w:val="double" w:sz="2" w:space="0" w:color="FFFFCC"/>
              <w:right w:val="single" w:sz="5" w:space="0" w:color="000000"/>
            </w:tcBorders>
          </w:tcPr>
          <w:p w14:paraId="6CF1DA3F"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Objectives </w:t>
            </w:r>
          </w:p>
        </w:tc>
        <w:tc>
          <w:tcPr>
            <w:tcW w:w="696" w:type="dxa"/>
            <w:tcBorders>
              <w:top w:val="single" w:sz="5" w:space="0" w:color="000000"/>
              <w:left w:val="single" w:sz="5" w:space="0" w:color="000000"/>
              <w:bottom w:val="double" w:sz="2" w:space="0" w:color="FFFFCC"/>
              <w:right w:val="single" w:sz="5" w:space="0" w:color="000000"/>
            </w:tcBorders>
          </w:tcPr>
          <w:p w14:paraId="154E91B5"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4</w:t>
            </w:r>
          </w:p>
        </w:tc>
        <w:tc>
          <w:tcPr>
            <w:tcW w:w="11555" w:type="dxa"/>
            <w:tcBorders>
              <w:top w:val="single" w:sz="5" w:space="0" w:color="000000"/>
              <w:left w:val="single" w:sz="5" w:space="0" w:color="000000"/>
              <w:bottom w:val="double" w:sz="5" w:space="0" w:color="000000"/>
              <w:right w:val="single" w:sz="5" w:space="0" w:color="000000"/>
            </w:tcBorders>
          </w:tcPr>
          <w:p w14:paraId="0238991C"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Provide an explicit statement of the objective(s) or question(s) the review addresses.</w:t>
            </w:r>
          </w:p>
        </w:tc>
        <w:tc>
          <w:tcPr>
            <w:tcW w:w="252" w:type="dxa"/>
            <w:tcBorders>
              <w:top w:val="single" w:sz="5" w:space="0" w:color="000000"/>
              <w:left w:val="single" w:sz="5" w:space="0" w:color="000000"/>
              <w:bottom w:val="double" w:sz="5" w:space="0" w:color="000000"/>
              <w:right w:val="single" w:sz="5" w:space="0" w:color="000000"/>
            </w:tcBorders>
          </w:tcPr>
          <w:p w14:paraId="50567E2B"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2</w:t>
            </w:r>
          </w:p>
        </w:tc>
      </w:tr>
      <w:tr w:rsidR="00FB270A" w:rsidRPr="0003124D" w14:paraId="2FFFC100" w14:textId="77777777" w:rsidTr="00E20111">
        <w:trPr>
          <w:trHeight w:val="24"/>
        </w:trPr>
        <w:tc>
          <w:tcPr>
            <w:tcW w:w="1391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10EEF13"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b/>
                <w:bCs/>
                <w:color w:val="000000" w:themeColor="text1"/>
              </w:rPr>
              <w:t xml:space="preserve">METHODS </w:t>
            </w:r>
          </w:p>
        </w:tc>
        <w:tc>
          <w:tcPr>
            <w:tcW w:w="252" w:type="dxa"/>
            <w:tcBorders>
              <w:top w:val="double" w:sz="5" w:space="0" w:color="000000"/>
              <w:left w:val="single" w:sz="5" w:space="0" w:color="000000"/>
              <w:bottom w:val="single" w:sz="5" w:space="0" w:color="000000"/>
              <w:right w:val="single" w:sz="5" w:space="0" w:color="000000"/>
            </w:tcBorders>
            <w:shd w:val="clear" w:color="auto" w:fill="FFFFCC"/>
          </w:tcPr>
          <w:p w14:paraId="74F682AB"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3</w:t>
            </w:r>
          </w:p>
        </w:tc>
      </w:tr>
      <w:tr w:rsidR="00FB270A" w:rsidRPr="0003124D" w14:paraId="1A4C550D"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019BDF9E"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Eligibility criteria </w:t>
            </w:r>
          </w:p>
        </w:tc>
        <w:tc>
          <w:tcPr>
            <w:tcW w:w="696" w:type="dxa"/>
            <w:tcBorders>
              <w:top w:val="single" w:sz="5" w:space="0" w:color="000000"/>
              <w:left w:val="single" w:sz="5" w:space="0" w:color="000000"/>
              <w:bottom w:val="single" w:sz="5" w:space="0" w:color="000000"/>
              <w:right w:val="single" w:sz="5" w:space="0" w:color="000000"/>
            </w:tcBorders>
          </w:tcPr>
          <w:p w14:paraId="53DE4FDE"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5</w:t>
            </w:r>
          </w:p>
        </w:tc>
        <w:tc>
          <w:tcPr>
            <w:tcW w:w="11555" w:type="dxa"/>
            <w:tcBorders>
              <w:top w:val="single" w:sz="5" w:space="0" w:color="000000"/>
              <w:left w:val="single" w:sz="5" w:space="0" w:color="000000"/>
              <w:bottom w:val="single" w:sz="5" w:space="0" w:color="000000"/>
              <w:right w:val="single" w:sz="5" w:space="0" w:color="000000"/>
            </w:tcBorders>
          </w:tcPr>
          <w:p w14:paraId="12AADC95"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Specify the inclusion and exclusion criteria for the review and how studies were grouped for the syntheses.</w:t>
            </w:r>
          </w:p>
        </w:tc>
        <w:tc>
          <w:tcPr>
            <w:tcW w:w="252" w:type="dxa"/>
            <w:tcBorders>
              <w:top w:val="single" w:sz="5" w:space="0" w:color="000000"/>
              <w:left w:val="single" w:sz="5" w:space="0" w:color="000000"/>
              <w:bottom w:val="single" w:sz="5" w:space="0" w:color="000000"/>
              <w:right w:val="single" w:sz="5" w:space="0" w:color="000000"/>
            </w:tcBorders>
          </w:tcPr>
          <w:p w14:paraId="3FDCF268"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3</w:t>
            </w:r>
          </w:p>
        </w:tc>
      </w:tr>
      <w:tr w:rsidR="00FB270A" w:rsidRPr="0003124D" w14:paraId="508FBFE9" w14:textId="77777777" w:rsidTr="00E20111">
        <w:trPr>
          <w:trHeight w:val="191"/>
        </w:trPr>
        <w:tc>
          <w:tcPr>
            <w:tcW w:w="1666" w:type="dxa"/>
            <w:tcBorders>
              <w:top w:val="single" w:sz="5" w:space="0" w:color="000000"/>
              <w:left w:val="single" w:sz="5" w:space="0" w:color="000000"/>
              <w:bottom w:val="single" w:sz="5" w:space="0" w:color="000000"/>
              <w:right w:val="single" w:sz="5" w:space="0" w:color="000000"/>
            </w:tcBorders>
          </w:tcPr>
          <w:p w14:paraId="7D67A252"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Information sources </w:t>
            </w:r>
          </w:p>
        </w:tc>
        <w:tc>
          <w:tcPr>
            <w:tcW w:w="696" w:type="dxa"/>
            <w:tcBorders>
              <w:top w:val="single" w:sz="5" w:space="0" w:color="000000"/>
              <w:left w:val="single" w:sz="5" w:space="0" w:color="000000"/>
              <w:bottom w:val="single" w:sz="5" w:space="0" w:color="000000"/>
              <w:right w:val="single" w:sz="5" w:space="0" w:color="000000"/>
            </w:tcBorders>
          </w:tcPr>
          <w:p w14:paraId="0BCB1263"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6</w:t>
            </w:r>
          </w:p>
        </w:tc>
        <w:tc>
          <w:tcPr>
            <w:tcW w:w="11555" w:type="dxa"/>
            <w:tcBorders>
              <w:top w:val="single" w:sz="5" w:space="0" w:color="000000"/>
              <w:left w:val="single" w:sz="5" w:space="0" w:color="000000"/>
              <w:bottom w:val="single" w:sz="5" w:space="0" w:color="000000"/>
              <w:right w:val="single" w:sz="5" w:space="0" w:color="000000"/>
            </w:tcBorders>
          </w:tcPr>
          <w:p w14:paraId="088D1757"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Specify all databases, registers, websites, organisations, reference lists and other sources searched or consulted to identify studies. Specify the date when each source was last searched or consulted.</w:t>
            </w:r>
          </w:p>
        </w:tc>
        <w:tc>
          <w:tcPr>
            <w:tcW w:w="252" w:type="dxa"/>
            <w:tcBorders>
              <w:top w:val="single" w:sz="5" w:space="0" w:color="000000"/>
              <w:left w:val="single" w:sz="5" w:space="0" w:color="000000"/>
              <w:bottom w:val="single" w:sz="5" w:space="0" w:color="000000"/>
              <w:right w:val="single" w:sz="5" w:space="0" w:color="000000"/>
            </w:tcBorders>
          </w:tcPr>
          <w:p w14:paraId="27C52100"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3</w:t>
            </w:r>
          </w:p>
        </w:tc>
      </w:tr>
      <w:tr w:rsidR="00FB270A" w:rsidRPr="0003124D" w14:paraId="2737847F"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35C22F5A"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Search strategy</w:t>
            </w:r>
          </w:p>
        </w:tc>
        <w:tc>
          <w:tcPr>
            <w:tcW w:w="696" w:type="dxa"/>
            <w:tcBorders>
              <w:top w:val="single" w:sz="5" w:space="0" w:color="000000"/>
              <w:left w:val="single" w:sz="5" w:space="0" w:color="000000"/>
              <w:bottom w:val="single" w:sz="5" w:space="0" w:color="000000"/>
              <w:right w:val="single" w:sz="5" w:space="0" w:color="000000"/>
            </w:tcBorders>
          </w:tcPr>
          <w:p w14:paraId="759F6423"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7</w:t>
            </w:r>
          </w:p>
        </w:tc>
        <w:tc>
          <w:tcPr>
            <w:tcW w:w="11555" w:type="dxa"/>
            <w:tcBorders>
              <w:top w:val="single" w:sz="5" w:space="0" w:color="000000"/>
              <w:left w:val="single" w:sz="5" w:space="0" w:color="000000"/>
              <w:bottom w:val="single" w:sz="5" w:space="0" w:color="000000"/>
              <w:right w:val="single" w:sz="5" w:space="0" w:color="000000"/>
            </w:tcBorders>
          </w:tcPr>
          <w:p w14:paraId="7ED187C0"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Present the full search strategies for all databases, registers and websites, including any filters and limits used.</w:t>
            </w:r>
          </w:p>
        </w:tc>
        <w:tc>
          <w:tcPr>
            <w:tcW w:w="252" w:type="dxa"/>
            <w:tcBorders>
              <w:top w:val="single" w:sz="5" w:space="0" w:color="000000"/>
              <w:left w:val="single" w:sz="5" w:space="0" w:color="000000"/>
              <w:bottom w:val="single" w:sz="5" w:space="0" w:color="000000"/>
              <w:right w:val="single" w:sz="5" w:space="0" w:color="000000"/>
            </w:tcBorders>
          </w:tcPr>
          <w:p w14:paraId="4751C676"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3</w:t>
            </w:r>
          </w:p>
        </w:tc>
      </w:tr>
      <w:tr w:rsidR="00FB270A" w:rsidRPr="0003124D" w14:paraId="1467DD5C"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17E2B7A2"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Selection process</w:t>
            </w:r>
          </w:p>
        </w:tc>
        <w:tc>
          <w:tcPr>
            <w:tcW w:w="696" w:type="dxa"/>
            <w:tcBorders>
              <w:top w:val="single" w:sz="5" w:space="0" w:color="000000"/>
              <w:left w:val="single" w:sz="5" w:space="0" w:color="000000"/>
              <w:bottom w:val="single" w:sz="5" w:space="0" w:color="000000"/>
              <w:right w:val="single" w:sz="5" w:space="0" w:color="000000"/>
            </w:tcBorders>
          </w:tcPr>
          <w:p w14:paraId="6FAB7DDE"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8</w:t>
            </w:r>
          </w:p>
        </w:tc>
        <w:tc>
          <w:tcPr>
            <w:tcW w:w="11555" w:type="dxa"/>
            <w:tcBorders>
              <w:top w:val="single" w:sz="5" w:space="0" w:color="000000"/>
              <w:left w:val="single" w:sz="5" w:space="0" w:color="000000"/>
              <w:bottom w:val="single" w:sz="5" w:space="0" w:color="000000"/>
              <w:right w:val="single" w:sz="5" w:space="0" w:color="000000"/>
            </w:tcBorders>
          </w:tcPr>
          <w:p w14:paraId="21089A72"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52" w:type="dxa"/>
            <w:tcBorders>
              <w:top w:val="single" w:sz="5" w:space="0" w:color="000000"/>
              <w:left w:val="single" w:sz="5" w:space="0" w:color="000000"/>
              <w:bottom w:val="single" w:sz="5" w:space="0" w:color="000000"/>
              <w:right w:val="single" w:sz="5" w:space="0" w:color="000000"/>
            </w:tcBorders>
          </w:tcPr>
          <w:p w14:paraId="6219D75C"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4</w:t>
            </w:r>
          </w:p>
        </w:tc>
      </w:tr>
      <w:tr w:rsidR="00FB270A" w:rsidRPr="0003124D" w14:paraId="2373A314" w14:textId="77777777" w:rsidTr="00E20111">
        <w:trPr>
          <w:trHeight w:val="152"/>
        </w:trPr>
        <w:tc>
          <w:tcPr>
            <w:tcW w:w="1666" w:type="dxa"/>
            <w:tcBorders>
              <w:top w:val="single" w:sz="5" w:space="0" w:color="000000"/>
              <w:left w:val="single" w:sz="5" w:space="0" w:color="000000"/>
              <w:bottom w:val="single" w:sz="5" w:space="0" w:color="000000"/>
              <w:right w:val="single" w:sz="5" w:space="0" w:color="000000"/>
            </w:tcBorders>
          </w:tcPr>
          <w:p w14:paraId="6FA3CC57"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Data collection process </w:t>
            </w:r>
          </w:p>
        </w:tc>
        <w:tc>
          <w:tcPr>
            <w:tcW w:w="696" w:type="dxa"/>
            <w:tcBorders>
              <w:top w:val="single" w:sz="5" w:space="0" w:color="000000"/>
              <w:left w:val="single" w:sz="5" w:space="0" w:color="000000"/>
              <w:bottom w:val="single" w:sz="5" w:space="0" w:color="000000"/>
              <w:right w:val="single" w:sz="5" w:space="0" w:color="000000"/>
            </w:tcBorders>
          </w:tcPr>
          <w:p w14:paraId="79E30F1A"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9</w:t>
            </w:r>
          </w:p>
        </w:tc>
        <w:tc>
          <w:tcPr>
            <w:tcW w:w="11555" w:type="dxa"/>
            <w:tcBorders>
              <w:top w:val="single" w:sz="5" w:space="0" w:color="000000"/>
              <w:left w:val="single" w:sz="5" w:space="0" w:color="000000"/>
              <w:bottom w:val="single" w:sz="5" w:space="0" w:color="000000"/>
              <w:right w:val="single" w:sz="5" w:space="0" w:color="000000"/>
            </w:tcBorders>
          </w:tcPr>
          <w:p w14:paraId="16C74F0F"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52" w:type="dxa"/>
            <w:tcBorders>
              <w:top w:val="single" w:sz="5" w:space="0" w:color="000000"/>
              <w:left w:val="single" w:sz="5" w:space="0" w:color="000000"/>
              <w:bottom w:val="single" w:sz="5" w:space="0" w:color="000000"/>
              <w:right w:val="single" w:sz="5" w:space="0" w:color="000000"/>
            </w:tcBorders>
          </w:tcPr>
          <w:p w14:paraId="7730BA9A"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4</w:t>
            </w:r>
          </w:p>
        </w:tc>
      </w:tr>
      <w:tr w:rsidR="00FB270A" w:rsidRPr="0003124D" w14:paraId="2625A5C3" w14:textId="77777777" w:rsidTr="00E20111">
        <w:trPr>
          <w:trHeight w:val="48"/>
        </w:trPr>
        <w:tc>
          <w:tcPr>
            <w:tcW w:w="1666" w:type="dxa"/>
            <w:vMerge w:val="restart"/>
            <w:tcBorders>
              <w:top w:val="single" w:sz="5" w:space="0" w:color="000000"/>
              <w:left w:val="single" w:sz="5" w:space="0" w:color="000000"/>
              <w:right w:val="single" w:sz="5" w:space="0" w:color="000000"/>
            </w:tcBorders>
          </w:tcPr>
          <w:p w14:paraId="2643F6EE"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Data items </w:t>
            </w:r>
          </w:p>
        </w:tc>
        <w:tc>
          <w:tcPr>
            <w:tcW w:w="696" w:type="dxa"/>
            <w:tcBorders>
              <w:top w:val="single" w:sz="5" w:space="0" w:color="000000"/>
              <w:left w:val="single" w:sz="5" w:space="0" w:color="000000"/>
              <w:bottom w:val="single" w:sz="5" w:space="0" w:color="000000"/>
              <w:right w:val="single" w:sz="5" w:space="0" w:color="000000"/>
            </w:tcBorders>
          </w:tcPr>
          <w:p w14:paraId="1864D8F0"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10a</w:t>
            </w:r>
          </w:p>
        </w:tc>
        <w:tc>
          <w:tcPr>
            <w:tcW w:w="11555" w:type="dxa"/>
            <w:tcBorders>
              <w:top w:val="single" w:sz="5" w:space="0" w:color="000000"/>
              <w:left w:val="single" w:sz="5" w:space="0" w:color="000000"/>
              <w:bottom w:val="single" w:sz="5" w:space="0" w:color="000000"/>
              <w:right w:val="single" w:sz="5" w:space="0" w:color="000000"/>
            </w:tcBorders>
          </w:tcPr>
          <w:p w14:paraId="6FE325CF"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252" w:type="dxa"/>
            <w:tcBorders>
              <w:top w:val="single" w:sz="5" w:space="0" w:color="000000"/>
              <w:left w:val="single" w:sz="5" w:space="0" w:color="000000"/>
              <w:bottom w:val="single" w:sz="5" w:space="0" w:color="000000"/>
              <w:right w:val="single" w:sz="5" w:space="0" w:color="000000"/>
            </w:tcBorders>
          </w:tcPr>
          <w:p w14:paraId="782E5FFF"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4</w:t>
            </w:r>
          </w:p>
        </w:tc>
      </w:tr>
      <w:tr w:rsidR="00FB270A" w:rsidRPr="0003124D" w14:paraId="0577B17F" w14:textId="77777777" w:rsidTr="00E20111">
        <w:trPr>
          <w:trHeight w:val="48"/>
        </w:trPr>
        <w:tc>
          <w:tcPr>
            <w:tcW w:w="1666" w:type="dxa"/>
            <w:vMerge/>
            <w:tcBorders>
              <w:left w:val="single" w:sz="5" w:space="0" w:color="000000"/>
              <w:bottom w:val="single" w:sz="5" w:space="0" w:color="000000"/>
              <w:right w:val="single" w:sz="5" w:space="0" w:color="000000"/>
            </w:tcBorders>
          </w:tcPr>
          <w:p w14:paraId="0D54E184"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0C5C36DC"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10b</w:t>
            </w:r>
          </w:p>
        </w:tc>
        <w:tc>
          <w:tcPr>
            <w:tcW w:w="11555" w:type="dxa"/>
            <w:tcBorders>
              <w:top w:val="single" w:sz="5" w:space="0" w:color="000000"/>
              <w:left w:val="single" w:sz="5" w:space="0" w:color="000000"/>
              <w:bottom w:val="single" w:sz="5" w:space="0" w:color="000000"/>
              <w:right w:val="single" w:sz="5" w:space="0" w:color="000000"/>
            </w:tcBorders>
          </w:tcPr>
          <w:p w14:paraId="48B14859"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List and define all other variables for which data were sought (e.g., participant and intervention characteristics, funding sources). Describe any assumptions made about any missing or unclear </w:t>
            </w:r>
            <w:r w:rsidRPr="0003124D">
              <w:rPr>
                <w:rFonts w:ascii="Times New Roman" w:hAnsi="Times New Roman" w:cs="Times New Roman"/>
                <w:color w:val="000000" w:themeColor="text1"/>
              </w:rPr>
              <w:lastRenderedPageBreak/>
              <w:t>information.</w:t>
            </w:r>
          </w:p>
        </w:tc>
        <w:tc>
          <w:tcPr>
            <w:tcW w:w="252" w:type="dxa"/>
            <w:tcBorders>
              <w:top w:val="single" w:sz="5" w:space="0" w:color="000000"/>
              <w:left w:val="single" w:sz="5" w:space="0" w:color="000000"/>
              <w:bottom w:val="single" w:sz="5" w:space="0" w:color="000000"/>
              <w:right w:val="single" w:sz="5" w:space="0" w:color="000000"/>
            </w:tcBorders>
          </w:tcPr>
          <w:p w14:paraId="54316189"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lastRenderedPageBreak/>
              <w:t>4</w:t>
            </w:r>
          </w:p>
        </w:tc>
      </w:tr>
      <w:tr w:rsidR="00FB270A" w:rsidRPr="0003124D" w14:paraId="744637D9"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5BE0F7C1"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Study risk of bias assessment</w:t>
            </w:r>
          </w:p>
        </w:tc>
        <w:tc>
          <w:tcPr>
            <w:tcW w:w="696" w:type="dxa"/>
            <w:tcBorders>
              <w:top w:val="single" w:sz="5" w:space="0" w:color="000000"/>
              <w:left w:val="single" w:sz="5" w:space="0" w:color="000000"/>
              <w:bottom w:val="single" w:sz="5" w:space="0" w:color="000000"/>
              <w:right w:val="single" w:sz="5" w:space="0" w:color="000000"/>
            </w:tcBorders>
          </w:tcPr>
          <w:p w14:paraId="608D7DCE"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11</w:t>
            </w:r>
          </w:p>
        </w:tc>
        <w:tc>
          <w:tcPr>
            <w:tcW w:w="11555" w:type="dxa"/>
            <w:tcBorders>
              <w:top w:val="single" w:sz="5" w:space="0" w:color="000000"/>
              <w:left w:val="single" w:sz="5" w:space="0" w:color="000000"/>
              <w:bottom w:val="single" w:sz="5" w:space="0" w:color="000000"/>
              <w:right w:val="single" w:sz="5" w:space="0" w:color="000000"/>
            </w:tcBorders>
          </w:tcPr>
          <w:p w14:paraId="2F2027BF"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52" w:type="dxa"/>
            <w:tcBorders>
              <w:top w:val="single" w:sz="5" w:space="0" w:color="000000"/>
              <w:left w:val="single" w:sz="5" w:space="0" w:color="000000"/>
              <w:bottom w:val="single" w:sz="5" w:space="0" w:color="000000"/>
              <w:right w:val="single" w:sz="5" w:space="0" w:color="000000"/>
            </w:tcBorders>
          </w:tcPr>
          <w:p w14:paraId="7FA1910A"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5</w:t>
            </w:r>
          </w:p>
        </w:tc>
      </w:tr>
      <w:tr w:rsidR="00FB270A" w:rsidRPr="0003124D" w14:paraId="7DFB094E"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44D96C8E"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Effect measures </w:t>
            </w:r>
          </w:p>
        </w:tc>
        <w:tc>
          <w:tcPr>
            <w:tcW w:w="696" w:type="dxa"/>
            <w:tcBorders>
              <w:top w:val="single" w:sz="5" w:space="0" w:color="000000"/>
              <w:left w:val="single" w:sz="5" w:space="0" w:color="000000"/>
              <w:bottom w:val="single" w:sz="5" w:space="0" w:color="000000"/>
              <w:right w:val="single" w:sz="5" w:space="0" w:color="000000"/>
            </w:tcBorders>
          </w:tcPr>
          <w:p w14:paraId="64264CA4"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12</w:t>
            </w:r>
          </w:p>
        </w:tc>
        <w:tc>
          <w:tcPr>
            <w:tcW w:w="11555" w:type="dxa"/>
            <w:tcBorders>
              <w:top w:val="single" w:sz="5" w:space="0" w:color="000000"/>
              <w:left w:val="single" w:sz="5" w:space="0" w:color="000000"/>
              <w:bottom w:val="single" w:sz="5" w:space="0" w:color="000000"/>
              <w:right w:val="single" w:sz="5" w:space="0" w:color="000000"/>
            </w:tcBorders>
          </w:tcPr>
          <w:p w14:paraId="2C570D3D"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Specify for each outcome the effect measure(s) (e.g., risk ratio, mean difference) used in the synthesis or presentation of results.</w:t>
            </w:r>
          </w:p>
        </w:tc>
        <w:tc>
          <w:tcPr>
            <w:tcW w:w="252" w:type="dxa"/>
            <w:tcBorders>
              <w:top w:val="single" w:sz="5" w:space="0" w:color="000000"/>
              <w:left w:val="single" w:sz="5" w:space="0" w:color="000000"/>
              <w:bottom w:val="single" w:sz="5" w:space="0" w:color="000000"/>
              <w:right w:val="single" w:sz="5" w:space="0" w:color="000000"/>
            </w:tcBorders>
          </w:tcPr>
          <w:p w14:paraId="22A3B8F3"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5</w:t>
            </w:r>
          </w:p>
        </w:tc>
      </w:tr>
      <w:tr w:rsidR="00FB270A" w:rsidRPr="0003124D" w14:paraId="28E7BB77" w14:textId="77777777" w:rsidTr="00E20111">
        <w:trPr>
          <w:trHeight w:val="48"/>
        </w:trPr>
        <w:tc>
          <w:tcPr>
            <w:tcW w:w="1666" w:type="dxa"/>
            <w:vMerge w:val="restart"/>
            <w:tcBorders>
              <w:top w:val="single" w:sz="5" w:space="0" w:color="000000"/>
              <w:left w:val="single" w:sz="5" w:space="0" w:color="000000"/>
              <w:right w:val="single" w:sz="5" w:space="0" w:color="000000"/>
            </w:tcBorders>
          </w:tcPr>
          <w:p w14:paraId="22A0FD08"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Synthesis methods</w:t>
            </w:r>
          </w:p>
        </w:tc>
        <w:tc>
          <w:tcPr>
            <w:tcW w:w="696" w:type="dxa"/>
            <w:tcBorders>
              <w:top w:val="single" w:sz="5" w:space="0" w:color="000000"/>
              <w:left w:val="single" w:sz="5" w:space="0" w:color="000000"/>
              <w:bottom w:val="single" w:sz="5" w:space="0" w:color="000000"/>
              <w:right w:val="single" w:sz="5" w:space="0" w:color="000000"/>
            </w:tcBorders>
          </w:tcPr>
          <w:p w14:paraId="1517F3F3"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13a</w:t>
            </w:r>
          </w:p>
        </w:tc>
        <w:tc>
          <w:tcPr>
            <w:tcW w:w="11555" w:type="dxa"/>
            <w:tcBorders>
              <w:top w:val="single" w:sz="5" w:space="0" w:color="000000"/>
              <w:left w:val="single" w:sz="5" w:space="0" w:color="000000"/>
              <w:bottom w:val="single" w:sz="5" w:space="0" w:color="000000"/>
              <w:right w:val="single" w:sz="5" w:space="0" w:color="000000"/>
            </w:tcBorders>
          </w:tcPr>
          <w:p w14:paraId="52F67529"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Describe the processes used to decide which studies were eligible for each synthesis (e.g., tabulating the study intervention characteristics and comparing against the planned groups for each synthesis (item #5)).</w:t>
            </w:r>
          </w:p>
        </w:tc>
        <w:tc>
          <w:tcPr>
            <w:tcW w:w="252" w:type="dxa"/>
            <w:tcBorders>
              <w:top w:val="single" w:sz="5" w:space="0" w:color="000000"/>
              <w:left w:val="single" w:sz="5" w:space="0" w:color="000000"/>
              <w:bottom w:val="single" w:sz="5" w:space="0" w:color="000000"/>
              <w:right w:val="single" w:sz="5" w:space="0" w:color="000000"/>
            </w:tcBorders>
          </w:tcPr>
          <w:p w14:paraId="53F99576"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5</w:t>
            </w:r>
          </w:p>
        </w:tc>
      </w:tr>
      <w:tr w:rsidR="00FB270A" w:rsidRPr="0003124D" w14:paraId="3126EE66" w14:textId="77777777" w:rsidTr="00E20111">
        <w:trPr>
          <w:trHeight w:val="48"/>
        </w:trPr>
        <w:tc>
          <w:tcPr>
            <w:tcW w:w="1666" w:type="dxa"/>
            <w:vMerge/>
            <w:tcBorders>
              <w:left w:val="single" w:sz="5" w:space="0" w:color="000000"/>
              <w:right w:val="single" w:sz="5" w:space="0" w:color="000000"/>
            </w:tcBorders>
          </w:tcPr>
          <w:p w14:paraId="5D0F97C6"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3A3E7513"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13b</w:t>
            </w:r>
          </w:p>
        </w:tc>
        <w:tc>
          <w:tcPr>
            <w:tcW w:w="11555" w:type="dxa"/>
            <w:tcBorders>
              <w:top w:val="single" w:sz="5" w:space="0" w:color="000000"/>
              <w:left w:val="single" w:sz="5" w:space="0" w:color="000000"/>
              <w:bottom w:val="single" w:sz="5" w:space="0" w:color="000000"/>
              <w:right w:val="single" w:sz="5" w:space="0" w:color="000000"/>
            </w:tcBorders>
          </w:tcPr>
          <w:p w14:paraId="091E3432"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Describe any methods required to prepare the data for presentation or synthesis, such as handling of missing summary statistics, or data conversions.</w:t>
            </w:r>
          </w:p>
        </w:tc>
        <w:tc>
          <w:tcPr>
            <w:tcW w:w="252" w:type="dxa"/>
            <w:tcBorders>
              <w:top w:val="single" w:sz="5" w:space="0" w:color="000000"/>
              <w:left w:val="single" w:sz="5" w:space="0" w:color="000000"/>
              <w:bottom w:val="single" w:sz="5" w:space="0" w:color="000000"/>
              <w:right w:val="single" w:sz="5" w:space="0" w:color="000000"/>
            </w:tcBorders>
          </w:tcPr>
          <w:p w14:paraId="66C510EB"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5</w:t>
            </w:r>
          </w:p>
        </w:tc>
      </w:tr>
      <w:tr w:rsidR="00FB270A" w:rsidRPr="0003124D" w14:paraId="7AC01B87" w14:textId="77777777" w:rsidTr="00E20111">
        <w:trPr>
          <w:trHeight w:val="48"/>
        </w:trPr>
        <w:tc>
          <w:tcPr>
            <w:tcW w:w="1666" w:type="dxa"/>
            <w:vMerge/>
            <w:tcBorders>
              <w:left w:val="single" w:sz="5" w:space="0" w:color="000000"/>
              <w:right w:val="single" w:sz="5" w:space="0" w:color="000000"/>
            </w:tcBorders>
          </w:tcPr>
          <w:p w14:paraId="3D948F87"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07530B08"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13c</w:t>
            </w:r>
          </w:p>
        </w:tc>
        <w:tc>
          <w:tcPr>
            <w:tcW w:w="11555" w:type="dxa"/>
            <w:tcBorders>
              <w:top w:val="single" w:sz="5" w:space="0" w:color="000000"/>
              <w:left w:val="single" w:sz="5" w:space="0" w:color="000000"/>
              <w:bottom w:val="single" w:sz="5" w:space="0" w:color="000000"/>
              <w:right w:val="single" w:sz="5" w:space="0" w:color="000000"/>
            </w:tcBorders>
          </w:tcPr>
          <w:p w14:paraId="17DAF558"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Describe any methods used to tabulate or visually display results of individual studies and syntheses.</w:t>
            </w:r>
          </w:p>
        </w:tc>
        <w:tc>
          <w:tcPr>
            <w:tcW w:w="252" w:type="dxa"/>
            <w:tcBorders>
              <w:top w:val="single" w:sz="5" w:space="0" w:color="000000"/>
              <w:left w:val="single" w:sz="5" w:space="0" w:color="000000"/>
              <w:bottom w:val="single" w:sz="5" w:space="0" w:color="000000"/>
              <w:right w:val="single" w:sz="5" w:space="0" w:color="000000"/>
            </w:tcBorders>
          </w:tcPr>
          <w:p w14:paraId="4602F6BA"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5</w:t>
            </w:r>
          </w:p>
        </w:tc>
      </w:tr>
      <w:tr w:rsidR="00FB270A" w:rsidRPr="0003124D" w14:paraId="36056D45" w14:textId="77777777" w:rsidTr="00E20111">
        <w:trPr>
          <w:trHeight w:val="48"/>
        </w:trPr>
        <w:tc>
          <w:tcPr>
            <w:tcW w:w="1666" w:type="dxa"/>
            <w:vMerge/>
            <w:tcBorders>
              <w:left w:val="single" w:sz="5" w:space="0" w:color="000000"/>
              <w:right w:val="single" w:sz="5" w:space="0" w:color="000000"/>
            </w:tcBorders>
          </w:tcPr>
          <w:p w14:paraId="36ED01B4"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3D673361"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13d</w:t>
            </w:r>
          </w:p>
        </w:tc>
        <w:tc>
          <w:tcPr>
            <w:tcW w:w="11555" w:type="dxa"/>
            <w:tcBorders>
              <w:top w:val="single" w:sz="5" w:space="0" w:color="000000"/>
              <w:left w:val="single" w:sz="5" w:space="0" w:color="000000"/>
              <w:bottom w:val="single" w:sz="5" w:space="0" w:color="000000"/>
              <w:right w:val="single" w:sz="5" w:space="0" w:color="000000"/>
            </w:tcBorders>
          </w:tcPr>
          <w:p w14:paraId="3B2AD3AD"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Describe any methods used to synthesize results and provide a rationale for the choice(s). If meta-analysis was performed, describe the model(s), method(s) to identify the presence and extent of statistical heterogeneity, and software package(s) used.</w:t>
            </w:r>
          </w:p>
        </w:tc>
        <w:tc>
          <w:tcPr>
            <w:tcW w:w="252" w:type="dxa"/>
            <w:tcBorders>
              <w:top w:val="single" w:sz="5" w:space="0" w:color="000000"/>
              <w:left w:val="single" w:sz="5" w:space="0" w:color="000000"/>
              <w:bottom w:val="single" w:sz="5" w:space="0" w:color="000000"/>
              <w:right w:val="single" w:sz="5" w:space="0" w:color="000000"/>
            </w:tcBorders>
          </w:tcPr>
          <w:p w14:paraId="7507599A"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5</w:t>
            </w:r>
          </w:p>
        </w:tc>
      </w:tr>
      <w:tr w:rsidR="00FB270A" w:rsidRPr="0003124D" w14:paraId="12A443C8" w14:textId="77777777" w:rsidTr="00E20111">
        <w:trPr>
          <w:trHeight w:val="48"/>
        </w:trPr>
        <w:tc>
          <w:tcPr>
            <w:tcW w:w="1666" w:type="dxa"/>
            <w:vMerge/>
            <w:tcBorders>
              <w:left w:val="single" w:sz="5" w:space="0" w:color="000000"/>
              <w:right w:val="single" w:sz="5" w:space="0" w:color="000000"/>
            </w:tcBorders>
          </w:tcPr>
          <w:p w14:paraId="093DC184"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2135A971"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13e</w:t>
            </w:r>
          </w:p>
        </w:tc>
        <w:tc>
          <w:tcPr>
            <w:tcW w:w="11555" w:type="dxa"/>
            <w:tcBorders>
              <w:top w:val="single" w:sz="5" w:space="0" w:color="000000"/>
              <w:left w:val="single" w:sz="5" w:space="0" w:color="000000"/>
              <w:bottom w:val="single" w:sz="5" w:space="0" w:color="000000"/>
              <w:right w:val="single" w:sz="5" w:space="0" w:color="000000"/>
            </w:tcBorders>
          </w:tcPr>
          <w:p w14:paraId="22B20847"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Describe any methods used to explore possible causes of heterogeneity among study results (e.g., subgroup analysis, meta-regression).</w:t>
            </w:r>
          </w:p>
        </w:tc>
        <w:tc>
          <w:tcPr>
            <w:tcW w:w="252" w:type="dxa"/>
            <w:tcBorders>
              <w:top w:val="single" w:sz="5" w:space="0" w:color="000000"/>
              <w:left w:val="single" w:sz="5" w:space="0" w:color="000000"/>
              <w:bottom w:val="single" w:sz="5" w:space="0" w:color="000000"/>
              <w:right w:val="single" w:sz="5" w:space="0" w:color="000000"/>
            </w:tcBorders>
          </w:tcPr>
          <w:p w14:paraId="22F4566C"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5</w:t>
            </w:r>
          </w:p>
        </w:tc>
      </w:tr>
      <w:tr w:rsidR="00FB270A" w:rsidRPr="0003124D" w14:paraId="73FA35C8" w14:textId="77777777" w:rsidTr="00E20111">
        <w:trPr>
          <w:trHeight w:val="50"/>
        </w:trPr>
        <w:tc>
          <w:tcPr>
            <w:tcW w:w="1666" w:type="dxa"/>
            <w:vMerge/>
            <w:tcBorders>
              <w:left w:val="single" w:sz="5" w:space="0" w:color="000000"/>
              <w:bottom w:val="single" w:sz="5" w:space="0" w:color="000000"/>
              <w:right w:val="single" w:sz="5" w:space="0" w:color="000000"/>
            </w:tcBorders>
          </w:tcPr>
          <w:p w14:paraId="42C8FB44"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335C2E9B"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13f</w:t>
            </w:r>
          </w:p>
        </w:tc>
        <w:tc>
          <w:tcPr>
            <w:tcW w:w="11555" w:type="dxa"/>
            <w:tcBorders>
              <w:top w:val="single" w:sz="5" w:space="0" w:color="000000"/>
              <w:left w:val="single" w:sz="5" w:space="0" w:color="000000"/>
              <w:bottom w:val="single" w:sz="5" w:space="0" w:color="000000"/>
              <w:right w:val="single" w:sz="5" w:space="0" w:color="000000"/>
            </w:tcBorders>
          </w:tcPr>
          <w:p w14:paraId="7274AE0C"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Describe any sensitivity analyses conducted to assess robustness of the synthesized results.</w:t>
            </w:r>
          </w:p>
        </w:tc>
        <w:tc>
          <w:tcPr>
            <w:tcW w:w="252" w:type="dxa"/>
            <w:tcBorders>
              <w:top w:val="single" w:sz="5" w:space="0" w:color="000000"/>
              <w:left w:val="single" w:sz="5" w:space="0" w:color="000000"/>
              <w:bottom w:val="single" w:sz="5" w:space="0" w:color="000000"/>
              <w:right w:val="single" w:sz="5" w:space="0" w:color="000000"/>
            </w:tcBorders>
          </w:tcPr>
          <w:p w14:paraId="0145F5FA"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5</w:t>
            </w:r>
          </w:p>
        </w:tc>
      </w:tr>
      <w:tr w:rsidR="00FB270A" w:rsidRPr="0003124D" w14:paraId="413EB07E"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60EE422D"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Reporting bias assessment</w:t>
            </w:r>
          </w:p>
        </w:tc>
        <w:tc>
          <w:tcPr>
            <w:tcW w:w="696" w:type="dxa"/>
            <w:tcBorders>
              <w:top w:val="single" w:sz="5" w:space="0" w:color="000000"/>
              <w:left w:val="single" w:sz="5" w:space="0" w:color="000000"/>
              <w:bottom w:val="single" w:sz="5" w:space="0" w:color="000000"/>
              <w:right w:val="single" w:sz="5" w:space="0" w:color="000000"/>
            </w:tcBorders>
          </w:tcPr>
          <w:p w14:paraId="2F6D9BC7"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14</w:t>
            </w:r>
          </w:p>
        </w:tc>
        <w:tc>
          <w:tcPr>
            <w:tcW w:w="11555" w:type="dxa"/>
            <w:tcBorders>
              <w:top w:val="single" w:sz="5" w:space="0" w:color="000000"/>
              <w:left w:val="single" w:sz="5" w:space="0" w:color="000000"/>
              <w:bottom w:val="single" w:sz="5" w:space="0" w:color="000000"/>
              <w:right w:val="single" w:sz="5" w:space="0" w:color="000000"/>
            </w:tcBorders>
          </w:tcPr>
          <w:p w14:paraId="1AFDFC8F"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Describe any methods used to assess risk of bias due to missing results in a synthesis (arising from reporting biases).</w:t>
            </w:r>
          </w:p>
        </w:tc>
        <w:tc>
          <w:tcPr>
            <w:tcW w:w="252" w:type="dxa"/>
            <w:tcBorders>
              <w:top w:val="single" w:sz="5" w:space="0" w:color="000000"/>
              <w:left w:val="single" w:sz="5" w:space="0" w:color="000000"/>
              <w:bottom w:val="single" w:sz="5" w:space="0" w:color="000000"/>
              <w:right w:val="single" w:sz="5" w:space="0" w:color="000000"/>
            </w:tcBorders>
          </w:tcPr>
          <w:p w14:paraId="1CCEB692"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5</w:t>
            </w:r>
          </w:p>
        </w:tc>
      </w:tr>
      <w:tr w:rsidR="00FB270A" w:rsidRPr="0003124D" w14:paraId="0671FA9C"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1D05A71F"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Certainty assessment</w:t>
            </w:r>
          </w:p>
        </w:tc>
        <w:tc>
          <w:tcPr>
            <w:tcW w:w="696" w:type="dxa"/>
            <w:tcBorders>
              <w:top w:val="single" w:sz="5" w:space="0" w:color="000000"/>
              <w:left w:val="single" w:sz="5" w:space="0" w:color="000000"/>
              <w:bottom w:val="single" w:sz="5" w:space="0" w:color="000000"/>
              <w:right w:val="single" w:sz="5" w:space="0" w:color="000000"/>
            </w:tcBorders>
          </w:tcPr>
          <w:p w14:paraId="7CE8FF77"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15</w:t>
            </w:r>
          </w:p>
        </w:tc>
        <w:tc>
          <w:tcPr>
            <w:tcW w:w="11555" w:type="dxa"/>
            <w:tcBorders>
              <w:top w:val="single" w:sz="5" w:space="0" w:color="000000"/>
              <w:left w:val="single" w:sz="5" w:space="0" w:color="000000"/>
              <w:bottom w:val="single" w:sz="5" w:space="0" w:color="000000"/>
              <w:right w:val="single" w:sz="5" w:space="0" w:color="000000"/>
            </w:tcBorders>
          </w:tcPr>
          <w:p w14:paraId="119D62B5"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Describe any methods used to assess certainty (or confidence) in the body of evidence for an outcome.</w:t>
            </w:r>
          </w:p>
        </w:tc>
        <w:tc>
          <w:tcPr>
            <w:tcW w:w="252" w:type="dxa"/>
            <w:tcBorders>
              <w:top w:val="single" w:sz="5" w:space="0" w:color="000000"/>
              <w:left w:val="single" w:sz="5" w:space="0" w:color="000000"/>
              <w:bottom w:val="single" w:sz="5" w:space="0" w:color="000000"/>
              <w:right w:val="single" w:sz="5" w:space="0" w:color="000000"/>
            </w:tcBorders>
          </w:tcPr>
          <w:p w14:paraId="5DE07193"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5</w:t>
            </w:r>
          </w:p>
        </w:tc>
      </w:tr>
      <w:tr w:rsidR="00FB270A" w:rsidRPr="0003124D" w14:paraId="5DD10444" w14:textId="77777777" w:rsidTr="00E20111">
        <w:trPr>
          <w:trHeight w:val="24"/>
        </w:trPr>
        <w:tc>
          <w:tcPr>
            <w:tcW w:w="1391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DA7DCDB"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b/>
                <w:bCs/>
                <w:color w:val="000000" w:themeColor="text1"/>
              </w:rPr>
              <w:t xml:space="preserve">RESULTS </w:t>
            </w:r>
          </w:p>
        </w:tc>
        <w:tc>
          <w:tcPr>
            <w:tcW w:w="252" w:type="dxa"/>
            <w:tcBorders>
              <w:top w:val="double" w:sz="5" w:space="0" w:color="000000"/>
              <w:left w:val="single" w:sz="5" w:space="0" w:color="000000"/>
              <w:bottom w:val="single" w:sz="5" w:space="0" w:color="000000"/>
              <w:right w:val="single" w:sz="5" w:space="0" w:color="000000"/>
            </w:tcBorders>
            <w:shd w:val="clear" w:color="auto" w:fill="FFFFCC"/>
          </w:tcPr>
          <w:p w14:paraId="0BD0A184" w14:textId="77777777" w:rsidR="00FB270A" w:rsidRPr="0003124D" w:rsidRDefault="00FB270A" w:rsidP="00E20111">
            <w:pPr>
              <w:pStyle w:val="Default"/>
              <w:contextualSpacing/>
              <w:jc w:val="center"/>
              <w:rPr>
                <w:rFonts w:ascii="Times New Roman" w:hAnsi="Times New Roman" w:cs="Times New Roman"/>
                <w:color w:val="000000" w:themeColor="text1"/>
              </w:rPr>
            </w:pPr>
            <w:r w:rsidRPr="0003124D">
              <w:rPr>
                <w:rFonts w:ascii="Times New Roman" w:hAnsi="Times New Roman" w:cs="Times New Roman"/>
                <w:color w:val="000000" w:themeColor="text1"/>
              </w:rPr>
              <w:t>6</w:t>
            </w:r>
          </w:p>
        </w:tc>
      </w:tr>
      <w:tr w:rsidR="00FB270A" w:rsidRPr="0003124D" w14:paraId="2624060F" w14:textId="77777777" w:rsidTr="00E20111">
        <w:trPr>
          <w:trHeight w:val="48"/>
        </w:trPr>
        <w:tc>
          <w:tcPr>
            <w:tcW w:w="1666" w:type="dxa"/>
            <w:vMerge w:val="restart"/>
            <w:tcBorders>
              <w:top w:val="single" w:sz="5" w:space="0" w:color="000000"/>
              <w:left w:val="single" w:sz="5" w:space="0" w:color="000000"/>
              <w:right w:val="single" w:sz="5" w:space="0" w:color="000000"/>
            </w:tcBorders>
          </w:tcPr>
          <w:p w14:paraId="369D9133"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Study selection </w:t>
            </w:r>
          </w:p>
        </w:tc>
        <w:tc>
          <w:tcPr>
            <w:tcW w:w="696" w:type="dxa"/>
            <w:tcBorders>
              <w:top w:val="single" w:sz="5" w:space="0" w:color="000000"/>
              <w:left w:val="single" w:sz="5" w:space="0" w:color="000000"/>
              <w:bottom w:val="single" w:sz="5" w:space="0" w:color="000000"/>
              <w:right w:val="single" w:sz="5" w:space="0" w:color="000000"/>
            </w:tcBorders>
          </w:tcPr>
          <w:p w14:paraId="55D82BF7"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16a</w:t>
            </w:r>
          </w:p>
        </w:tc>
        <w:tc>
          <w:tcPr>
            <w:tcW w:w="11555" w:type="dxa"/>
            <w:tcBorders>
              <w:top w:val="single" w:sz="5" w:space="0" w:color="000000"/>
              <w:left w:val="single" w:sz="5" w:space="0" w:color="000000"/>
              <w:bottom w:val="single" w:sz="5" w:space="0" w:color="000000"/>
              <w:right w:val="single" w:sz="5" w:space="0" w:color="000000"/>
            </w:tcBorders>
          </w:tcPr>
          <w:p w14:paraId="611B85C9"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Describe the results of the search and selection process, from the number of records identified in the search to the number of studies included in the review, ideally using a flow diagram.</w:t>
            </w:r>
          </w:p>
        </w:tc>
        <w:tc>
          <w:tcPr>
            <w:tcW w:w="252" w:type="dxa"/>
            <w:tcBorders>
              <w:top w:val="single" w:sz="5" w:space="0" w:color="000000"/>
              <w:left w:val="single" w:sz="5" w:space="0" w:color="000000"/>
              <w:bottom w:val="single" w:sz="5" w:space="0" w:color="000000"/>
              <w:right w:val="single" w:sz="5" w:space="0" w:color="000000"/>
            </w:tcBorders>
          </w:tcPr>
          <w:p w14:paraId="77E84ECD"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6</w:t>
            </w:r>
          </w:p>
        </w:tc>
      </w:tr>
      <w:tr w:rsidR="00FB270A" w:rsidRPr="0003124D" w14:paraId="082A88EE" w14:textId="77777777" w:rsidTr="00E20111">
        <w:trPr>
          <w:trHeight w:val="48"/>
        </w:trPr>
        <w:tc>
          <w:tcPr>
            <w:tcW w:w="1666" w:type="dxa"/>
            <w:vMerge/>
            <w:tcBorders>
              <w:left w:val="single" w:sz="5" w:space="0" w:color="000000"/>
              <w:bottom w:val="single" w:sz="5" w:space="0" w:color="000000"/>
              <w:right w:val="single" w:sz="5" w:space="0" w:color="000000"/>
            </w:tcBorders>
          </w:tcPr>
          <w:p w14:paraId="4F094364"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316B3A48"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16b</w:t>
            </w:r>
          </w:p>
        </w:tc>
        <w:tc>
          <w:tcPr>
            <w:tcW w:w="11555" w:type="dxa"/>
            <w:tcBorders>
              <w:top w:val="single" w:sz="5" w:space="0" w:color="000000"/>
              <w:left w:val="single" w:sz="5" w:space="0" w:color="000000"/>
              <w:bottom w:val="single" w:sz="5" w:space="0" w:color="000000"/>
              <w:right w:val="single" w:sz="5" w:space="0" w:color="000000"/>
            </w:tcBorders>
          </w:tcPr>
          <w:p w14:paraId="79A7A5A8"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Cite studies that might appear to meet the inclusion criteria, but which were excluded, and explain why they were excluded.</w:t>
            </w:r>
          </w:p>
        </w:tc>
        <w:tc>
          <w:tcPr>
            <w:tcW w:w="252" w:type="dxa"/>
            <w:tcBorders>
              <w:top w:val="single" w:sz="5" w:space="0" w:color="000000"/>
              <w:left w:val="single" w:sz="5" w:space="0" w:color="000000"/>
              <w:bottom w:val="single" w:sz="5" w:space="0" w:color="000000"/>
              <w:right w:val="single" w:sz="5" w:space="0" w:color="000000"/>
            </w:tcBorders>
          </w:tcPr>
          <w:p w14:paraId="2F8B2581"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6</w:t>
            </w:r>
          </w:p>
        </w:tc>
      </w:tr>
      <w:tr w:rsidR="00FB270A" w:rsidRPr="0003124D" w14:paraId="01028B2B" w14:textId="77777777" w:rsidTr="00E20111">
        <w:trPr>
          <w:trHeight w:val="103"/>
        </w:trPr>
        <w:tc>
          <w:tcPr>
            <w:tcW w:w="1666" w:type="dxa"/>
            <w:tcBorders>
              <w:top w:val="single" w:sz="5" w:space="0" w:color="000000"/>
              <w:left w:val="single" w:sz="5" w:space="0" w:color="000000"/>
              <w:bottom w:val="single" w:sz="5" w:space="0" w:color="000000"/>
              <w:right w:val="single" w:sz="5" w:space="0" w:color="000000"/>
            </w:tcBorders>
          </w:tcPr>
          <w:p w14:paraId="62D3B560"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Study characteristics </w:t>
            </w:r>
          </w:p>
        </w:tc>
        <w:tc>
          <w:tcPr>
            <w:tcW w:w="696" w:type="dxa"/>
            <w:tcBorders>
              <w:top w:val="single" w:sz="5" w:space="0" w:color="000000"/>
              <w:left w:val="single" w:sz="5" w:space="0" w:color="000000"/>
              <w:bottom w:val="single" w:sz="5" w:space="0" w:color="000000"/>
              <w:right w:val="single" w:sz="5" w:space="0" w:color="000000"/>
            </w:tcBorders>
          </w:tcPr>
          <w:p w14:paraId="6EE21670"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17</w:t>
            </w:r>
          </w:p>
        </w:tc>
        <w:tc>
          <w:tcPr>
            <w:tcW w:w="11555" w:type="dxa"/>
            <w:tcBorders>
              <w:top w:val="single" w:sz="5" w:space="0" w:color="000000"/>
              <w:left w:val="single" w:sz="5" w:space="0" w:color="000000"/>
              <w:bottom w:val="single" w:sz="5" w:space="0" w:color="000000"/>
              <w:right w:val="single" w:sz="5" w:space="0" w:color="000000"/>
            </w:tcBorders>
          </w:tcPr>
          <w:p w14:paraId="7283BC79"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Cite each included study and present its characteristics.</w:t>
            </w:r>
          </w:p>
        </w:tc>
        <w:tc>
          <w:tcPr>
            <w:tcW w:w="252" w:type="dxa"/>
            <w:tcBorders>
              <w:top w:val="single" w:sz="5" w:space="0" w:color="000000"/>
              <w:left w:val="single" w:sz="5" w:space="0" w:color="000000"/>
              <w:bottom w:val="single" w:sz="5" w:space="0" w:color="000000"/>
              <w:right w:val="single" w:sz="5" w:space="0" w:color="000000"/>
            </w:tcBorders>
          </w:tcPr>
          <w:p w14:paraId="42E25C7A"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6-8</w:t>
            </w:r>
          </w:p>
        </w:tc>
      </w:tr>
      <w:tr w:rsidR="00FB270A" w:rsidRPr="0003124D" w14:paraId="4E1881FA"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59A191BD"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Risk of bias in </w:t>
            </w:r>
            <w:r w:rsidRPr="0003124D">
              <w:rPr>
                <w:rFonts w:ascii="Times New Roman" w:hAnsi="Times New Roman" w:cs="Times New Roman"/>
                <w:color w:val="000000" w:themeColor="text1"/>
              </w:rPr>
              <w:lastRenderedPageBreak/>
              <w:t xml:space="preserve">studies </w:t>
            </w:r>
          </w:p>
        </w:tc>
        <w:tc>
          <w:tcPr>
            <w:tcW w:w="696" w:type="dxa"/>
            <w:tcBorders>
              <w:top w:val="single" w:sz="5" w:space="0" w:color="000000"/>
              <w:left w:val="single" w:sz="5" w:space="0" w:color="000000"/>
              <w:bottom w:val="single" w:sz="5" w:space="0" w:color="000000"/>
              <w:right w:val="single" w:sz="5" w:space="0" w:color="000000"/>
            </w:tcBorders>
          </w:tcPr>
          <w:p w14:paraId="2660E471"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lastRenderedPageBreak/>
              <w:t>18</w:t>
            </w:r>
          </w:p>
        </w:tc>
        <w:tc>
          <w:tcPr>
            <w:tcW w:w="11555" w:type="dxa"/>
            <w:tcBorders>
              <w:top w:val="single" w:sz="5" w:space="0" w:color="000000"/>
              <w:left w:val="single" w:sz="5" w:space="0" w:color="000000"/>
              <w:bottom w:val="single" w:sz="5" w:space="0" w:color="000000"/>
              <w:right w:val="single" w:sz="5" w:space="0" w:color="000000"/>
            </w:tcBorders>
          </w:tcPr>
          <w:p w14:paraId="6E288DC0"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Present assessments of risk of bias for each included study.</w:t>
            </w:r>
          </w:p>
        </w:tc>
        <w:tc>
          <w:tcPr>
            <w:tcW w:w="252" w:type="dxa"/>
            <w:tcBorders>
              <w:top w:val="single" w:sz="5" w:space="0" w:color="000000"/>
              <w:left w:val="single" w:sz="5" w:space="0" w:color="000000"/>
              <w:bottom w:val="single" w:sz="5" w:space="0" w:color="000000"/>
              <w:right w:val="single" w:sz="5" w:space="0" w:color="000000"/>
            </w:tcBorders>
          </w:tcPr>
          <w:p w14:paraId="24D302A0"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9</w:t>
            </w:r>
          </w:p>
        </w:tc>
      </w:tr>
      <w:tr w:rsidR="00FB270A" w:rsidRPr="0003124D" w14:paraId="2750F5A5"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1D3F2319"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Results of individual studies </w:t>
            </w:r>
          </w:p>
        </w:tc>
        <w:tc>
          <w:tcPr>
            <w:tcW w:w="696" w:type="dxa"/>
            <w:tcBorders>
              <w:top w:val="single" w:sz="5" w:space="0" w:color="000000"/>
              <w:left w:val="single" w:sz="5" w:space="0" w:color="000000"/>
              <w:bottom w:val="single" w:sz="5" w:space="0" w:color="000000"/>
              <w:right w:val="single" w:sz="5" w:space="0" w:color="000000"/>
            </w:tcBorders>
          </w:tcPr>
          <w:p w14:paraId="1A32304E"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19</w:t>
            </w:r>
          </w:p>
        </w:tc>
        <w:tc>
          <w:tcPr>
            <w:tcW w:w="11555" w:type="dxa"/>
            <w:tcBorders>
              <w:top w:val="single" w:sz="5" w:space="0" w:color="000000"/>
              <w:left w:val="single" w:sz="5" w:space="0" w:color="000000"/>
              <w:bottom w:val="single" w:sz="5" w:space="0" w:color="000000"/>
              <w:right w:val="single" w:sz="5" w:space="0" w:color="000000"/>
            </w:tcBorders>
          </w:tcPr>
          <w:p w14:paraId="1273D8FC"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For all outcomes, present, for each study: (a) summary statistics for each group (where appropriate) and (b) an effect estimates and its precision (e.g., confidence/credible interval), ideally using structured tables or plots.</w:t>
            </w:r>
          </w:p>
        </w:tc>
        <w:tc>
          <w:tcPr>
            <w:tcW w:w="252" w:type="dxa"/>
            <w:tcBorders>
              <w:top w:val="single" w:sz="5" w:space="0" w:color="000000"/>
              <w:left w:val="single" w:sz="5" w:space="0" w:color="000000"/>
              <w:bottom w:val="single" w:sz="5" w:space="0" w:color="000000"/>
              <w:right w:val="single" w:sz="5" w:space="0" w:color="000000"/>
            </w:tcBorders>
          </w:tcPr>
          <w:p w14:paraId="0157FB51"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9 and Appendices 2A</w:t>
            </w:r>
            <w:r>
              <w:rPr>
                <w:rFonts w:ascii="Times New Roman" w:hAnsi="Times New Roman" w:cs="Times New Roman"/>
                <w:color w:val="000000" w:themeColor="text1"/>
              </w:rPr>
              <w:t xml:space="preserve"> </w:t>
            </w:r>
            <w:r w:rsidRPr="0003124D">
              <w:rPr>
                <w:rFonts w:ascii="Times New Roman" w:hAnsi="Times New Roman" w:cs="Times New Roman"/>
                <w:color w:val="000000" w:themeColor="text1"/>
              </w:rPr>
              <w:t>-</w:t>
            </w:r>
            <w:r>
              <w:rPr>
                <w:rFonts w:ascii="Times New Roman" w:hAnsi="Times New Roman" w:cs="Times New Roman"/>
                <w:color w:val="000000" w:themeColor="text1"/>
              </w:rPr>
              <w:t xml:space="preserve"> 2</w:t>
            </w:r>
            <w:r w:rsidRPr="0003124D">
              <w:rPr>
                <w:rFonts w:ascii="Times New Roman" w:hAnsi="Times New Roman" w:cs="Times New Roman"/>
                <w:color w:val="000000" w:themeColor="text1"/>
              </w:rPr>
              <w:t>F</w:t>
            </w:r>
          </w:p>
        </w:tc>
      </w:tr>
      <w:tr w:rsidR="00FB270A" w:rsidRPr="0003124D" w14:paraId="122BFB16" w14:textId="77777777" w:rsidTr="00E20111">
        <w:trPr>
          <w:trHeight w:val="48"/>
        </w:trPr>
        <w:tc>
          <w:tcPr>
            <w:tcW w:w="1666" w:type="dxa"/>
            <w:vMerge w:val="restart"/>
            <w:tcBorders>
              <w:top w:val="single" w:sz="5" w:space="0" w:color="000000"/>
              <w:left w:val="single" w:sz="5" w:space="0" w:color="000000"/>
              <w:right w:val="single" w:sz="5" w:space="0" w:color="000000"/>
            </w:tcBorders>
          </w:tcPr>
          <w:p w14:paraId="67EC7CA7"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Results of syntheses</w:t>
            </w:r>
          </w:p>
        </w:tc>
        <w:tc>
          <w:tcPr>
            <w:tcW w:w="696" w:type="dxa"/>
            <w:tcBorders>
              <w:top w:val="single" w:sz="5" w:space="0" w:color="000000"/>
              <w:left w:val="single" w:sz="5" w:space="0" w:color="000000"/>
              <w:bottom w:val="single" w:sz="5" w:space="0" w:color="000000"/>
              <w:right w:val="single" w:sz="5" w:space="0" w:color="000000"/>
            </w:tcBorders>
          </w:tcPr>
          <w:p w14:paraId="76770378"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20a</w:t>
            </w:r>
          </w:p>
        </w:tc>
        <w:tc>
          <w:tcPr>
            <w:tcW w:w="11555" w:type="dxa"/>
            <w:tcBorders>
              <w:top w:val="single" w:sz="5" w:space="0" w:color="000000"/>
              <w:left w:val="single" w:sz="5" w:space="0" w:color="000000"/>
              <w:bottom w:val="single" w:sz="5" w:space="0" w:color="000000"/>
              <w:right w:val="single" w:sz="5" w:space="0" w:color="000000"/>
            </w:tcBorders>
          </w:tcPr>
          <w:p w14:paraId="4ECD1139"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For each synthesis, briefly summarise the characteristics and risk of bias among contributing studies.</w:t>
            </w:r>
          </w:p>
        </w:tc>
        <w:tc>
          <w:tcPr>
            <w:tcW w:w="252" w:type="dxa"/>
            <w:tcBorders>
              <w:top w:val="single" w:sz="5" w:space="0" w:color="000000"/>
              <w:left w:val="single" w:sz="5" w:space="0" w:color="000000"/>
              <w:bottom w:val="single" w:sz="5" w:space="0" w:color="000000"/>
              <w:right w:val="single" w:sz="5" w:space="0" w:color="000000"/>
            </w:tcBorders>
          </w:tcPr>
          <w:p w14:paraId="2C1A90A6"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11 and table 1 and Appendices 2A</w:t>
            </w:r>
            <w:r>
              <w:rPr>
                <w:rFonts w:ascii="Times New Roman" w:hAnsi="Times New Roman" w:cs="Times New Roman"/>
                <w:color w:val="000000" w:themeColor="text1"/>
              </w:rPr>
              <w:t xml:space="preserve"> </w:t>
            </w:r>
            <w:r w:rsidRPr="0003124D">
              <w:rPr>
                <w:rFonts w:ascii="Times New Roman" w:hAnsi="Times New Roman" w:cs="Times New Roman"/>
                <w:color w:val="000000" w:themeColor="text1"/>
              </w:rPr>
              <w:t>-</w:t>
            </w:r>
            <w:r>
              <w:rPr>
                <w:rFonts w:ascii="Times New Roman" w:hAnsi="Times New Roman" w:cs="Times New Roman"/>
                <w:color w:val="000000" w:themeColor="text1"/>
              </w:rPr>
              <w:t xml:space="preserve"> 2</w:t>
            </w:r>
            <w:r w:rsidRPr="0003124D">
              <w:rPr>
                <w:rFonts w:ascii="Times New Roman" w:hAnsi="Times New Roman" w:cs="Times New Roman"/>
                <w:color w:val="000000" w:themeColor="text1"/>
              </w:rPr>
              <w:t>F</w:t>
            </w:r>
          </w:p>
        </w:tc>
      </w:tr>
      <w:tr w:rsidR="00FB270A" w:rsidRPr="0003124D" w14:paraId="796FFD10" w14:textId="77777777" w:rsidTr="00E20111">
        <w:trPr>
          <w:trHeight w:val="203"/>
        </w:trPr>
        <w:tc>
          <w:tcPr>
            <w:tcW w:w="1666" w:type="dxa"/>
            <w:vMerge/>
            <w:tcBorders>
              <w:left w:val="single" w:sz="5" w:space="0" w:color="000000"/>
              <w:right w:val="single" w:sz="5" w:space="0" w:color="000000"/>
            </w:tcBorders>
          </w:tcPr>
          <w:p w14:paraId="3C4C391C"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5337B0E7"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20b</w:t>
            </w:r>
          </w:p>
        </w:tc>
        <w:tc>
          <w:tcPr>
            <w:tcW w:w="11555" w:type="dxa"/>
            <w:tcBorders>
              <w:top w:val="single" w:sz="5" w:space="0" w:color="000000"/>
              <w:left w:val="single" w:sz="5" w:space="0" w:color="000000"/>
              <w:bottom w:val="single" w:sz="5" w:space="0" w:color="000000"/>
              <w:right w:val="single" w:sz="5" w:space="0" w:color="000000"/>
            </w:tcBorders>
          </w:tcPr>
          <w:p w14:paraId="1A8A5D92"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252" w:type="dxa"/>
            <w:tcBorders>
              <w:top w:val="single" w:sz="5" w:space="0" w:color="000000"/>
              <w:left w:val="single" w:sz="5" w:space="0" w:color="000000"/>
              <w:bottom w:val="single" w:sz="5" w:space="0" w:color="000000"/>
              <w:right w:val="single" w:sz="5" w:space="0" w:color="000000"/>
            </w:tcBorders>
          </w:tcPr>
          <w:p w14:paraId="493460BD"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10-16</w:t>
            </w:r>
          </w:p>
        </w:tc>
      </w:tr>
      <w:tr w:rsidR="00FB270A" w:rsidRPr="0003124D" w14:paraId="50017085" w14:textId="77777777" w:rsidTr="00E20111">
        <w:trPr>
          <w:trHeight w:val="48"/>
        </w:trPr>
        <w:tc>
          <w:tcPr>
            <w:tcW w:w="1666" w:type="dxa"/>
            <w:vMerge/>
            <w:tcBorders>
              <w:left w:val="single" w:sz="5" w:space="0" w:color="000000"/>
              <w:right w:val="single" w:sz="5" w:space="0" w:color="000000"/>
            </w:tcBorders>
          </w:tcPr>
          <w:p w14:paraId="584C36D0"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7EDFA7E5"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20c</w:t>
            </w:r>
          </w:p>
        </w:tc>
        <w:tc>
          <w:tcPr>
            <w:tcW w:w="11555" w:type="dxa"/>
            <w:tcBorders>
              <w:top w:val="single" w:sz="5" w:space="0" w:color="000000"/>
              <w:left w:val="single" w:sz="5" w:space="0" w:color="000000"/>
              <w:bottom w:val="single" w:sz="5" w:space="0" w:color="000000"/>
              <w:right w:val="single" w:sz="5" w:space="0" w:color="000000"/>
            </w:tcBorders>
          </w:tcPr>
          <w:p w14:paraId="6538F054"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Present results of all investigations of possible causes of heterogeneity among study results.</w:t>
            </w:r>
          </w:p>
        </w:tc>
        <w:tc>
          <w:tcPr>
            <w:tcW w:w="252" w:type="dxa"/>
            <w:tcBorders>
              <w:top w:val="single" w:sz="5" w:space="0" w:color="000000"/>
              <w:left w:val="single" w:sz="5" w:space="0" w:color="000000"/>
              <w:bottom w:val="single" w:sz="5" w:space="0" w:color="000000"/>
              <w:right w:val="single" w:sz="5" w:space="0" w:color="000000"/>
            </w:tcBorders>
          </w:tcPr>
          <w:p w14:paraId="5468B555"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10</w:t>
            </w:r>
          </w:p>
        </w:tc>
      </w:tr>
      <w:tr w:rsidR="00FB270A" w:rsidRPr="0003124D" w14:paraId="5E4DCC61" w14:textId="77777777" w:rsidTr="00E20111">
        <w:trPr>
          <w:trHeight w:val="48"/>
        </w:trPr>
        <w:tc>
          <w:tcPr>
            <w:tcW w:w="1666" w:type="dxa"/>
            <w:vMerge/>
            <w:tcBorders>
              <w:left w:val="single" w:sz="5" w:space="0" w:color="000000"/>
              <w:bottom w:val="single" w:sz="5" w:space="0" w:color="000000"/>
              <w:right w:val="single" w:sz="5" w:space="0" w:color="000000"/>
            </w:tcBorders>
          </w:tcPr>
          <w:p w14:paraId="624674B5"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43F82E27"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20d</w:t>
            </w:r>
          </w:p>
        </w:tc>
        <w:tc>
          <w:tcPr>
            <w:tcW w:w="11555" w:type="dxa"/>
            <w:tcBorders>
              <w:top w:val="single" w:sz="5" w:space="0" w:color="000000"/>
              <w:left w:val="single" w:sz="5" w:space="0" w:color="000000"/>
              <w:bottom w:val="single" w:sz="5" w:space="0" w:color="000000"/>
              <w:right w:val="single" w:sz="5" w:space="0" w:color="000000"/>
            </w:tcBorders>
          </w:tcPr>
          <w:p w14:paraId="230F6550"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Present results of all sensitivity analyses conducted to assess the robustness of the synthesized results.</w:t>
            </w:r>
          </w:p>
        </w:tc>
        <w:tc>
          <w:tcPr>
            <w:tcW w:w="252" w:type="dxa"/>
            <w:tcBorders>
              <w:top w:val="single" w:sz="5" w:space="0" w:color="000000"/>
              <w:left w:val="single" w:sz="5" w:space="0" w:color="000000"/>
              <w:bottom w:val="single" w:sz="5" w:space="0" w:color="000000"/>
              <w:right w:val="single" w:sz="5" w:space="0" w:color="000000"/>
            </w:tcBorders>
          </w:tcPr>
          <w:p w14:paraId="20AE6B0E"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NA</w:t>
            </w:r>
          </w:p>
        </w:tc>
      </w:tr>
      <w:tr w:rsidR="00FB270A" w:rsidRPr="0003124D" w14:paraId="40180257"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69A68C56"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Reporting biases</w:t>
            </w:r>
          </w:p>
        </w:tc>
        <w:tc>
          <w:tcPr>
            <w:tcW w:w="696" w:type="dxa"/>
            <w:tcBorders>
              <w:top w:val="single" w:sz="5" w:space="0" w:color="000000"/>
              <w:left w:val="single" w:sz="5" w:space="0" w:color="000000"/>
              <w:bottom w:val="single" w:sz="5" w:space="0" w:color="000000"/>
              <w:right w:val="single" w:sz="5" w:space="0" w:color="000000"/>
            </w:tcBorders>
          </w:tcPr>
          <w:p w14:paraId="3562BD0C"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21</w:t>
            </w:r>
          </w:p>
        </w:tc>
        <w:tc>
          <w:tcPr>
            <w:tcW w:w="11555" w:type="dxa"/>
            <w:tcBorders>
              <w:top w:val="single" w:sz="5" w:space="0" w:color="000000"/>
              <w:left w:val="single" w:sz="5" w:space="0" w:color="000000"/>
              <w:bottom w:val="single" w:sz="5" w:space="0" w:color="000000"/>
              <w:right w:val="single" w:sz="5" w:space="0" w:color="000000"/>
            </w:tcBorders>
          </w:tcPr>
          <w:p w14:paraId="27FB4E3A"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Present assessments of risk of bias due to missing results (arising from reporting biases) for each synthesis assessed.</w:t>
            </w:r>
          </w:p>
        </w:tc>
        <w:tc>
          <w:tcPr>
            <w:tcW w:w="252" w:type="dxa"/>
            <w:tcBorders>
              <w:top w:val="single" w:sz="5" w:space="0" w:color="000000"/>
              <w:left w:val="single" w:sz="5" w:space="0" w:color="000000"/>
              <w:bottom w:val="single" w:sz="5" w:space="0" w:color="000000"/>
              <w:right w:val="single" w:sz="5" w:space="0" w:color="000000"/>
            </w:tcBorders>
          </w:tcPr>
          <w:p w14:paraId="6EF4CAE1"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16</w:t>
            </w:r>
          </w:p>
        </w:tc>
      </w:tr>
      <w:tr w:rsidR="00FB270A" w:rsidRPr="0003124D" w14:paraId="003F7560"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741E8CF5"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Certainty of evidence </w:t>
            </w:r>
          </w:p>
        </w:tc>
        <w:tc>
          <w:tcPr>
            <w:tcW w:w="696" w:type="dxa"/>
            <w:tcBorders>
              <w:top w:val="single" w:sz="5" w:space="0" w:color="000000"/>
              <w:left w:val="single" w:sz="5" w:space="0" w:color="000000"/>
              <w:bottom w:val="single" w:sz="5" w:space="0" w:color="000000"/>
              <w:right w:val="single" w:sz="5" w:space="0" w:color="000000"/>
            </w:tcBorders>
          </w:tcPr>
          <w:p w14:paraId="53128C89"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22</w:t>
            </w:r>
          </w:p>
        </w:tc>
        <w:tc>
          <w:tcPr>
            <w:tcW w:w="11555" w:type="dxa"/>
            <w:tcBorders>
              <w:top w:val="single" w:sz="5" w:space="0" w:color="000000"/>
              <w:left w:val="single" w:sz="5" w:space="0" w:color="000000"/>
              <w:bottom w:val="single" w:sz="5" w:space="0" w:color="000000"/>
              <w:right w:val="single" w:sz="5" w:space="0" w:color="000000"/>
            </w:tcBorders>
          </w:tcPr>
          <w:p w14:paraId="09A65597"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Present assessments of certainty (or confidence) in the body of evidence for each outcome assessed.</w:t>
            </w:r>
          </w:p>
        </w:tc>
        <w:tc>
          <w:tcPr>
            <w:tcW w:w="252" w:type="dxa"/>
            <w:tcBorders>
              <w:top w:val="single" w:sz="5" w:space="0" w:color="000000"/>
              <w:left w:val="single" w:sz="5" w:space="0" w:color="000000"/>
              <w:bottom w:val="single" w:sz="5" w:space="0" w:color="000000"/>
              <w:right w:val="single" w:sz="5" w:space="0" w:color="000000"/>
            </w:tcBorders>
          </w:tcPr>
          <w:p w14:paraId="4D2E31F5"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NA</w:t>
            </w:r>
          </w:p>
        </w:tc>
      </w:tr>
      <w:tr w:rsidR="00FB270A" w:rsidRPr="0003124D" w14:paraId="5D5D3EDF" w14:textId="77777777" w:rsidTr="00E20111">
        <w:trPr>
          <w:trHeight w:val="24"/>
        </w:trPr>
        <w:tc>
          <w:tcPr>
            <w:tcW w:w="1391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D869089"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b/>
                <w:bCs/>
                <w:color w:val="000000" w:themeColor="text1"/>
              </w:rPr>
              <w:t xml:space="preserve">DISCUSSION </w:t>
            </w:r>
          </w:p>
        </w:tc>
        <w:tc>
          <w:tcPr>
            <w:tcW w:w="252" w:type="dxa"/>
            <w:tcBorders>
              <w:top w:val="double" w:sz="5" w:space="0" w:color="000000"/>
              <w:left w:val="single" w:sz="5" w:space="0" w:color="000000"/>
              <w:bottom w:val="single" w:sz="5" w:space="0" w:color="000000"/>
              <w:right w:val="single" w:sz="5" w:space="0" w:color="000000"/>
            </w:tcBorders>
            <w:shd w:val="clear" w:color="auto" w:fill="FFFFCC"/>
          </w:tcPr>
          <w:p w14:paraId="4E639523" w14:textId="77777777" w:rsidR="00FB270A" w:rsidRPr="0003124D" w:rsidRDefault="00FB270A" w:rsidP="00E20111">
            <w:pPr>
              <w:pStyle w:val="Default"/>
              <w:contextualSpacing/>
              <w:jc w:val="center"/>
              <w:rPr>
                <w:rFonts w:ascii="Times New Roman" w:hAnsi="Times New Roman" w:cs="Times New Roman"/>
                <w:color w:val="000000" w:themeColor="text1"/>
              </w:rPr>
            </w:pPr>
            <w:r w:rsidRPr="0003124D">
              <w:rPr>
                <w:rFonts w:ascii="Times New Roman" w:hAnsi="Times New Roman" w:cs="Times New Roman"/>
                <w:color w:val="000000" w:themeColor="text1"/>
              </w:rPr>
              <w:t>17</w:t>
            </w:r>
          </w:p>
        </w:tc>
      </w:tr>
      <w:tr w:rsidR="00FB270A" w:rsidRPr="0003124D" w14:paraId="03CF13D4" w14:textId="77777777" w:rsidTr="00E20111">
        <w:trPr>
          <w:trHeight w:val="48"/>
        </w:trPr>
        <w:tc>
          <w:tcPr>
            <w:tcW w:w="1666" w:type="dxa"/>
            <w:vMerge w:val="restart"/>
            <w:tcBorders>
              <w:top w:val="single" w:sz="5" w:space="0" w:color="000000"/>
              <w:left w:val="single" w:sz="5" w:space="0" w:color="000000"/>
              <w:right w:val="single" w:sz="5" w:space="0" w:color="000000"/>
            </w:tcBorders>
          </w:tcPr>
          <w:p w14:paraId="5D41E513"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 xml:space="preserve">Discussion </w:t>
            </w:r>
          </w:p>
        </w:tc>
        <w:tc>
          <w:tcPr>
            <w:tcW w:w="696" w:type="dxa"/>
            <w:tcBorders>
              <w:top w:val="single" w:sz="5" w:space="0" w:color="000000"/>
              <w:left w:val="single" w:sz="5" w:space="0" w:color="000000"/>
              <w:bottom w:val="single" w:sz="5" w:space="0" w:color="000000"/>
              <w:right w:val="single" w:sz="5" w:space="0" w:color="000000"/>
            </w:tcBorders>
          </w:tcPr>
          <w:p w14:paraId="43FDF19A"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23a</w:t>
            </w:r>
          </w:p>
        </w:tc>
        <w:tc>
          <w:tcPr>
            <w:tcW w:w="11555" w:type="dxa"/>
            <w:tcBorders>
              <w:top w:val="single" w:sz="5" w:space="0" w:color="000000"/>
              <w:left w:val="single" w:sz="5" w:space="0" w:color="000000"/>
              <w:bottom w:val="single" w:sz="5" w:space="0" w:color="000000"/>
              <w:right w:val="single" w:sz="5" w:space="0" w:color="000000"/>
            </w:tcBorders>
          </w:tcPr>
          <w:p w14:paraId="002A89C6"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Provide a general interpretation of the results in the context of other evidence.</w:t>
            </w:r>
          </w:p>
        </w:tc>
        <w:tc>
          <w:tcPr>
            <w:tcW w:w="252" w:type="dxa"/>
            <w:tcBorders>
              <w:top w:val="single" w:sz="5" w:space="0" w:color="000000"/>
              <w:left w:val="single" w:sz="5" w:space="0" w:color="000000"/>
              <w:bottom w:val="single" w:sz="5" w:space="0" w:color="000000"/>
              <w:right w:val="single" w:sz="5" w:space="0" w:color="000000"/>
            </w:tcBorders>
          </w:tcPr>
          <w:p w14:paraId="7AF428D3"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17</w:t>
            </w:r>
          </w:p>
        </w:tc>
      </w:tr>
      <w:tr w:rsidR="00FB270A" w:rsidRPr="0003124D" w14:paraId="3251BDBB" w14:textId="77777777" w:rsidTr="00E20111">
        <w:trPr>
          <w:trHeight w:val="48"/>
        </w:trPr>
        <w:tc>
          <w:tcPr>
            <w:tcW w:w="1666" w:type="dxa"/>
            <w:vMerge/>
            <w:tcBorders>
              <w:left w:val="single" w:sz="5" w:space="0" w:color="000000"/>
              <w:right w:val="single" w:sz="5" w:space="0" w:color="000000"/>
            </w:tcBorders>
          </w:tcPr>
          <w:p w14:paraId="3A38608B"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1FDC74A3"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23b</w:t>
            </w:r>
          </w:p>
        </w:tc>
        <w:tc>
          <w:tcPr>
            <w:tcW w:w="11555" w:type="dxa"/>
            <w:tcBorders>
              <w:top w:val="single" w:sz="5" w:space="0" w:color="000000"/>
              <w:left w:val="single" w:sz="5" w:space="0" w:color="000000"/>
              <w:bottom w:val="single" w:sz="5" w:space="0" w:color="000000"/>
              <w:right w:val="single" w:sz="5" w:space="0" w:color="000000"/>
            </w:tcBorders>
          </w:tcPr>
          <w:p w14:paraId="67735745"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Discuss any limitations of the evidence included in the review.</w:t>
            </w:r>
          </w:p>
        </w:tc>
        <w:tc>
          <w:tcPr>
            <w:tcW w:w="252" w:type="dxa"/>
            <w:tcBorders>
              <w:top w:val="single" w:sz="5" w:space="0" w:color="000000"/>
              <w:left w:val="single" w:sz="5" w:space="0" w:color="000000"/>
              <w:bottom w:val="single" w:sz="5" w:space="0" w:color="000000"/>
              <w:right w:val="single" w:sz="5" w:space="0" w:color="000000"/>
            </w:tcBorders>
          </w:tcPr>
          <w:p w14:paraId="4EE7EBE6"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21</w:t>
            </w:r>
          </w:p>
        </w:tc>
      </w:tr>
      <w:tr w:rsidR="00FB270A" w:rsidRPr="0003124D" w14:paraId="5146F3DB" w14:textId="77777777" w:rsidTr="00E20111">
        <w:trPr>
          <w:trHeight w:val="48"/>
        </w:trPr>
        <w:tc>
          <w:tcPr>
            <w:tcW w:w="1666" w:type="dxa"/>
            <w:vMerge/>
            <w:tcBorders>
              <w:left w:val="single" w:sz="5" w:space="0" w:color="000000"/>
              <w:right w:val="single" w:sz="5" w:space="0" w:color="000000"/>
            </w:tcBorders>
          </w:tcPr>
          <w:p w14:paraId="04E88D59"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4" w:space="0" w:color="auto"/>
              <w:right w:val="single" w:sz="5" w:space="0" w:color="000000"/>
            </w:tcBorders>
          </w:tcPr>
          <w:p w14:paraId="68833DB6"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23c</w:t>
            </w:r>
          </w:p>
        </w:tc>
        <w:tc>
          <w:tcPr>
            <w:tcW w:w="11555" w:type="dxa"/>
            <w:tcBorders>
              <w:top w:val="single" w:sz="5" w:space="0" w:color="000000"/>
              <w:left w:val="single" w:sz="5" w:space="0" w:color="000000"/>
              <w:bottom w:val="single" w:sz="5" w:space="0" w:color="000000"/>
              <w:right w:val="single" w:sz="5" w:space="0" w:color="000000"/>
            </w:tcBorders>
          </w:tcPr>
          <w:p w14:paraId="0DE359AB"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Discuss any limitations of the review processes used.</w:t>
            </w:r>
          </w:p>
        </w:tc>
        <w:tc>
          <w:tcPr>
            <w:tcW w:w="252" w:type="dxa"/>
            <w:tcBorders>
              <w:top w:val="single" w:sz="5" w:space="0" w:color="000000"/>
              <w:left w:val="single" w:sz="5" w:space="0" w:color="000000"/>
              <w:bottom w:val="single" w:sz="5" w:space="0" w:color="000000"/>
              <w:right w:val="single" w:sz="5" w:space="0" w:color="000000"/>
            </w:tcBorders>
          </w:tcPr>
          <w:p w14:paraId="65F3B3D6"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21</w:t>
            </w:r>
          </w:p>
        </w:tc>
      </w:tr>
      <w:tr w:rsidR="00FB270A" w:rsidRPr="0003124D" w14:paraId="3B40665B" w14:textId="77777777" w:rsidTr="00E20111">
        <w:trPr>
          <w:trHeight w:val="48"/>
        </w:trPr>
        <w:tc>
          <w:tcPr>
            <w:tcW w:w="1666" w:type="dxa"/>
            <w:vMerge/>
            <w:tcBorders>
              <w:left w:val="single" w:sz="5" w:space="0" w:color="000000"/>
              <w:bottom w:val="single" w:sz="4" w:space="0" w:color="auto"/>
              <w:right w:val="single" w:sz="5" w:space="0" w:color="000000"/>
            </w:tcBorders>
          </w:tcPr>
          <w:p w14:paraId="2A05ED9B"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4" w:space="0" w:color="auto"/>
              <w:left w:val="single" w:sz="5" w:space="0" w:color="000000"/>
              <w:bottom w:val="single" w:sz="4" w:space="0" w:color="auto"/>
              <w:right w:val="single" w:sz="4" w:space="0" w:color="auto"/>
            </w:tcBorders>
          </w:tcPr>
          <w:p w14:paraId="40790D01"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23d</w:t>
            </w:r>
          </w:p>
        </w:tc>
        <w:tc>
          <w:tcPr>
            <w:tcW w:w="11555" w:type="dxa"/>
            <w:tcBorders>
              <w:top w:val="single" w:sz="5" w:space="0" w:color="000000"/>
              <w:left w:val="single" w:sz="4" w:space="0" w:color="auto"/>
              <w:bottom w:val="double" w:sz="5" w:space="0" w:color="000000"/>
              <w:right w:val="single" w:sz="5" w:space="0" w:color="000000"/>
            </w:tcBorders>
          </w:tcPr>
          <w:p w14:paraId="7EF4B3F4"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Discuss implications of the results for practice, policy, and future research.</w:t>
            </w:r>
          </w:p>
        </w:tc>
        <w:tc>
          <w:tcPr>
            <w:tcW w:w="252" w:type="dxa"/>
            <w:tcBorders>
              <w:top w:val="single" w:sz="5" w:space="0" w:color="000000"/>
              <w:left w:val="single" w:sz="5" w:space="0" w:color="000000"/>
              <w:bottom w:val="double" w:sz="5" w:space="0" w:color="000000"/>
              <w:right w:val="single" w:sz="5" w:space="0" w:color="000000"/>
            </w:tcBorders>
          </w:tcPr>
          <w:p w14:paraId="0CA89A9E"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21</w:t>
            </w:r>
          </w:p>
        </w:tc>
      </w:tr>
      <w:tr w:rsidR="00FB270A" w:rsidRPr="0003124D" w14:paraId="674F4EB1" w14:textId="77777777" w:rsidTr="00E20111">
        <w:trPr>
          <w:trHeight w:val="24"/>
        </w:trPr>
        <w:tc>
          <w:tcPr>
            <w:tcW w:w="1391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0A38B6C"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b/>
                <w:bCs/>
                <w:color w:val="000000" w:themeColor="text1"/>
              </w:rPr>
              <w:t>OTHER INFORMATION</w:t>
            </w:r>
          </w:p>
        </w:tc>
        <w:tc>
          <w:tcPr>
            <w:tcW w:w="252" w:type="dxa"/>
            <w:tcBorders>
              <w:top w:val="double" w:sz="5" w:space="0" w:color="000000"/>
              <w:left w:val="single" w:sz="5" w:space="0" w:color="000000"/>
              <w:bottom w:val="single" w:sz="5" w:space="0" w:color="000000"/>
              <w:right w:val="single" w:sz="5" w:space="0" w:color="000000"/>
            </w:tcBorders>
            <w:shd w:val="clear" w:color="auto" w:fill="FFFFCC"/>
          </w:tcPr>
          <w:p w14:paraId="0D288A53" w14:textId="77777777" w:rsidR="00FB270A" w:rsidRPr="0003124D" w:rsidRDefault="00FB270A" w:rsidP="00E20111">
            <w:pPr>
              <w:pStyle w:val="Default"/>
              <w:contextualSpacing/>
              <w:jc w:val="center"/>
              <w:rPr>
                <w:rFonts w:ascii="Times New Roman" w:hAnsi="Times New Roman" w:cs="Times New Roman"/>
                <w:color w:val="000000" w:themeColor="text1"/>
              </w:rPr>
            </w:pPr>
          </w:p>
        </w:tc>
      </w:tr>
      <w:tr w:rsidR="00FB270A" w:rsidRPr="0003124D" w14:paraId="25A546BD" w14:textId="77777777" w:rsidTr="00E20111">
        <w:trPr>
          <w:trHeight w:val="48"/>
        </w:trPr>
        <w:tc>
          <w:tcPr>
            <w:tcW w:w="1666" w:type="dxa"/>
            <w:vMerge w:val="restart"/>
            <w:tcBorders>
              <w:top w:val="single" w:sz="5" w:space="0" w:color="000000"/>
              <w:left w:val="single" w:sz="5" w:space="0" w:color="000000"/>
              <w:right w:val="single" w:sz="5" w:space="0" w:color="000000"/>
            </w:tcBorders>
          </w:tcPr>
          <w:p w14:paraId="688AD382"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Registration and protocol</w:t>
            </w:r>
          </w:p>
        </w:tc>
        <w:tc>
          <w:tcPr>
            <w:tcW w:w="696" w:type="dxa"/>
            <w:tcBorders>
              <w:top w:val="single" w:sz="5" w:space="0" w:color="000000"/>
              <w:left w:val="single" w:sz="5" w:space="0" w:color="000000"/>
              <w:bottom w:val="single" w:sz="5" w:space="0" w:color="000000"/>
              <w:right w:val="single" w:sz="5" w:space="0" w:color="000000"/>
            </w:tcBorders>
          </w:tcPr>
          <w:p w14:paraId="30E1220E"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24a</w:t>
            </w:r>
          </w:p>
        </w:tc>
        <w:tc>
          <w:tcPr>
            <w:tcW w:w="11555" w:type="dxa"/>
            <w:tcBorders>
              <w:top w:val="single" w:sz="5" w:space="0" w:color="000000"/>
              <w:left w:val="single" w:sz="5" w:space="0" w:color="000000"/>
              <w:bottom w:val="single" w:sz="5" w:space="0" w:color="000000"/>
              <w:right w:val="single" w:sz="5" w:space="0" w:color="000000"/>
            </w:tcBorders>
          </w:tcPr>
          <w:p w14:paraId="47E44847"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Provide registration information for the review, including register name and registration number, or state that the review was not registered.</w:t>
            </w:r>
          </w:p>
        </w:tc>
        <w:tc>
          <w:tcPr>
            <w:tcW w:w="252" w:type="dxa"/>
            <w:tcBorders>
              <w:top w:val="single" w:sz="5" w:space="0" w:color="000000"/>
              <w:left w:val="single" w:sz="5" w:space="0" w:color="000000"/>
              <w:bottom w:val="single" w:sz="5" w:space="0" w:color="000000"/>
              <w:right w:val="single" w:sz="5" w:space="0" w:color="000000"/>
            </w:tcBorders>
          </w:tcPr>
          <w:p w14:paraId="1BB5B9CA"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3</w:t>
            </w:r>
          </w:p>
        </w:tc>
      </w:tr>
      <w:tr w:rsidR="00FB270A" w:rsidRPr="0003124D" w14:paraId="711BBE9D" w14:textId="77777777" w:rsidTr="00E20111">
        <w:trPr>
          <w:trHeight w:val="57"/>
        </w:trPr>
        <w:tc>
          <w:tcPr>
            <w:tcW w:w="1666" w:type="dxa"/>
            <w:vMerge/>
            <w:tcBorders>
              <w:left w:val="single" w:sz="5" w:space="0" w:color="000000"/>
              <w:right w:val="single" w:sz="5" w:space="0" w:color="000000"/>
            </w:tcBorders>
          </w:tcPr>
          <w:p w14:paraId="509777A8"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5DD64E4F"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24b</w:t>
            </w:r>
          </w:p>
        </w:tc>
        <w:tc>
          <w:tcPr>
            <w:tcW w:w="11555" w:type="dxa"/>
            <w:tcBorders>
              <w:top w:val="single" w:sz="5" w:space="0" w:color="000000"/>
              <w:left w:val="single" w:sz="5" w:space="0" w:color="000000"/>
              <w:bottom w:val="single" w:sz="5" w:space="0" w:color="000000"/>
              <w:right w:val="single" w:sz="5" w:space="0" w:color="000000"/>
            </w:tcBorders>
          </w:tcPr>
          <w:p w14:paraId="01870438"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Indicate where the review protocol can be accessed, or state that a protocol was not prepared.</w:t>
            </w:r>
          </w:p>
        </w:tc>
        <w:tc>
          <w:tcPr>
            <w:tcW w:w="252" w:type="dxa"/>
            <w:tcBorders>
              <w:top w:val="single" w:sz="5" w:space="0" w:color="000000"/>
              <w:left w:val="single" w:sz="5" w:space="0" w:color="000000"/>
              <w:bottom w:val="single" w:sz="5" w:space="0" w:color="000000"/>
              <w:right w:val="single" w:sz="5" w:space="0" w:color="000000"/>
            </w:tcBorders>
          </w:tcPr>
          <w:p w14:paraId="33B991D1"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3</w:t>
            </w:r>
          </w:p>
        </w:tc>
      </w:tr>
      <w:tr w:rsidR="00FB270A" w:rsidRPr="0003124D" w14:paraId="2B85F78E" w14:textId="77777777" w:rsidTr="00E20111">
        <w:trPr>
          <w:trHeight w:val="48"/>
        </w:trPr>
        <w:tc>
          <w:tcPr>
            <w:tcW w:w="1666" w:type="dxa"/>
            <w:vMerge/>
            <w:tcBorders>
              <w:left w:val="single" w:sz="5" w:space="0" w:color="000000"/>
              <w:bottom w:val="single" w:sz="5" w:space="0" w:color="000000"/>
              <w:right w:val="single" w:sz="5" w:space="0" w:color="000000"/>
            </w:tcBorders>
          </w:tcPr>
          <w:p w14:paraId="506C8183" w14:textId="77777777" w:rsidR="00FB270A" w:rsidRPr="0003124D" w:rsidRDefault="00FB270A" w:rsidP="00E20111">
            <w:pPr>
              <w:pStyle w:val="Default"/>
              <w:contextualSpacing/>
              <w:rPr>
                <w:rFonts w:ascii="Times New Roman" w:hAnsi="Times New Roman" w:cs="Times New Roman"/>
                <w:color w:val="000000" w:themeColor="text1"/>
              </w:rPr>
            </w:pPr>
          </w:p>
        </w:tc>
        <w:tc>
          <w:tcPr>
            <w:tcW w:w="696" w:type="dxa"/>
            <w:tcBorders>
              <w:top w:val="single" w:sz="5" w:space="0" w:color="000000"/>
              <w:left w:val="single" w:sz="5" w:space="0" w:color="000000"/>
              <w:bottom w:val="single" w:sz="5" w:space="0" w:color="000000"/>
              <w:right w:val="single" w:sz="5" w:space="0" w:color="000000"/>
            </w:tcBorders>
          </w:tcPr>
          <w:p w14:paraId="6DB1532E"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24c</w:t>
            </w:r>
          </w:p>
        </w:tc>
        <w:tc>
          <w:tcPr>
            <w:tcW w:w="11555" w:type="dxa"/>
            <w:tcBorders>
              <w:top w:val="single" w:sz="5" w:space="0" w:color="000000"/>
              <w:left w:val="single" w:sz="5" w:space="0" w:color="000000"/>
              <w:bottom w:val="single" w:sz="5" w:space="0" w:color="000000"/>
              <w:right w:val="single" w:sz="5" w:space="0" w:color="000000"/>
            </w:tcBorders>
          </w:tcPr>
          <w:p w14:paraId="46D10EAF"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Describe and explain any amendments to information provided at registration or in the protocol.</w:t>
            </w:r>
          </w:p>
        </w:tc>
        <w:tc>
          <w:tcPr>
            <w:tcW w:w="252" w:type="dxa"/>
            <w:tcBorders>
              <w:top w:val="single" w:sz="5" w:space="0" w:color="000000"/>
              <w:left w:val="single" w:sz="5" w:space="0" w:color="000000"/>
              <w:bottom w:val="single" w:sz="5" w:space="0" w:color="000000"/>
              <w:right w:val="single" w:sz="5" w:space="0" w:color="000000"/>
            </w:tcBorders>
          </w:tcPr>
          <w:p w14:paraId="5D2D3CE5"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NA</w:t>
            </w:r>
          </w:p>
        </w:tc>
      </w:tr>
      <w:tr w:rsidR="00FB270A" w:rsidRPr="0003124D" w14:paraId="74075BE7"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4D76DEAC"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Support</w:t>
            </w:r>
          </w:p>
        </w:tc>
        <w:tc>
          <w:tcPr>
            <w:tcW w:w="696" w:type="dxa"/>
            <w:tcBorders>
              <w:top w:val="single" w:sz="5" w:space="0" w:color="000000"/>
              <w:left w:val="single" w:sz="5" w:space="0" w:color="000000"/>
              <w:bottom w:val="single" w:sz="5" w:space="0" w:color="000000"/>
              <w:right w:val="single" w:sz="5" w:space="0" w:color="000000"/>
            </w:tcBorders>
          </w:tcPr>
          <w:p w14:paraId="64494F63"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25</w:t>
            </w:r>
          </w:p>
        </w:tc>
        <w:tc>
          <w:tcPr>
            <w:tcW w:w="11555" w:type="dxa"/>
            <w:tcBorders>
              <w:top w:val="single" w:sz="5" w:space="0" w:color="000000"/>
              <w:left w:val="single" w:sz="5" w:space="0" w:color="000000"/>
              <w:bottom w:val="single" w:sz="5" w:space="0" w:color="000000"/>
              <w:right w:val="single" w:sz="5" w:space="0" w:color="000000"/>
            </w:tcBorders>
          </w:tcPr>
          <w:p w14:paraId="6B77802C"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Describe sources of financial or non-financial support for the review, and the role of the funders or sponsors in the review.</w:t>
            </w:r>
          </w:p>
        </w:tc>
        <w:tc>
          <w:tcPr>
            <w:tcW w:w="252" w:type="dxa"/>
            <w:tcBorders>
              <w:top w:val="single" w:sz="5" w:space="0" w:color="000000"/>
              <w:left w:val="single" w:sz="5" w:space="0" w:color="000000"/>
              <w:bottom w:val="single" w:sz="5" w:space="0" w:color="000000"/>
              <w:right w:val="single" w:sz="5" w:space="0" w:color="000000"/>
            </w:tcBorders>
          </w:tcPr>
          <w:p w14:paraId="627D17CF"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22</w:t>
            </w:r>
          </w:p>
        </w:tc>
      </w:tr>
      <w:tr w:rsidR="00FB270A" w:rsidRPr="0003124D" w14:paraId="6EA48A1E" w14:textId="77777777" w:rsidTr="00E20111">
        <w:trPr>
          <w:trHeight w:val="48"/>
        </w:trPr>
        <w:tc>
          <w:tcPr>
            <w:tcW w:w="1666" w:type="dxa"/>
            <w:tcBorders>
              <w:top w:val="single" w:sz="5" w:space="0" w:color="000000"/>
              <w:left w:val="single" w:sz="5" w:space="0" w:color="000000"/>
              <w:bottom w:val="single" w:sz="5" w:space="0" w:color="000000"/>
              <w:right w:val="single" w:sz="5" w:space="0" w:color="000000"/>
            </w:tcBorders>
          </w:tcPr>
          <w:p w14:paraId="595DA8D9"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lastRenderedPageBreak/>
              <w:t>Competing interests</w:t>
            </w:r>
          </w:p>
        </w:tc>
        <w:tc>
          <w:tcPr>
            <w:tcW w:w="696" w:type="dxa"/>
            <w:tcBorders>
              <w:top w:val="single" w:sz="5" w:space="0" w:color="000000"/>
              <w:left w:val="single" w:sz="5" w:space="0" w:color="000000"/>
              <w:bottom w:val="single" w:sz="5" w:space="0" w:color="000000"/>
              <w:right w:val="single" w:sz="5" w:space="0" w:color="000000"/>
            </w:tcBorders>
          </w:tcPr>
          <w:p w14:paraId="79237774"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26</w:t>
            </w:r>
          </w:p>
        </w:tc>
        <w:tc>
          <w:tcPr>
            <w:tcW w:w="11555" w:type="dxa"/>
            <w:tcBorders>
              <w:top w:val="single" w:sz="5" w:space="0" w:color="000000"/>
              <w:left w:val="single" w:sz="5" w:space="0" w:color="000000"/>
              <w:bottom w:val="single" w:sz="5" w:space="0" w:color="000000"/>
              <w:right w:val="single" w:sz="5" w:space="0" w:color="000000"/>
            </w:tcBorders>
          </w:tcPr>
          <w:p w14:paraId="60AA8930"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Declare any competing interests of review authors.</w:t>
            </w:r>
          </w:p>
        </w:tc>
        <w:tc>
          <w:tcPr>
            <w:tcW w:w="252" w:type="dxa"/>
            <w:tcBorders>
              <w:top w:val="single" w:sz="5" w:space="0" w:color="000000"/>
              <w:left w:val="single" w:sz="5" w:space="0" w:color="000000"/>
              <w:bottom w:val="single" w:sz="5" w:space="0" w:color="000000"/>
              <w:right w:val="single" w:sz="5" w:space="0" w:color="000000"/>
            </w:tcBorders>
          </w:tcPr>
          <w:p w14:paraId="095DCD95"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22</w:t>
            </w:r>
          </w:p>
        </w:tc>
      </w:tr>
      <w:tr w:rsidR="00FB270A" w:rsidRPr="0003124D" w14:paraId="4C7A59D2" w14:textId="77777777" w:rsidTr="00E20111">
        <w:trPr>
          <w:trHeight w:val="219"/>
        </w:trPr>
        <w:tc>
          <w:tcPr>
            <w:tcW w:w="1666" w:type="dxa"/>
            <w:tcBorders>
              <w:top w:val="single" w:sz="5" w:space="0" w:color="000000"/>
              <w:left w:val="single" w:sz="5" w:space="0" w:color="000000"/>
              <w:bottom w:val="double" w:sz="5" w:space="0" w:color="000000"/>
              <w:right w:val="single" w:sz="5" w:space="0" w:color="000000"/>
            </w:tcBorders>
          </w:tcPr>
          <w:p w14:paraId="39539B8F"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Availability of data, code and other materials</w:t>
            </w:r>
          </w:p>
        </w:tc>
        <w:tc>
          <w:tcPr>
            <w:tcW w:w="696" w:type="dxa"/>
            <w:tcBorders>
              <w:top w:val="single" w:sz="5" w:space="0" w:color="000000"/>
              <w:left w:val="single" w:sz="5" w:space="0" w:color="000000"/>
              <w:bottom w:val="double" w:sz="5" w:space="0" w:color="000000"/>
              <w:right w:val="single" w:sz="5" w:space="0" w:color="000000"/>
            </w:tcBorders>
          </w:tcPr>
          <w:p w14:paraId="57837DC3" w14:textId="77777777" w:rsidR="00FB270A" w:rsidRPr="0003124D" w:rsidRDefault="00FB270A" w:rsidP="00E20111">
            <w:pPr>
              <w:pStyle w:val="Default"/>
              <w:contextualSpacing/>
              <w:jc w:val="right"/>
              <w:rPr>
                <w:rFonts w:ascii="Times New Roman" w:hAnsi="Times New Roman" w:cs="Times New Roman"/>
                <w:color w:val="000000" w:themeColor="text1"/>
              </w:rPr>
            </w:pPr>
            <w:r w:rsidRPr="0003124D">
              <w:rPr>
                <w:rFonts w:ascii="Times New Roman" w:hAnsi="Times New Roman" w:cs="Times New Roman"/>
                <w:color w:val="000000" w:themeColor="text1"/>
              </w:rPr>
              <w:t>27</w:t>
            </w:r>
          </w:p>
        </w:tc>
        <w:tc>
          <w:tcPr>
            <w:tcW w:w="11555" w:type="dxa"/>
            <w:tcBorders>
              <w:top w:val="single" w:sz="5" w:space="0" w:color="000000"/>
              <w:left w:val="single" w:sz="5" w:space="0" w:color="000000"/>
              <w:bottom w:val="double" w:sz="5" w:space="0" w:color="000000"/>
              <w:right w:val="single" w:sz="5" w:space="0" w:color="000000"/>
            </w:tcBorders>
          </w:tcPr>
          <w:p w14:paraId="6A7C803F"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Report which of the following are publicly available and where they can be found template data collection forms; data extracted from included studies; data used for all analyses; analytic code; any other materials used in the review.</w:t>
            </w:r>
          </w:p>
        </w:tc>
        <w:tc>
          <w:tcPr>
            <w:tcW w:w="252" w:type="dxa"/>
            <w:tcBorders>
              <w:top w:val="single" w:sz="5" w:space="0" w:color="000000"/>
              <w:left w:val="single" w:sz="5" w:space="0" w:color="000000"/>
              <w:bottom w:val="double" w:sz="5" w:space="0" w:color="000000"/>
              <w:right w:val="single" w:sz="5" w:space="0" w:color="000000"/>
            </w:tcBorders>
          </w:tcPr>
          <w:p w14:paraId="4550EBFE" w14:textId="77777777" w:rsidR="00FB270A" w:rsidRPr="0003124D" w:rsidRDefault="00FB270A" w:rsidP="00E20111">
            <w:pPr>
              <w:pStyle w:val="Default"/>
              <w:contextualSpacing/>
              <w:rPr>
                <w:rFonts w:ascii="Times New Roman" w:hAnsi="Times New Roman" w:cs="Times New Roman"/>
                <w:color w:val="000000" w:themeColor="text1"/>
              </w:rPr>
            </w:pPr>
            <w:r w:rsidRPr="0003124D">
              <w:rPr>
                <w:rFonts w:ascii="Times New Roman" w:hAnsi="Times New Roman" w:cs="Times New Roman"/>
                <w:color w:val="000000" w:themeColor="text1"/>
              </w:rPr>
              <w:t>3</w:t>
            </w:r>
          </w:p>
        </w:tc>
      </w:tr>
    </w:tbl>
    <w:bookmarkEnd w:id="3"/>
    <w:p w14:paraId="0CD4B25F" w14:textId="77777777" w:rsidR="00FB270A" w:rsidRPr="0003124D" w:rsidRDefault="00FB270A" w:rsidP="00FB270A">
      <w:pPr>
        <w:rPr>
          <w:rFonts w:cs="Times New Roman"/>
          <w:color w:val="000000" w:themeColor="text1"/>
          <w:lang w:eastAsia="en-AU"/>
        </w:rPr>
      </w:pPr>
      <w:r w:rsidRPr="0003124D">
        <w:rPr>
          <w:rFonts w:cs="Times New Roman"/>
          <w:color w:val="000000" w:themeColor="text1"/>
          <w:lang w:eastAsia="en-AU"/>
        </w:rPr>
        <w:br w:type="textWrapping" w:clear="all"/>
      </w:r>
    </w:p>
    <w:p w14:paraId="56CB9B43" w14:textId="77777777" w:rsidR="00FB270A" w:rsidRPr="0003124D" w:rsidRDefault="00FB270A" w:rsidP="00FB270A">
      <w:pPr>
        <w:spacing w:after="0" w:line="360" w:lineRule="auto"/>
        <w:contextualSpacing/>
        <w:jc w:val="both"/>
        <w:rPr>
          <w:rStyle w:val="fontstyle01"/>
          <w:rFonts w:ascii="Times New Roman" w:hAnsi="Times New Roman" w:cs="Times New Roman"/>
          <w:color w:val="000000" w:themeColor="text1"/>
        </w:rPr>
        <w:sectPr w:rsidR="00FB270A" w:rsidRPr="0003124D" w:rsidSect="00A64D0C">
          <w:pgSz w:w="16838" w:h="11906" w:orient="landscape"/>
          <w:pgMar w:top="1134" w:right="1247" w:bottom="1276" w:left="1134" w:header="709" w:footer="709" w:gutter="0"/>
          <w:cols w:space="708"/>
          <w:titlePg/>
          <w:docGrid w:linePitch="360"/>
        </w:sectPr>
      </w:pPr>
    </w:p>
    <w:p w14:paraId="5C102E62" w14:textId="77777777" w:rsidR="00FB270A" w:rsidRPr="0003124D" w:rsidRDefault="00FB270A" w:rsidP="00FB270A">
      <w:pPr>
        <w:spacing w:after="0" w:line="360" w:lineRule="auto"/>
        <w:contextualSpacing/>
        <w:jc w:val="both"/>
        <w:rPr>
          <w:rFonts w:cs="Times New Roman"/>
          <w:b/>
          <w:bCs/>
          <w:color w:val="000000" w:themeColor="text1"/>
          <w:szCs w:val="24"/>
        </w:rPr>
      </w:pPr>
      <w:r w:rsidRPr="0003124D">
        <w:rPr>
          <w:rStyle w:val="fontstyle01"/>
          <w:rFonts w:ascii="Times New Roman" w:hAnsi="Times New Roman" w:cs="Times New Roman"/>
          <w:color w:val="000000" w:themeColor="text1"/>
        </w:rPr>
        <w:lastRenderedPageBreak/>
        <w:t>Appendi</w:t>
      </w:r>
      <w:r>
        <w:rPr>
          <w:rStyle w:val="fontstyle01"/>
          <w:rFonts w:ascii="Times New Roman" w:hAnsi="Times New Roman" w:cs="Times New Roman"/>
          <w:color w:val="000000" w:themeColor="text1"/>
        </w:rPr>
        <w:t>x</w:t>
      </w:r>
      <w:r w:rsidRPr="0003124D">
        <w:rPr>
          <w:rFonts w:cs="Times New Roman"/>
          <w:color w:val="000000" w:themeColor="text1"/>
        </w:rPr>
        <w:t xml:space="preserve"> </w:t>
      </w:r>
      <w:r w:rsidRPr="0003124D">
        <w:rPr>
          <w:rFonts w:cs="Times New Roman"/>
          <w:b/>
          <w:bCs/>
          <w:color w:val="000000" w:themeColor="text1"/>
        </w:rPr>
        <w:t xml:space="preserve">2 </w:t>
      </w:r>
      <w:r w:rsidRPr="0003124D">
        <w:rPr>
          <w:rFonts w:cs="Times New Roman"/>
          <w:b/>
          <w:bCs/>
          <w:color w:val="000000" w:themeColor="text1"/>
          <w:szCs w:val="24"/>
        </w:rPr>
        <w:t xml:space="preserve">Search strategies </w:t>
      </w:r>
    </w:p>
    <w:p w14:paraId="73D045A8" w14:textId="77777777" w:rsidR="00FB270A" w:rsidRPr="0003124D" w:rsidRDefault="00FB270A" w:rsidP="00FB270A">
      <w:pPr>
        <w:spacing w:after="0" w:line="360" w:lineRule="auto"/>
        <w:contextualSpacing/>
        <w:jc w:val="both"/>
        <w:rPr>
          <w:rFonts w:cs="Times New Roman"/>
          <w:b/>
          <w:bCs/>
          <w:color w:val="000000" w:themeColor="text1"/>
        </w:rPr>
      </w:pPr>
      <w:r w:rsidRPr="0003124D">
        <w:rPr>
          <w:rFonts w:cs="Times New Roman"/>
          <w:b/>
          <w:bCs/>
          <w:color w:val="000000" w:themeColor="text1"/>
          <w:szCs w:val="24"/>
        </w:rPr>
        <w:t xml:space="preserve">2A. </w:t>
      </w:r>
      <w:r w:rsidRPr="0003124D">
        <w:rPr>
          <w:rFonts w:cs="Times New Roman"/>
          <w:color w:val="000000" w:themeColor="text1"/>
          <w:szCs w:val="24"/>
        </w:rPr>
        <w:t>Ovid-MEDLINE</w:t>
      </w:r>
    </w:p>
    <w:tbl>
      <w:tblPr>
        <w:tblStyle w:val="GridTable1Light"/>
        <w:tblW w:w="4851" w:type="pct"/>
        <w:tblLook w:val="04A0" w:firstRow="1" w:lastRow="0" w:firstColumn="1" w:lastColumn="0" w:noHBand="0" w:noVBand="1"/>
      </w:tblPr>
      <w:tblGrid>
        <w:gridCol w:w="570"/>
        <w:gridCol w:w="7749"/>
        <w:gridCol w:w="912"/>
      </w:tblGrid>
      <w:tr w:rsidR="00FB270A" w:rsidRPr="0003124D" w14:paraId="49EACE78" w14:textId="77777777" w:rsidTr="00E201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 w:type="pct"/>
            <w:hideMark/>
          </w:tcPr>
          <w:p w14:paraId="180D38FE" w14:textId="77777777" w:rsidR="00FB270A" w:rsidRPr="0003124D" w:rsidRDefault="00FB270A" w:rsidP="00E20111">
            <w:pPr>
              <w:spacing w:line="360" w:lineRule="auto"/>
              <w:contextualSpacing/>
              <w:jc w:val="both"/>
              <w:rPr>
                <w:rFonts w:eastAsia="Times New Roman" w:cs="Times New Roman"/>
                <w:b w:val="0"/>
                <w:bCs w:val="0"/>
                <w:color w:val="000000" w:themeColor="text1"/>
                <w:sz w:val="20"/>
                <w:szCs w:val="20"/>
                <w:lang w:eastAsia="en-AU"/>
              </w:rPr>
            </w:pPr>
            <w:r w:rsidRPr="0003124D">
              <w:rPr>
                <w:rFonts w:eastAsia="Times New Roman" w:cs="Times New Roman"/>
                <w:color w:val="000000" w:themeColor="text1"/>
                <w:sz w:val="20"/>
                <w:szCs w:val="20"/>
                <w:lang w:eastAsia="en-AU"/>
              </w:rPr>
              <w:t>#</w:t>
            </w:r>
          </w:p>
        </w:tc>
        <w:tc>
          <w:tcPr>
            <w:tcW w:w="4197" w:type="pct"/>
            <w:hideMark/>
          </w:tcPr>
          <w:p w14:paraId="4E501E99" w14:textId="77777777" w:rsidR="00FB270A" w:rsidRPr="0003124D" w:rsidRDefault="00FB270A" w:rsidP="00E20111">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color w:val="000000" w:themeColor="text1"/>
                <w:sz w:val="20"/>
                <w:szCs w:val="20"/>
                <w:lang w:eastAsia="en-AU"/>
              </w:rPr>
            </w:pPr>
            <w:r w:rsidRPr="0003124D">
              <w:rPr>
                <w:rFonts w:eastAsia="Times New Roman" w:cs="Times New Roman"/>
                <w:color w:val="000000" w:themeColor="text1"/>
                <w:sz w:val="20"/>
                <w:szCs w:val="20"/>
                <w:lang w:eastAsia="en-AU"/>
              </w:rPr>
              <w:t>Searches</w:t>
            </w:r>
          </w:p>
        </w:tc>
        <w:tc>
          <w:tcPr>
            <w:tcW w:w="494" w:type="pct"/>
            <w:hideMark/>
          </w:tcPr>
          <w:p w14:paraId="72B2A181" w14:textId="77777777" w:rsidR="00FB270A" w:rsidRPr="0003124D" w:rsidRDefault="00FB270A" w:rsidP="00E20111">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color w:val="000000" w:themeColor="text1"/>
                <w:sz w:val="20"/>
                <w:szCs w:val="20"/>
                <w:lang w:eastAsia="en-AU"/>
              </w:rPr>
            </w:pPr>
            <w:r w:rsidRPr="0003124D">
              <w:rPr>
                <w:rFonts w:eastAsia="Times New Roman" w:cs="Times New Roman"/>
                <w:color w:val="000000" w:themeColor="text1"/>
                <w:sz w:val="20"/>
                <w:szCs w:val="20"/>
                <w:lang w:eastAsia="en-AU"/>
              </w:rPr>
              <w:t>Results</w:t>
            </w:r>
          </w:p>
        </w:tc>
      </w:tr>
      <w:tr w:rsidR="00FB270A" w:rsidRPr="0003124D" w14:paraId="1B529412" w14:textId="77777777" w:rsidTr="00E20111">
        <w:tc>
          <w:tcPr>
            <w:cnfStyle w:val="001000000000" w:firstRow="0" w:lastRow="0" w:firstColumn="1" w:lastColumn="0" w:oddVBand="0" w:evenVBand="0" w:oddHBand="0" w:evenHBand="0" w:firstRowFirstColumn="0" w:firstRowLastColumn="0" w:lastRowFirstColumn="0" w:lastRowLastColumn="0"/>
            <w:tcW w:w="309" w:type="pct"/>
            <w:hideMark/>
          </w:tcPr>
          <w:p w14:paraId="4FFFAE21" w14:textId="77777777" w:rsidR="00FB270A" w:rsidRPr="0003124D" w:rsidRDefault="00FB270A" w:rsidP="00E20111">
            <w:pPr>
              <w:spacing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1</w:t>
            </w:r>
          </w:p>
        </w:tc>
        <w:tc>
          <w:tcPr>
            <w:tcW w:w="4197" w:type="pct"/>
            <w:hideMark/>
          </w:tcPr>
          <w:p w14:paraId="1EC80E58" w14:textId="77777777" w:rsidR="00FB270A" w:rsidRPr="000312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Hallux/ or Hallux Valgus/</w:t>
            </w:r>
          </w:p>
        </w:tc>
        <w:tc>
          <w:tcPr>
            <w:tcW w:w="494" w:type="pct"/>
            <w:hideMark/>
          </w:tcPr>
          <w:p w14:paraId="7BDAFE16" w14:textId="77777777" w:rsidR="00FB270A" w:rsidRPr="0003124D" w:rsidRDefault="00FB270A" w:rsidP="00E20111">
            <w:pPr>
              <w:spacing w:line="360" w:lineRule="auto"/>
              <w:contextualSpacing/>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5,267</w:t>
            </w:r>
          </w:p>
        </w:tc>
      </w:tr>
      <w:tr w:rsidR="00FB270A" w:rsidRPr="0003124D" w14:paraId="5C84CFBE" w14:textId="77777777" w:rsidTr="00E20111">
        <w:tc>
          <w:tcPr>
            <w:cnfStyle w:val="001000000000" w:firstRow="0" w:lastRow="0" w:firstColumn="1" w:lastColumn="0" w:oddVBand="0" w:evenVBand="0" w:oddHBand="0" w:evenHBand="0" w:firstRowFirstColumn="0" w:firstRowLastColumn="0" w:lastRowFirstColumn="0" w:lastRowLastColumn="0"/>
            <w:tcW w:w="309" w:type="pct"/>
            <w:hideMark/>
          </w:tcPr>
          <w:p w14:paraId="4A07369A" w14:textId="77777777" w:rsidR="00FB270A" w:rsidRPr="0003124D" w:rsidRDefault="00FB270A" w:rsidP="00E20111">
            <w:pPr>
              <w:spacing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2</w:t>
            </w:r>
          </w:p>
        </w:tc>
        <w:tc>
          <w:tcPr>
            <w:tcW w:w="4197" w:type="pct"/>
            <w:hideMark/>
          </w:tcPr>
          <w:p w14:paraId="11C69767" w14:textId="77777777" w:rsidR="00FB270A" w:rsidRPr="000312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Bunion, Tailor’s/ or Bunion/</w:t>
            </w:r>
          </w:p>
        </w:tc>
        <w:tc>
          <w:tcPr>
            <w:tcW w:w="494" w:type="pct"/>
            <w:hideMark/>
          </w:tcPr>
          <w:p w14:paraId="0AAAFBA6" w14:textId="77777777" w:rsidR="00FB270A" w:rsidRPr="0003124D" w:rsidRDefault="00FB270A" w:rsidP="00E20111">
            <w:pPr>
              <w:spacing w:line="360" w:lineRule="auto"/>
              <w:contextualSpacing/>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133</w:t>
            </w:r>
          </w:p>
        </w:tc>
      </w:tr>
      <w:tr w:rsidR="00FB270A" w:rsidRPr="0003124D" w14:paraId="0ACD168F" w14:textId="77777777" w:rsidTr="00E20111">
        <w:tc>
          <w:tcPr>
            <w:cnfStyle w:val="001000000000" w:firstRow="0" w:lastRow="0" w:firstColumn="1" w:lastColumn="0" w:oddVBand="0" w:evenVBand="0" w:oddHBand="0" w:evenHBand="0" w:firstRowFirstColumn="0" w:firstRowLastColumn="0" w:lastRowFirstColumn="0" w:lastRowLastColumn="0"/>
            <w:tcW w:w="309" w:type="pct"/>
            <w:hideMark/>
          </w:tcPr>
          <w:p w14:paraId="6E228DF4" w14:textId="77777777" w:rsidR="00FB270A" w:rsidRPr="0003124D" w:rsidRDefault="00FB270A" w:rsidP="00E20111">
            <w:pPr>
              <w:spacing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3</w:t>
            </w:r>
          </w:p>
        </w:tc>
        <w:tc>
          <w:tcPr>
            <w:tcW w:w="4197" w:type="pct"/>
            <w:hideMark/>
          </w:tcPr>
          <w:p w14:paraId="3EACB2FD" w14:textId="77777777" w:rsidR="00FB270A" w:rsidRPr="000312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(Bunion* or ‘Hallux abductus valgus’ or ‘First metatarsus varus’ or hallux*).tw, kf.</w:t>
            </w:r>
          </w:p>
        </w:tc>
        <w:tc>
          <w:tcPr>
            <w:tcW w:w="494" w:type="pct"/>
            <w:hideMark/>
          </w:tcPr>
          <w:p w14:paraId="025B7CBD" w14:textId="77777777" w:rsidR="00FB270A" w:rsidRPr="0003124D" w:rsidRDefault="00FB270A" w:rsidP="00E20111">
            <w:pPr>
              <w:spacing w:line="360" w:lineRule="auto"/>
              <w:contextualSpacing/>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6,529</w:t>
            </w:r>
          </w:p>
        </w:tc>
      </w:tr>
      <w:tr w:rsidR="00FB270A" w:rsidRPr="0003124D" w14:paraId="49A7D029" w14:textId="77777777" w:rsidTr="00E20111">
        <w:tc>
          <w:tcPr>
            <w:cnfStyle w:val="001000000000" w:firstRow="0" w:lastRow="0" w:firstColumn="1" w:lastColumn="0" w:oddVBand="0" w:evenVBand="0" w:oddHBand="0" w:evenHBand="0" w:firstRowFirstColumn="0" w:firstRowLastColumn="0" w:lastRowFirstColumn="0" w:lastRowLastColumn="0"/>
            <w:tcW w:w="309" w:type="pct"/>
            <w:hideMark/>
          </w:tcPr>
          <w:p w14:paraId="78E732C1" w14:textId="77777777" w:rsidR="00FB270A" w:rsidRPr="0003124D" w:rsidRDefault="00FB270A" w:rsidP="00E20111">
            <w:pPr>
              <w:spacing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4</w:t>
            </w:r>
          </w:p>
        </w:tc>
        <w:tc>
          <w:tcPr>
            <w:tcW w:w="4197" w:type="pct"/>
            <w:hideMark/>
          </w:tcPr>
          <w:p w14:paraId="58931FE5" w14:textId="77777777" w:rsidR="00FB270A" w:rsidRPr="000312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or/1–3</w:t>
            </w:r>
          </w:p>
        </w:tc>
        <w:tc>
          <w:tcPr>
            <w:tcW w:w="494" w:type="pct"/>
            <w:hideMark/>
          </w:tcPr>
          <w:p w14:paraId="1F3B869C" w14:textId="77777777" w:rsidR="00FB270A" w:rsidRPr="0003124D" w:rsidRDefault="00FB270A" w:rsidP="00E20111">
            <w:pPr>
              <w:spacing w:line="360" w:lineRule="auto"/>
              <w:contextualSpacing/>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7,843</w:t>
            </w:r>
          </w:p>
        </w:tc>
      </w:tr>
      <w:tr w:rsidR="00FB270A" w:rsidRPr="0003124D" w14:paraId="00A46BBA" w14:textId="77777777" w:rsidTr="00E20111">
        <w:tc>
          <w:tcPr>
            <w:cnfStyle w:val="001000000000" w:firstRow="0" w:lastRow="0" w:firstColumn="1" w:lastColumn="0" w:oddVBand="0" w:evenVBand="0" w:oddHBand="0" w:evenHBand="0" w:firstRowFirstColumn="0" w:firstRowLastColumn="0" w:lastRowFirstColumn="0" w:lastRowLastColumn="0"/>
            <w:tcW w:w="309" w:type="pct"/>
            <w:hideMark/>
          </w:tcPr>
          <w:p w14:paraId="45E9854B" w14:textId="77777777" w:rsidR="00FB270A" w:rsidRPr="0003124D" w:rsidRDefault="00FB270A" w:rsidP="00E20111">
            <w:pPr>
              <w:spacing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5</w:t>
            </w:r>
          </w:p>
        </w:tc>
        <w:tc>
          <w:tcPr>
            <w:tcW w:w="4197" w:type="pct"/>
            <w:hideMark/>
          </w:tcPr>
          <w:p w14:paraId="2AAB6444" w14:textId="77777777" w:rsidR="00FB270A" w:rsidRPr="000312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Analgesia/ or Anaesthesia, Local/ or Nerve Block/ or Anaesthetics, Local/</w:t>
            </w:r>
          </w:p>
        </w:tc>
        <w:tc>
          <w:tcPr>
            <w:tcW w:w="494" w:type="pct"/>
            <w:hideMark/>
          </w:tcPr>
          <w:p w14:paraId="0C324C43" w14:textId="77777777" w:rsidR="00FB270A" w:rsidRPr="0003124D" w:rsidRDefault="00FB270A" w:rsidP="00E20111">
            <w:pPr>
              <w:spacing w:line="360" w:lineRule="auto"/>
              <w:contextualSpacing/>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81,250</w:t>
            </w:r>
          </w:p>
        </w:tc>
      </w:tr>
      <w:tr w:rsidR="00FB270A" w:rsidRPr="0003124D" w14:paraId="332596BB" w14:textId="77777777" w:rsidTr="00E20111">
        <w:tc>
          <w:tcPr>
            <w:cnfStyle w:val="001000000000" w:firstRow="0" w:lastRow="0" w:firstColumn="1" w:lastColumn="0" w:oddVBand="0" w:evenVBand="0" w:oddHBand="0" w:evenHBand="0" w:firstRowFirstColumn="0" w:firstRowLastColumn="0" w:lastRowFirstColumn="0" w:lastRowLastColumn="0"/>
            <w:tcW w:w="309" w:type="pct"/>
            <w:hideMark/>
          </w:tcPr>
          <w:p w14:paraId="3EC579B0" w14:textId="77777777" w:rsidR="00FB270A" w:rsidRPr="0003124D" w:rsidRDefault="00FB270A" w:rsidP="00E20111">
            <w:pPr>
              <w:spacing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6</w:t>
            </w:r>
          </w:p>
        </w:tc>
        <w:tc>
          <w:tcPr>
            <w:tcW w:w="4197" w:type="pct"/>
            <w:hideMark/>
          </w:tcPr>
          <w:p w14:paraId="38DA3AD8" w14:textId="77777777" w:rsidR="00FB270A" w:rsidRPr="000312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(Local adj1 (infiltration or block or an? esthetic or an? esthes*)).tw, kf.</w:t>
            </w:r>
          </w:p>
        </w:tc>
        <w:tc>
          <w:tcPr>
            <w:tcW w:w="494" w:type="pct"/>
            <w:hideMark/>
          </w:tcPr>
          <w:p w14:paraId="2710309C" w14:textId="77777777" w:rsidR="00FB270A" w:rsidRPr="0003124D" w:rsidRDefault="00FB270A" w:rsidP="00E20111">
            <w:pPr>
              <w:spacing w:line="360" w:lineRule="auto"/>
              <w:contextualSpacing/>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40,210</w:t>
            </w:r>
          </w:p>
        </w:tc>
      </w:tr>
      <w:tr w:rsidR="00FB270A" w:rsidRPr="0003124D" w14:paraId="0DB11F3C" w14:textId="77777777" w:rsidTr="00E20111">
        <w:tc>
          <w:tcPr>
            <w:cnfStyle w:val="001000000000" w:firstRow="0" w:lastRow="0" w:firstColumn="1" w:lastColumn="0" w:oddVBand="0" w:evenVBand="0" w:oddHBand="0" w:evenHBand="0" w:firstRowFirstColumn="0" w:firstRowLastColumn="0" w:lastRowFirstColumn="0" w:lastRowLastColumn="0"/>
            <w:tcW w:w="309" w:type="pct"/>
            <w:hideMark/>
          </w:tcPr>
          <w:p w14:paraId="44145767" w14:textId="77777777" w:rsidR="00FB270A" w:rsidRPr="0003124D" w:rsidRDefault="00FB270A" w:rsidP="00E20111">
            <w:pPr>
              <w:spacing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7</w:t>
            </w:r>
          </w:p>
        </w:tc>
        <w:tc>
          <w:tcPr>
            <w:tcW w:w="4197" w:type="pct"/>
            <w:hideMark/>
          </w:tcPr>
          <w:p w14:paraId="5B69F198" w14:textId="77777777" w:rsidR="00FB270A" w:rsidRPr="000312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or/5–6</w:t>
            </w:r>
          </w:p>
        </w:tc>
        <w:tc>
          <w:tcPr>
            <w:tcW w:w="494" w:type="pct"/>
            <w:hideMark/>
          </w:tcPr>
          <w:p w14:paraId="0A6632A2" w14:textId="77777777" w:rsidR="00FB270A" w:rsidRPr="0003124D" w:rsidRDefault="00FB270A" w:rsidP="00E20111">
            <w:pPr>
              <w:spacing w:line="360" w:lineRule="auto"/>
              <w:contextualSpacing/>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102,131</w:t>
            </w:r>
          </w:p>
        </w:tc>
      </w:tr>
      <w:tr w:rsidR="00FB270A" w:rsidRPr="0003124D" w14:paraId="65578E2F" w14:textId="77777777" w:rsidTr="00E20111">
        <w:tc>
          <w:tcPr>
            <w:cnfStyle w:val="001000000000" w:firstRow="0" w:lastRow="0" w:firstColumn="1" w:lastColumn="0" w:oddVBand="0" w:evenVBand="0" w:oddHBand="0" w:evenHBand="0" w:firstRowFirstColumn="0" w:firstRowLastColumn="0" w:lastRowFirstColumn="0" w:lastRowLastColumn="0"/>
            <w:tcW w:w="309" w:type="pct"/>
            <w:hideMark/>
          </w:tcPr>
          <w:p w14:paraId="5F0804FB" w14:textId="77777777" w:rsidR="00FB270A" w:rsidRPr="0003124D" w:rsidRDefault="00FB270A" w:rsidP="00E20111">
            <w:pPr>
              <w:spacing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8</w:t>
            </w:r>
          </w:p>
        </w:tc>
        <w:tc>
          <w:tcPr>
            <w:tcW w:w="4197" w:type="pct"/>
            <w:hideMark/>
          </w:tcPr>
          <w:p w14:paraId="51B3F643" w14:textId="77777777" w:rsidR="00FB270A" w:rsidRPr="000312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(‘proximal nerve blocks’ or ‘Ankle block’ or ‘Saphenous nerve block’).tw, kw.</w:t>
            </w:r>
          </w:p>
        </w:tc>
        <w:tc>
          <w:tcPr>
            <w:tcW w:w="494" w:type="pct"/>
            <w:hideMark/>
          </w:tcPr>
          <w:p w14:paraId="7FFB4373" w14:textId="77777777" w:rsidR="00FB270A" w:rsidRPr="0003124D" w:rsidRDefault="00FB270A" w:rsidP="00E20111">
            <w:pPr>
              <w:spacing w:line="360" w:lineRule="auto"/>
              <w:contextualSpacing/>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182</w:t>
            </w:r>
          </w:p>
        </w:tc>
      </w:tr>
      <w:tr w:rsidR="00FB270A" w:rsidRPr="0003124D" w14:paraId="58F282F1" w14:textId="77777777" w:rsidTr="00E20111">
        <w:tc>
          <w:tcPr>
            <w:cnfStyle w:val="001000000000" w:firstRow="0" w:lastRow="0" w:firstColumn="1" w:lastColumn="0" w:oddVBand="0" w:evenVBand="0" w:oddHBand="0" w:evenHBand="0" w:firstRowFirstColumn="0" w:firstRowLastColumn="0" w:lastRowFirstColumn="0" w:lastRowLastColumn="0"/>
            <w:tcW w:w="309" w:type="pct"/>
            <w:hideMark/>
          </w:tcPr>
          <w:p w14:paraId="6AF68134" w14:textId="77777777" w:rsidR="00FB270A" w:rsidRPr="0003124D" w:rsidRDefault="00FB270A" w:rsidP="00E20111">
            <w:pPr>
              <w:spacing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9</w:t>
            </w:r>
          </w:p>
        </w:tc>
        <w:tc>
          <w:tcPr>
            <w:tcW w:w="4197" w:type="pct"/>
            <w:hideMark/>
          </w:tcPr>
          <w:p w14:paraId="0DC7A9D2" w14:textId="77777777" w:rsidR="00FB270A" w:rsidRPr="000312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or/7–8</w:t>
            </w:r>
          </w:p>
        </w:tc>
        <w:tc>
          <w:tcPr>
            <w:tcW w:w="494" w:type="pct"/>
            <w:hideMark/>
          </w:tcPr>
          <w:p w14:paraId="3FCA8F91" w14:textId="77777777" w:rsidR="00FB270A" w:rsidRPr="0003124D" w:rsidRDefault="00FB270A" w:rsidP="00E20111">
            <w:pPr>
              <w:spacing w:line="360" w:lineRule="auto"/>
              <w:contextualSpacing/>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102,173</w:t>
            </w:r>
          </w:p>
        </w:tc>
      </w:tr>
      <w:tr w:rsidR="00FB270A" w:rsidRPr="0003124D" w14:paraId="5107BBF4" w14:textId="77777777" w:rsidTr="00E20111">
        <w:tc>
          <w:tcPr>
            <w:cnfStyle w:val="001000000000" w:firstRow="0" w:lastRow="0" w:firstColumn="1" w:lastColumn="0" w:oddVBand="0" w:evenVBand="0" w:oddHBand="0" w:evenHBand="0" w:firstRowFirstColumn="0" w:firstRowLastColumn="0" w:lastRowFirstColumn="0" w:lastRowLastColumn="0"/>
            <w:tcW w:w="309" w:type="pct"/>
            <w:hideMark/>
          </w:tcPr>
          <w:p w14:paraId="6A964C83" w14:textId="77777777" w:rsidR="00FB270A" w:rsidRPr="0003124D" w:rsidRDefault="00FB270A" w:rsidP="00E20111">
            <w:pPr>
              <w:spacing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11</w:t>
            </w:r>
          </w:p>
        </w:tc>
        <w:tc>
          <w:tcPr>
            <w:tcW w:w="4197" w:type="pct"/>
            <w:hideMark/>
          </w:tcPr>
          <w:p w14:paraId="23022C30" w14:textId="77777777" w:rsidR="00FB270A" w:rsidRPr="000312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4 and 9</w:t>
            </w:r>
          </w:p>
        </w:tc>
        <w:tc>
          <w:tcPr>
            <w:tcW w:w="494" w:type="pct"/>
            <w:hideMark/>
          </w:tcPr>
          <w:p w14:paraId="2565E4D0" w14:textId="77777777" w:rsidR="00FB270A" w:rsidRPr="0003124D" w:rsidRDefault="00FB270A" w:rsidP="00E20111">
            <w:pPr>
              <w:spacing w:line="360" w:lineRule="auto"/>
              <w:contextualSpacing/>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145</w:t>
            </w:r>
          </w:p>
        </w:tc>
      </w:tr>
    </w:tbl>
    <w:p w14:paraId="30C268EB" w14:textId="77777777" w:rsidR="00FB270A" w:rsidRPr="0003124D" w:rsidRDefault="00FB270A" w:rsidP="00FB270A">
      <w:pPr>
        <w:spacing w:after="0" w:line="360" w:lineRule="auto"/>
        <w:contextualSpacing/>
        <w:jc w:val="both"/>
        <w:rPr>
          <w:rFonts w:cs="Times New Roman"/>
          <w:b/>
          <w:bCs/>
          <w:color w:val="000000" w:themeColor="text1"/>
          <w:szCs w:val="24"/>
        </w:rPr>
      </w:pPr>
    </w:p>
    <w:p w14:paraId="2D3FBAB7" w14:textId="77777777" w:rsidR="00FB270A" w:rsidRPr="0003124D" w:rsidRDefault="00FB270A" w:rsidP="00FB270A">
      <w:pPr>
        <w:spacing w:after="0" w:line="360" w:lineRule="auto"/>
        <w:contextualSpacing/>
        <w:jc w:val="both"/>
        <w:rPr>
          <w:rFonts w:cs="Times New Roman"/>
          <w:b/>
          <w:bCs/>
          <w:color w:val="000000" w:themeColor="text1"/>
          <w:szCs w:val="24"/>
        </w:rPr>
      </w:pPr>
    </w:p>
    <w:p w14:paraId="00EAD2EE" w14:textId="77777777" w:rsidR="00FB270A" w:rsidRPr="0003124D" w:rsidRDefault="00FB270A" w:rsidP="00FB270A">
      <w:pPr>
        <w:spacing w:after="0" w:line="360" w:lineRule="auto"/>
        <w:contextualSpacing/>
        <w:jc w:val="both"/>
        <w:rPr>
          <w:rFonts w:cs="Times New Roman"/>
          <w:b/>
          <w:bCs/>
          <w:color w:val="000000" w:themeColor="text1"/>
          <w:szCs w:val="24"/>
        </w:rPr>
      </w:pPr>
    </w:p>
    <w:p w14:paraId="4BAA9CC6" w14:textId="77777777" w:rsidR="00FB270A" w:rsidRPr="0003124D" w:rsidRDefault="00FB270A" w:rsidP="00FB270A">
      <w:pPr>
        <w:spacing w:after="0" w:line="360" w:lineRule="auto"/>
        <w:contextualSpacing/>
        <w:jc w:val="both"/>
        <w:rPr>
          <w:rFonts w:cs="Times New Roman"/>
          <w:b/>
          <w:bCs/>
          <w:color w:val="000000" w:themeColor="text1"/>
          <w:szCs w:val="24"/>
        </w:rPr>
      </w:pPr>
    </w:p>
    <w:p w14:paraId="6B4D2721" w14:textId="77777777" w:rsidR="00FB270A" w:rsidRPr="0003124D" w:rsidRDefault="00FB270A" w:rsidP="00FB270A">
      <w:pPr>
        <w:spacing w:after="0" w:line="360" w:lineRule="auto"/>
        <w:contextualSpacing/>
        <w:jc w:val="both"/>
        <w:rPr>
          <w:rFonts w:cs="Times New Roman"/>
          <w:b/>
          <w:bCs/>
          <w:color w:val="000000" w:themeColor="text1"/>
          <w:szCs w:val="24"/>
        </w:rPr>
      </w:pPr>
    </w:p>
    <w:p w14:paraId="09E30212" w14:textId="77777777" w:rsidR="00FB270A" w:rsidRPr="0003124D" w:rsidRDefault="00FB270A" w:rsidP="00FB270A">
      <w:pPr>
        <w:spacing w:after="0" w:line="360" w:lineRule="auto"/>
        <w:contextualSpacing/>
        <w:jc w:val="both"/>
        <w:rPr>
          <w:rFonts w:cs="Times New Roman"/>
          <w:b/>
          <w:bCs/>
          <w:color w:val="000000" w:themeColor="text1"/>
          <w:szCs w:val="24"/>
        </w:rPr>
      </w:pPr>
    </w:p>
    <w:p w14:paraId="64D3215D" w14:textId="77777777" w:rsidR="00FB270A" w:rsidRPr="0003124D" w:rsidRDefault="00FB270A" w:rsidP="00FB270A">
      <w:pPr>
        <w:spacing w:after="0" w:line="360" w:lineRule="auto"/>
        <w:contextualSpacing/>
        <w:jc w:val="both"/>
        <w:rPr>
          <w:rFonts w:cs="Times New Roman"/>
          <w:b/>
          <w:bCs/>
          <w:color w:val="000000" w:themeColor="text1"/>
          <w:szCs w:val="24"/>
        </w:rPr>
      </w:pPr>
    </w:p>
    <w:p w14:paraId="12B3C8CD" w14:textId="77777777" w:rsidR="00FB270A" w:rsidRPr="0003124D" w:rsidRDefault="00FB270A" w:rsidP="00FB270A">
      <w:pPr>
        <w:spacing w:after="0" w:line="360" w:lineRule="auto"/>
        <w:contextualSpacing/>
        <w:jc w:val="both"/>
        <w:rPr>
          <w:rFonts w:cs="Times New Roman"/>
          <w:b/>
          <w:bCs/>
          <w:color w:val="000000" w:themeColor="text1"/>
          <w:szCs w:val="24"/>
        </w:rPr>
      </w:pPr>
    </w:p>
    <w:p w14:paraId="162B160D" w14:textId="77777777" w:rsidR="00FB270A" w:rsidRPr="0003124D" w:rsidRDefault="00FB270A" w:rsidP="00FB270A">
      <w:pPr>
        <w:spacing w:after="0" w:line="360" w:lineRule="auto"/>
        <w:contextualSpacing/>
        <w:jc w:val="both"/>
        <w:rPr>
          <w:rFonts w:cs="Times New Roman"/>
          <w:b/>
          <w:bCs/>
          <w:color w:val="000000" w:themeColor="text1"/>
          <w:szCs w:val="24"/>
        </w:rPr>
      </w:pPr>
    </w:p>
    <w:p w14:paraId="0DF99F55" w14:textId="77777777" w:rsidR="00FB270A" w:rsidRPr="0003124D" w:rsidRDefault="00FB270A" w:rsidP="00FB270A">
      <w:pPr>
        <w:spacing w:after="0" w:line="360" w:lineRule="auto"/>
        <w:contextualSpacing/>
        <w:jc w:val="both"/>
        <w:rPr>
          <w:rFonts w:cs="Times New Roman"/>
          <w:b/>
          <w:bCs/>
          <w:color w:val="000000" w:themeColor="text1"/>
          <w:szCs w:val="24"/>
        </w:rPr>
      </w:pPr>
    </w:p>
    <w:p w14:paraId="3C62329B" w14:textId="77777777" w:rsidR="00FB270A" w:rsidRPr="0003124D" w:rsidRDefault="00FB270A" w:rsidP="00FB270A">
      <w:pPr>
        <w:spacing w:after="0" w:line="360" w:lineRule="auto"/>
        <w:contextualSpacing/>
        <w:jc w:val="both"/>
        <w:rPr>
          <w:rFonts w:cs="Times New Roman"/>
          <w:b/>
          <w:bCs/>
          <w:color w:val="000000" w:themeColor="text1"/>
          <w:szCs w:val="24"/>
        </w:rPr>
      </w:pPr>
    </w:p>
    <w:p w14:paraId="1E3C3D07" w14:textId="77777777" w:rsidR="00FB270A" w:rsidRPr="0003124D" w:rsidRDefault="00FB270A" w:rsidP="00FB270A">
      <w:pPr>
        <w:spacing w:after="0" w:line="360" w:lineRule="auto"/>
        <w:contextualSpacing/>
        <w:jc w:val="both"/>
        <w:rPr>
          <w:rFonts w:cs="Times New Roman"/>
          <w:b/>
          <w:bCs/>
          <w:color w:val="000000" w:themeColor="text1"/>
          <w:szCs w:val="24"/>
        </w:rPr>
      </w:pPr>
    </w:p>
    <w:p w14:paraId="07FDEB6C" w14:textId="77777777" w:rsidR="00FB270A" w:rsidRPr="0003124D" w:rsidRDefault="00FB270A" w:rsidP="00FB270A">
      <w:pPr>
        <w:spacing w:after="0" w:line="360" w:lineRule="auto"/>
        <w:contextualSpacing/>
        <w:jc w:val="both"/>
        <w:rPr>
          <w:rFonts w:cs="Times New Roman"/>
          <w:b/>
          <w:bCs/>
          <w:color w:val="000000" w:themeColor="text1"/>
          <w:szCs w:val="24"/>
        </w:rPr>
      </w:pPr>
    </w:p>
    <w:p w14:paraId="333D325A" w14:textId="77777777" w:rsidR="00FB270A" w:rsidRPr="0003124D" w:rsidRDefault="00FB270A" w:rsidP="00FB270A">
      <w:pPr>
        <w:spacing w:after="0" w:line="360" w:lineRule="auto"/>
        <w:contextualSpacing/>
        <w:jc w:val="both"/>
        <w:rPr>
          <w:rFonts w:cs="Times New Roman"/>
          <w:b/>
          <w:bCs/>
          <w:color w:val="000000" w:themeColor="text1"/>
          <w:szCs w:val="24"/>
        </w:rPr>
      </w:pPr>
    </w:p>
    <w:p w14:paraId="4DC16F4D" w14:textId="77777777" w:rsidR="00FB270A" w:rsidRPr="0003124D" w:rsidRDefault="00FB270A" w:rsidP="00FB270A">
      <w:pPr>
        <w:spacing w:after="0" w:line="360" w:lineRule="auto"/>
        <w:contextualSpacing/>
        <w:jc w:val="both"/>
        <w:rPr>
          <w:rFonts w:cs="Times New Roman"/>
          <w:b/>
          <w:bCs/>
          <w:color w:val="000000" w:themeColor="text1"/>
          <w:szCs w:val="24"/>
        </w:rPr>
      </w:pPr>
    </w:p>
    <w:p w14:paraId="10D7B731" w14:textId="77777777" w:rsidR="00FB270A" w:rsidRPr="0003124D" w:rsidRDefault="00FB270A" w:rsidP="00FB270A">
      <w:pPr>
        <w:spacing w:after="0" w:line="360" w:lineRule="auto"/>
        <w:contextualSpacing/>
        <w:jc w:val="both"/>
        <w:rPr>
          <w:rFonts w:cs="Times New Roman"/>
          <w:b/>
          <w:bCs/>
          <w:color w:val="000000" w:themeColor="text1"/>
          <w:szCs w:val="24"/>
        </w:rPr>
      </w:pPr>
    </w:p>
    <w:p w14:paraId="3E9B7A97" w14:textId="77777777" w:rsidR="00FB270A" w:rsidRPr="0003124D" w:rsidRDefault="00FB270A" w:rsidP="00FB270A">
      <w:pPr>
        <w:spacing w:after="0" w:line="360" w:lineRule="auto"/>
        <w:contextualSpacing/>
        <w:jc w:val="both"/>
        <w:rPr>
          <w:rFonts w:cs="Times New Roman"/>
          <w:b/>
          <w:bCs/>
          <w:color w:val="000000" w:themeColor="text1"/>
          <w:szCs w:val="24"/>
        </w:rPr>
      </w:pPr>
    </w:p>
    <w:p w14:paraId="6DBAB7A3" w14:textId="77777777" w:rsidR="00FB270A" w:rsidRPr="0003124D" w:rsidRDefault="00FB270A" w:rsidP="00FB270A">
      <w:pPr>
        <w:spacing w:after="0" w:line="360" w:lineRule="auto"/>
        <w:contextualSpacing/>
        <w:jc w:val="both"/>
        <w:rPr>
          <w:rFonts w:cs="Times New Roman"/>
          <w:b/>
          <w:bCs/>
          <w:color w:val="000000" w:themeColor="text1"/>
          <w:szCs w:val="24"/>
        </w:rPr>
      </w:pPr>
    </w:p>
    <w:p w14:paraId="2F23DEAE" w14:textId="77777777" w:rsidR="00FB270A" w:rsidRPr="0003124D" w:rsidRDefault="00FB270A" w:rsidP="00FB270A">
      <w:pPr>
        <w:tabs>
          <w:tab w:val="left" w:pos="5449"/>
        </w:tabs>
        <w:spacing w:after="0" w:line="360" w:lineRule="auto"/>
        <w:contextualSpacing/>
        <w:jc w:val="both"/>
        <w:rPr>
          <w:rFonts w:cs="Times New Roman"/>
          <w:b/>
          <w:bCs/>
          <w:color w:val="000000" w:themeColor="text1"/>
          <w:szCs w:val="24"/>
        </w:rPr>
      </w:pPr>
      <w:r>
        <w:rPr>
          <w:rFonts w:cs="Times New Roman"/>
          <w:b/>
          <w:bCs/>
          <w:color w:val="000000" w:themeColor="text1"/>
          <w:szCs w:val="24"/>
        </w:rPr>
        <w:tab/>
      </w:r>
    </w:p>
    <w:p w14:paraId="0E22736F" w14:textId="77777777" w:rsidR="00FB270A" w:rsidRPr="0003124D" w:rsidRDefault="00FB270A" w:rsidP="00FB270A">
      <w:pPr>
        <w:spacing w:after="0" w:line="360" w:lineRule="auto"/>
        <w:contextualSpacing/>
        <w:jc w:val="both"/>
        <w:rPr>
          <w:rFonts w:cs="Times New Roman"/>
          <w:b/>
          <w:bCs/>
          <w:color w:val="000000" w:themeColor="text1"/>
          <w:szCs w:val="24"/>
        </w:rPr>
      </w:pPr>
    </w:p>
    <w:p w14:paraId="5AB321F8" w14:textId="77777777" w:rsidR="00FB270A" w:rsidRPr="0003124D" w:rsidRDefault="00FB270A" w:rsidP="00FB270A">
      <w:pPr>
        <w:spacing w:after="0" w:line="360" w:lineRule="auto"/>
        <w:contextualSpacing/>
        <w:jc w:val="both"/>
        <w:rPr>
          <w:rFonts w:cs="Times New Roman"/>
          <w:b/>
          <w:bCs/>
          <w:color w:val="000000" w:themeColor="text1"/>
        </w:rPr>
      </w:pPr>
      <w:r w:rsidRPr="0003124D">
        <w:rPr>
          <w:rFonts w:cs="Times New Roman"/>
          <w:b/>
          <w:bCs/>
          <w:noProof/>
          <w:color w:val="000000" w:themeColor="text1"/>
          <w:szCs w:val="24"/>
        </w:rPr>
        <w:lastRenderedPageBreak/>
        <mc:AlternateContent>
          <mc:Choice Requires="wps">
            <w:drawing>
              <wp:anchor distT="45720" distB="45720" distL="114300" distR="114300" simplePos="0" relativeHeight="251659264" behindDoc="0" locked="0" layoutInCell="1" allowOverlap="1" wp14:anchorId="10A424D8" wp14:editId="04263934">
                <wp:simplePos x="0" y="0"/>
                <wp:positionH relativeFrom="margin">
                  <wp:posOffset>29845</wp:posOffset>
                </wp:positionH>
                <wp:positionV relativeFrom="paragraph">
                  <wp:posOffset>383540</wp:posOffset>
                </wp:positionV>
                <wp:extent cx="5828029" cy="785494"/>
                <wp:effectExtent l="0" t="0" r="20955" b="1524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8029" cy="785494"/>
                        </a:xfrm>
                        <a:prstGeom prst="rect">
                          <a:avLst/>
                        </a:prstGeom>
                        <a:solidFill>
                          <a:srgbClr val="FFFFFF"/>
                        </a:solidFill>
                        <a:ln w="9525">
                          <a:solidFill>
                            <a:srgbClr val="000000"/>
                          </a:solidFill>
                          <a:miter lim="800000"/>
                          <a:headEnd/>
                          <a:tailEnd/>
                        </a:ln>
                      </wps:spPr>
                      <wps:txbx>
                        <w:txbxContent>
                          <w:p w14:paraId="3909C640" w14:textId="77777777" w:rsidR="00FB270A" w:rsidRDefault="00FB270A" w:rsidP="00FB270A">
                            <w:pPr>
                              <w:spacing w:line="360" w:lineRule="auto"/>
                              <w:jc w:val="both"/>
                              <w:rPr>
                                <w:rFonts w:eastAsia="Times New Roman" w:cs="Times New Roman"/>
                                <w:color w:val="2D2D2D"/>
                                <w:sz w:val="20"/>
                                <w:szCs w:val="20"/>
                                <w:lang w:eastAsia="en-AU"/>
                              </w:rPr>
                            </w:pPr>
                            <w:r w:rsidRPr="00DD7969">
                              <w:rPr>
                                <w:rFonts w:eastAsia="Times New Roman" w:cs="Times New Roman"/>
                                <w:color w:val="2D2D2D"/>
                                <w:sz w:val="20"/>
                                <w:szCs w:val="20"/>
                                <w:lang w:eastAsia="en-AU"/>
                              </w:rPr>
                              <w:t>(Bunion* or ‘Hallux abductus valgus’ or ‘First metatarsus varus’</w:t>
                            </w:r>
                            <w:r>
                              <w:rPr>
                                <w:rFonts w:eastAsia="Times New Roman" w:cs="Times New Roman"/>
                                <w:color w:val="2D2D2D"/>
                                <w:sz w:val="20"/>
                                <w:szCs w:val="20"/>
                                <w:lang w:eastAsia="en-AU"/>
                              </w:rPr>
                              <w:t xml:space="preserve"> or hallux*) AND ((local W/</w:t>
                            </w:r>
                            <w:r w:rsidRPr="00DD7969">
                              <w:rPr>
                                <w:rFonts w:eastAsia="Times New Roman" w:cs="Times New Roman"/>
                                <w:color w:val="2D2D2D"/>
                                <w:sz w:val="20"/>
                                <w:szCs w:val="20"/>
                                <w:lang w:eastAsia="en-AU"/>
                              </w:rPr>
                              <w:t>1 (infiltration or block</w:t>
                            </w:r>
                            <w:r>
                              <w:rPr>
                                <w:rFonts w:eastAsia="Times New Roman" w:cs="Times New Roman"/>
                                <w:color w:val="2D2D2D"/>
                                <w:sz w:val="20"/>
                                <w:szCs w:val="20"/>
                                <w:lang w:eastAsia="en-AU"/>
                              </w:rPr>
                              <w:t xml:space="preserve"> or an? esthetic or an?esthes*)) OR </w:t>
                            </w:r>
                            <w:r w:rsidRPr="00DD7969">
                              <w:rPr>
                                <w:rFonts w:eastAsia="Times New Roman" w:cs="Times New Roman"/>
                                <w:color w:val="2D2D2D"/>
                                <w:sz w:val="20"/>
                                <w:szCs w:val="20"/>
                                <w:lang w:eastAsia="en-AU"/>
                              </w:rPr>
                              <w:t>(‘proximal nerve blocks’ or ‘Ankle block’ or ‘Saphenous nerve block’</w:t>
                            </w:r>
                            <w:r>
                              <w:rPr>
                                <w:rFonts w:eastAsia="Times New Roman" w:cs="Times New Roman"/>
                                <w:color w:val="2D2D2D"/>
                                <w:sz w:val="20"/>
                                <w:szCs w:val="20"/>
                                <w:lang w:eastAsia="en-AU"/>
                              </w:rPr>
                              <w:t>))</w:t>
                            </w:r>
                          </w:p>
                          <w:p w14:paraId="4707617D" w14:textId="77777777" w:rsidR="00FB270A" w:rsidRDefault="00FB270A" w:rsidP="00FB270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A424D8" id="_x0000_t202" coordsize="21600,21600" o:spt="202" path="m,l,21600r21600,l21600,xe">
                <v:stroke joinstyle="miter"/>
                <v:path gradientshapeok="t" o:connecttype="rect"/>
              </v:shapetype>
              <v:shape id="_x0000_s1026" type="#_x0000_t202" style="position:absolute;left:0;text-align:left;margin-left:2.35pt;margin-top:30.2pt;width:458.9pt;height:61.8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">
                <v:textbox>
                  <w:txbxContent>
                    <w:p w14:paraId="3909C640" w14:textId="77777777" w:rsidR="00FB270A" w:rsidRDefault="00FB270A" w:rsidP="00FB270A">
                      <w:pPr>
                        <w:spacing w:line="360" w:lineRule="auto"/>
                        <w:jc w:val="both"/>
                        <w:rPr>
                          <w:rFonts w:eastAsia="Times New Roman" w:cs="Times New Roman"/>
                          <w:color w:val="2D2D2D"/>
                          <w:sz w:val="20"/>
                          <w:szCs w:val="20"/>
                          <w:lang w:eastAsia="en-AU"/>
                        </w:rPr>
                      </w:pPr>
                      <w:r w:rsidRPr="00DD7969">
                        <w:rPr>
                          <w:rFonts w:eastAsia="Times New Roman" w:cs="Times New Roman"/>
                          <w:color w:val="2D2D2D"/>
                          <w:sz w:val="20"/>
                          <w:szCs w:val="20"/>
                          <w:lang w:eastAsia="en-AU"/>
                        </w:rPr>
                        <w:t>(Bunion* or ‘Hallux abductus valgus’ or ‘First metatarsus varus’</w:t>
                      </w:r>
                      <w:r>
                        <w:rPr>
                          <w:rFonts w:eastAsia="Times New Roman" w:cs="Times New Roman"/>
                          <w:color w:val="2D2D2D"/>
                          <w:sz w:val="20"/>
                          <w:szCs w:val="20"/>
                          <w:lang w:eastAsia="en-AU"/>
                        </w:rPr>
                        <w:t xml:space="preserve"> or hallux*) AND ((local W/</w:t>
                      </w:r>
                      <w:r w:rsidRPr="00DD7969">
                        <w:rPr>
                          <w:rFonts w:eastAsia="Times New Roman" w:cs="Times New Roman"/>
                          <w:color w:val="2D2D2D"/>
                          <w:sz w:val="20"/>
                          <w:szCs w:val="20"/>
                          <w:lang w:eastAsia="en-AU"/>
                        </w:rPr>
                        <w:t>1 (infiltration or block</w:t>
                      </w:r>
                      <w:r>
                        <w:rPr>
                          <w:rFonts w:eastAsia="Times New Roman" w:cs="Times New Roman"/>
                          <w:color w:val="2D2D2D"/>
                          <w:sz w:val="20"/>
                          <w:szCs w:val="20"/>
                          <w:lang w:eastAsia="en-AU"/>
                        </w:rPr>
                        <w:t xml:space="preserve"> or an? esthetic or an?esthes*)) OR </w:t>
                      </w:r>
                      <w:r w:rsidRPr="00DD7969">
                        <w:rPr>
                          <w:rFonts w:eastAsia="Times New Roman" w:cs="Times New Roman"/>
                          <w:color w:val="2D2D2D"/>
                          <w:sz w:val="20"/>
                          <w:szCs w:val="20"/>
                          <w:lang w:eastAsia="en-AU"/>
                        </w:rPr>
                        <w:t>(‘proximal nerve blocks’ or ‘Ankle block’ or ‘Saphenous nerve block’</w:t>
                      </w:r>
                      <w:r>
                        <w:rPr>
                          <w:rFonts w:eastAsia="Times New Roman" w:cs="Times New Roman"/>
                          <w:color w:val="2D2D2D"/>
                          <w:sz w:val="20"/>
                          <w:szCs w:val="20"/>
                          <w:lang w:eastAsia="en-AU"/>
                        </w:rPr>
                        <w:t>))</w:t>
                      </w:r>
                    </w:p>
                    <w:p w14:paraId="4707617D" w14:textId="77777777" w:rsidR="00FB270A" w:rsidRDefault="00FB270A" w:rsidP="00FB270A"/>
                  </w:txbxContent>
                </v:textbox>
                <w10:wrap type="topAndBottom" anchorx="margin"/>
              </v:shape>
            </w:pict>
          </mc:Fallback>
        </mc:AlternateContent>
      </w:r>
      <w:r w:rsidRPr="0003124D">
        <w:rPr>
          <w:rFonts w:cs="Times New Roman"/>
          <w:b/>
          <w:bCs/>
          <w:color w:val="000000" w:themeColor="text1"/>
          <w:szCs w:val="24"/>
        </w:rPr>
        <w:t xml:space="preserve">2B. </w:t>
      </w:r>
      <w:r w:rsidRPr="0003124D">
        <w:rPr>
          <w:rFonts w:cs="Times New Roman"/>
          <w:color w:val="000000" w:themeColor="text1"/>
          <w:szCs w:val="24"/>
        </w:rPr>
        <w:t>Scopus</w:t>
      </w:r>
    </w:p>
    <w:p w14:paraId="252B0D39" w14:textId="77777777" w:rsidR="00FB270A" w:rsidRPr="0003124D" w:rsidRDefault="00FB270A" w:rsidP="00FB270A">
      <w:pPr>
        <w:spacing w:after="0" w:line="360" w:lineRule="auto"/>
        <w:contextualSpacing/>
        <w:jc w:val="both"/>
        <w:rPr>
          <w:rFonts w:cs="Times New Roman"/>
          <w:b/>
          <w:bCs/>
          <w:color w:val="000000" w:themeColor="text1"/>
          <w:szCs w:val="24"/>
        </w:rPr>
      </w:pPr>
    </w:p>
    <w:p w14:paraId="7FA70D48" w14:textId="77777777" w:rsidR="00FB270A" w:rsidRPr="0003124D" w:rsidRDefault="00FB270A" w:rsidP="00FB270A">
      <w:pPr>
        <w:spacing w:after="0" w:line="360" w:lineRule="auto"/>
        <w:contextualSpacing/>
        <w:rPr>
          <w:rFonts w:cs="Times New Roman"/>
          <w:color w:val="000000" w:themeColor="text1"/>
          <w:szCs w:val="24"/>
        </w:rPr>
      </w:pPr>
    </w:p>
    <w:p w14:paraId="46B59198" w14:textId="77777777" w:rsidR="00FB270A" w:rsidRPr="0003124D" w:rsidRDefault="00FB270A" w:rsidP="00FB270A">
      <w:pPr>
        <w:spacing w:after="0" w:line="360" w:lineRule="auto"/>
        <w:contextualSpacing/>
        <w:rPr>
          <w:rFonts w:cs="Times New Roman"/>
          <w:color w:val="000000" w:themeColor="text1"/>
          <w:szCs w:val="24"/>
        </w:rPr>
      </w:pPr>
    </w:p>
    <w:p w14:paraId="3E9F5999" w14:textId="77777777" w:rsidR="00FB270A" w:rsidRPr="0003124D" w:rsidRDefault="00FB270A" w:rsidP="00FB270A">
      <w:pPr>
        <w:spacing w:after="0" w:line="360" w:lineRule="auto"/>
        <w:contextualSpacing/>
        <w:rPr>
          <w:rFonts w:cs="Times New Roman"/>
          <w:color w:val="000000" w:themeColor="text1"/>
          <w:szCs w:val="24"/>
        </w:rPr>
      </w:pPr>
    </w:p>
    <w:p w14:paraId="023D1335" w14:textId="77777777" w:rsidR="00FB270A" w:rsidRPr="0003124D" w:rsidRDefault="00FB270A" w:rsidP="00FB270A">
      <w:pPr>
        <w:spacing w:after="0" w:line="360" w:lineRule="auto"/>
        <w:contextualSpacing/>
        <w:rPr>
          <w:rFonts w:cs="Times New Roman"/>
          <w:color w:val="000000" w:themeColor="text1"/>
          <w:szCs w:val="24"/>
        </w:rPr>
      </w:pPr>
    </w:p>
    <w:p w14:paraId="7C169CCF" w14:textId="77777777" w:rsidR="00FB270A" w:rsidRPr="0003124D" w:rsidRDefault="00FB270A" w:rsidP="00FB270A">
      <w:pPr>
        <w:spacing w:after="0" w:line="360" w:lineRule="auto"/>
        <w:contextualSpacing/>
        <w:rPr>
          <w:rFonts w:cs="Times New Roman"/>
          <w:color w:val="000000" w:themeColor="text1"/>
          <w:szCs w:val="24"/>
        </w:rPr>
      </w:pPr>
    </w:p>
    <w:p w14:paraId="0A8AB920" w14:textId="77777777" w:rsidR="00FB270A" w:rsidRPr="0003124D" w:rsidRDefault="00FB270A" w:rsidP="00FB270A">
      <w:pPr>
        <w:spacing w:after="0" w:line="360" w:lineRule="auto"/>
        <w:contextualSpacing/>
        <w:rPr>
          <w:rFonts w:cs="Times New Roman"/>
          <w:color w:val="000000" w:themeColor="text1"/>
          <w:szCs w:val="24"/>
        </w:rPr>
      </w:pPr>
    </w:p>
    <w:p w14:paraId="06ECB7DA" w14:textId="77777777" w:rsidR="00FB270A" w:rsidRPr="0003124D" w:rsidRDefault="00FB270A" w:rsidP="00FB270A">
      <w:pPr>
        <w:spacing w:after="0" w:line="360" w:lineRule="auto"/>
        <w:contextualSpacing/>
        <w:rPr>
          <w:rFonts w:cs="Times New Roman"/>
          <w:color w:val="000000" w:themeColor="text1"/>
          <w:szCs w:val="24"/>
        </w:rPr>
      </w:pPr>
    </w:p>
    <w:p w14:paraId="4255D4A7" w14:textId="77777777" w:rsidR="00FB270A" w:rsidRPr="0003124D" w:rsidRDefault="00FB270A" w:rsidP="00FB270A">
      <w:pPr>
        <w:spacing w:after="0" w:line="360" w:lineRule="auto"/>
        <w:contextualSpacing/>
        <w:rPr>
          <w:rFonts w:cs="Times New Roman"/>
          <w:color w:val="000000" w:themeColor="text1"/>
          <w:szCs w:val="24"/>
        </w:rPr>
      </w:pPr>
    </w:p>
    <w:p w14:paraId="71CBD5D1" w14:textId="77777777" w:rsidR="00FB270A" w:rsidRPr="0003124D" w:rsidRDefault="00FB270A" w:rsidP="00FB270A">
      <w:pPr>
        <w:spacing w:after="0" w:line="360" w:lineRule="auto"/>
        <w:contextualSpacing/>
        <w:rPr>
          <w:rFonts w:cs="Times New Roman"/>
          <w:color w:val="000000" w:themeColor="text1"/>
          <w:szCs w:val="24"/>
        </w:rPr>
      </w:pPr>
    </w:p>
    <w:p w14:paraId="33D6BA3F" w14:textId="77777777" w:rsidR="00FB270A" w:rsidRPr="0003124D" w:rsidRDefault="00FB270A" w:rsidP="00FB270A">
      <w:pPr>
        <w:spacing w:after="0" w:line="360" w:lineRule="auto"/>
        <w:contextualSpacing/>
        <w:rPr>
          <w:rFonts w:cs="Times New Roman"/>
          <w:color w:val="000000" w:themeColor="text1"/>
          <w:szCs w:val="24"/>
        </w:rPr>
      </w:pPr>
    </w:p>
    <w:p w14:paraId="4FB3DE86" w14:textId="77777777" w:rsidR="00FB270A" w:rsidRPr="0003124D" w:rsidRDefault="00FB270A" w:rsidP="00FB270A">
      <w:pPr>
        <w:spacing w:after="0" w:line="360" w:lineRule="auto"/>
        <w:contextualSpacing/>
        <w:rPr>
          <w:rFonts w:cs="Times New Roman"/>
          <w:color w:val="000000" w:themeColor="text1"/>
          <w:szCs w:val="24"/>
        </w:rPr>
      </w:pPr>
    </w:p>
    <w:p w14:paraId="426C9A23" w14:textId="77777777" w:rsidR="00FB270A" w:rsidRPr="0003124D" w:rsidRDefault="00FB270A" w:rsidP="00FB270A">
      <w:pPr>
        <w:spacing w:after="0" w:line="360" w:lineRule="auto"/>
        <w:contextualSpacing/>
        <w:rPr>
          <w:rFonts w:cs="Times New Roman"/>
          <w:color w:val="000000" w:themeColor="text1"/>
          <w:szCs w:val="24"/>
        </w:rPr>
      </w:pPr>
    </w:p>
    <w:p w14:paraId="5B621A4A" w14:textId="77777777" w:rsidR="00FB270A" w:rsidRPr="0003124D" w:rsidRDefault="00FB270A" w:rsidP="00FB270A">
      <w:pPr>
        <w:spacing w:after="0" w:line="360" w:lineRule="auto"/>
        <w:contextualSpacing/>
        <w:rPr>
          <w:rFonts w:cs="Times New Roman"/>
          <w:color w:val="000000" w:themeColor="text1"/>
          <w:szCs w:val="24"/>
        </w:rPr>
      </w:pPr>
    </w:p>
    <w:p w14:paraId="5D976019" w14:textId="77777777" w:rsidR="00FB270A" w:rsidRPr="0003124D" w:rsidRDefault="00FB270A" w:rsidP="00FB270A">
      <w:pPr>
        <w:spacing w:after="0" w:line="360" w:lineRule="auto"/>
        <w:contextualSpacing/>
        <w:rPr>
          <w:rFonts w:cs="Times New Roman"/>
          <w:color w:val="000000" w:themeColor="text1"/>
          <w:szCs w:val="24"/>
        </w:rPr>
      </w:pPr>
    </w:p>
    <w:p w14:paraId="134E8969" w14:textId="77777777" w:rsidR="00FB270A" w:rsidRPr="0003124D" w:rsidRDefault="00FB270A" w:rsidP="00FB270A">
      <w:pPr>
        <w:spacing w:after="0" w:line="360" w:lineRule="auto"/>
        <w:contextualSpacing/>
        <w:rPr>
          <w:rFonts w:cs="Times New Roman"/>
          <w:color w:val="000000" w:themeColor="text1"/>
          <w:szCs w:val="24"/>
        </w:rPr>
      </w:pPr>
    </w:p>
    <w:p w14:paraId="46FA2AF4" w14:textId="77777777" w:rsidR="00FB270A" w:rsidRPr="0003124D" w:rsidRDefault="00FB270A" w:rsidP="00FB270A">
      <w:pPr>
        <w:spacing w:after="0" w:line="360" w:lineRule="auto"/>
        <w:contextualSpacing/>
        <w:rPr>
          <w:rFonts w:cs="Times New Roman"/>
          <w:color w:val="000000" w:themeColor="text1"/>
          <w:szCs w:val="24"/>
        </w:rPr>
      </w:pPr>
    </w:p>
    <w:p w14:paraId="064EBA1F" w14:textId="77777777" w:rsidR="00FB270A" w:rsidRPr="0003124D" w:rsidRDefault="00FB270A" w:rsidP="00FB270A">
      <w:pPr>
        <w:spacing w:after="0" w:line="360" w:lineRule="auto"/>
        <w:contextualSpacing/>
        <w:rPr>
          <w:rFonts w:cs="Times New Roman"/>
          <w:color w:val="000000" w:themeColor="text1"/>
          <w:szCs w:val="24"/>
        </w:rPr>
      </w:pPr>
    </w:p>
    <w:p w14:paraId="1546E4D2" w14:textId="77777777" w:rsidR="00FB270A" w:rsidRPr="0003124D" w:rsidRDefault="00FB270A" w:rsidP="00FB270A">
      <w:pPr>
        <w:spacing w:after="0" w:line="360" w:lineRule="auto"/>
        <w:contextualSpacing/>
        <w:rPr>
          <w:rFonts w:cs="Times New Roman"/>
          <w:color w:val="000000" w:themeColor="text1"/>
          <w:szCs w:val="24"/>
        </w:rPr>
      </w:pPr>
    </w:p>
    <w:p w14:paraId="5BC5108C" w14:textId="77777777" w:rsidR="00FB270A" w:rsidRPr="0003124D" w:rsidRDefault="00FB270A" w:rsidP="00FB270A">
      <w:pPr>
        <w:spacing w:after="0" w:line="360" w:lineRule="auto"/>
        <w:contextualSpacing/>
        <w:rPr>
          <w:rFonts w:cs="Times New Roman"/>
          <w:color w:val="000000" w:themeColor="text1"/>
          <w:szCs w:val="24"/>
        </w:rPr>
      </w:pPr>
    </w:p>
    <w:p w14:paraId="3218B6E8" w14:textId="77777777" w:rsidR="00FB270A" w:rsidRPr="0003124D" w:rsidRDefault="00FB270A" w:rsidP="00FB270A">
      <w:pPr>
        <w:spacing w:after="0" w:line="360" w:lineRule="auto"/>
        <w:contextualSpacing/>
        <w:rPr>
          <w:rFonts w:cs="Times New Roman"/>
          <w:color w:val="000000" w:themeColor="text1"/>
          <w:szCs w:val="24"/>
        </w:rPr>
      </w:pPr>
    </w:p>
    <w:p w14:paraId="792DB945" w14:textId="77777777" w:rsidR="00FB270A" w:rsidRPr="0003124D" w:rsidRDefault="00FB270A" w:rsidP="00FB270A">
      <w:pPr>
        <w:spacing w:after="0" w:line="360" w:lineRule="auto"/>
        <w:contextualSpacing/>
        <w:rPr>
          <w:rFonts w:cs="Times New Roman"/>
          <w:color w:val="000000" w:themeColor="text1"/>
          <w:szCs w:val="24"/>
        </w:rPr>
      </w:pPr>
    </w:p>
    <w:p w14:paraId="6A2987D8" w14:textId="77777777" w:rsidR="00FB270A" w:rsidRPr="0003124D" w:rsidRDefault="00FB270A" w:rsidP="00FB270A">
      <w:pPr>
        <w:spacing w:after="0" w:line="360" w:lineRule="auto"/>
        <w:contextualSpacing/>
        <w:rPr>
          <w:rFonts w:cs="Times New Roman"/>
          <w:color w:val="000000" w:themeColor="text1"/>
          <w:szCs w:val="24"/>
        </w:rPr>
      </w:pPr>
    </w:p>
    <w:p w14:paraId="564D6C5E" w14:textId="77777777" w:rsidR="00FB270A" w:rsidRPr="0003124D" w:rsidRDefault="00FB270A" w:rsidP="00FB270A">
      <w:pPr>
        <w:spacing w:after="0" w:line="360" w:lineRule="auto"/>
        <w:contextualSpacing/>
        <w:rPr>
          <w:rFonts w:cs="Times New Roman"/>
          <w:color w:val="000000" w:themeColor="text1"/>
          <w:szCs w:val="24"/>
        </w:rPr>
      </w:pPr>
    </w:p>
    <w:p w14:paraId="7343387F" w14:textId="77777777" w:rsidR="00FB270A" w:rsidRPr="0003124D" w:rsidRDefault="00FB270A" w:rsidP="00FB270A">
      <w:pPr>
        <w:spacing w:after="0" w:line="360" w:lineRule="auto"/>
        <w:contextualSpacing/>
        <w:rPr>
          <w:rFonts w:cs="Times New Roman"/>
          <w:color w:val="000000" w:themeColor="text1"/>
          <w:szCs w:val="24"/>
        </w:rPr>
      </w:pPr>
    </w:p>
    <w:p w14:paraId="74DB64FB" w14:textId="77777777" w:rsidR="00FB270A" w:rsidRPr="0003124D" w:rsidRDefault="00FB270A" w:rsidP="00FB270A">
      <w:pPr>
        <w:spacing w:after="0" w:line="360" w:lineRule="auto"/>
        <w:contextualSpacing/>
        <w:rPr>
          <w:rFonts w:cs="Times New Roman"/>
          <w:color w:val="000000" w:themeColor="text1"/>
          <w:szCs w:val="24"/>
        </w:rPr>
      </w:pPr>
    </w:p>
    <w:p w14:paraId="1FBDF356" w14:textId="77777777" w:rsidR="00FB270A" w:rsidRPr="0003124D" w:rsidRDefault="00FB270A" w:rsidP="00FB270A">
      <w:pPr>
        <w:spacing w:after="0" w:line="360" w:lineRule="auto"/>
        <w:contextualSpacing/>
        <w:rPr>
          <w:rFonts w:cs="Times New Roman"/>
          <w:color w:val="000000" w:themeColor="text1"/>
          <w:szCs w:val="24"/>
        </w:rPr>
      </w:pPr>
    </w:p>
    <w:p w14:paraId="552CF159" w14:textId="77777777" w:rsidR="00FB270A" w:rsidRPr="0003124D" w:rsidRDefault="00FB270A" w:rsidP="00FB270A">
      <w:pPr>
        <w:spacing w:after="0" w:line="360" w:lineRule="auto"/>
        <w:contextualSpacing/>
        <w:rPr>
          <w:rFonts w:cs="Times New Roman"/>
          <w:color w:val="000000" w:themeColor="text1"/>
          <w:szCs w:val="24"/>
        </w:rPr>
      </w:pPr>
      <w:r w:rsidRPr="0003124D">
        <w:rPr>
          <w:rFonts w:cs="Times New Roman"/>
          <w:b/>
          <w:bCs/>
          <w:noProof/>
          <w:color w:val="000000" w:themeColor="text1"/>
          <w:szCs w:val="24"/>
        </w:rPr>
        <w:lastRenderedPageBreak/>
        <mc:AlternateContent>
          <mc:Choice Requires="wps">
            <w:drawing>
              <wp:anchor distT="45720" distB="45720" distL="114300" distR="114300" simplePos="0" relativeHeight="251660288" behindDoc="0" locked="0" layoutInCell="1" allowOverlap="1" wp14:anchorId="496D4559" wp14:editId="000A4FC9">
                <wp:simplePos x="0" y="0"/>
                <wp:positionH relativeFrom="margin">
                  <wp:align>left</wp:align>
                </wp:positionH>
                <wp:positionV relativeFrom="paragraph">
                  <wp:posOffset>338455</wp:posOffset>
                </wp:positionV>
                <wp:extent cx="5798820" cy="755015"/>
                <wp:effectExtent l="0" t="0" r="11430" b="26035"/>
                <wp:wrapTopAndBottom/>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820" cy="755374"/>
                        </a:xfrm>
                        <a:prstGeom prst="rect">
                          <a:avLst/>
                        </a:prstGeom>
                        <a:solidFill>
                          <a:srgbClr val="FFFFFF"/>
                        </a:solidFill>
                        <a:ln w="9525">
                          <a:solidFill>
                            <a:srgbClr val="000000"/>
                          </a:solidFill>
                          <a:miter lim="800000"/>
                          <a:headEnd/>
                          <a:tailEnd/>
                        </a:ln>
                      </wps:spPr>
                      <wps:txbx>
                        <w:txbxContent>
                          <w:p w14:paraId="39C86D6F" w14:textId="77777777" w:rsidR="00FB270A" w:rsidRDefault="00FB270A" w:rsidP="00FB270A">
                            <w:pPr>
                              <w:spacing w:line="360" w:lineRule="auto"/>
                              <w:jc w:val="both"/>
                              <w:rPr>
                                <w:rFonts w:eastAsia="Times New Roman" w:cs="Times New Roman"/>
                                <w:color w:val="2D2D2D"/>
                                <w:sz w:val="20"/>
                                <w:szCs w:val="20"/>
                                <w:lang w:eastAsia="en-AU"/>
                              </w:rPr>
                            </w:pPr>
                            <w:r w:rsidRPr="00DD7969">
                              <w:rPr>
                                <w:rFonts w:eastAsia="Times New Roman" w:cs="Times New Roman"/>
                                <w:color w:val="2D2D2D"/>
                                <w:sz w:val="20"/>
                                <w:szCs w:val="20"/>
                                <w:lang w:eastAsia="en-AU"/>
                              </w:rPr>
                              <w:t>(Bunion* or ‘Hallux abductus valgus’ or ‘First metatarsus varus’</w:t>
                            </w:r>
                            <w:r>
                              <w:rPr>
                                <w:rFonts w:eastAsia="Times New Roman" w:cs="Times New Roman"/>
                                <w:color w:val="2D2D2D"/>
                                <w:sz w:val="20"/>
                                <w:szCs w:val="20"/>
                                <w:lang w:eastAsia="en-AU"/>
                              </w:rPr>
                              <w:t xml:space="preserve"> or hallux*) AND ((local NEAR/</w:t>
                            </w:r>
                            <w:r w:rsidRPr="00DD7969">
                              <w:rPr>
                                <w:rFonts w:eastAsia="Times New Roman" w:cs="Times New Roman"/>
                                <w:color w:val="2D2D2D"/>
                                <w:sz w:val="20"/>
                                <w:szCs w:val="20"/>
                                <w:lang w:eastAsia="en-AU"/>
                              </w:rPr>
                              <w:t>1 (infiltration or block</w:t>
                            </w:r>
                            <w:r>
                              <w:rPr>
                                <w:rFonts w:eastAsia="Times New Roman" w:cs="Times New Roman"/>
                                <w:color w:val="2D2D2D"/>
                                <w:sz w:val="20"/>
                                <w:szCs w:val="20"/>
                                <w:lang w:eastAsia="en-AU"/>
                              </w:rPr>
                              <w:t xml:space="preserve"> or an? esthetic or an?esthes*)) OR </w:t>
                            </w:r>
                            <w:r w:rsidRPr="00DD7969">
                              <w:rPr>
                                <w:rFonts w:eastAsia="Times New Roman" w:cs="Times New Roman"/>
                                <w:color w:val="2D2D2D"/>
                                <w:sz w:val="20"/>
                                <w:szCs w:val="20"/>
                                <w:lang w:eastAsia="en-AU"/>
                              </w:rPr>
                              <w:t>(‘proximal nerve blocks’ or ‘Ankle block’ or ‘Saphenous nerve block’</w:t>
                            </w:r>
                            <w:r>
                              <w:rPr>
                                <w:rFonts w:eastAsia="Times New Roman" w:cs="Times New Roman"/>
                                <w:color w:val="2D2D2D"/>
                                <w:sz w:val="20"/>
                                <w:szCs w:val="20"/>
                                <w:lang w:eastAsia="en-AU"/>
                              </w:rPr>
                              <w:t>))</w:t>
                            </w:r>
                          </w:p>
                          <w:p w14:paraId="591B158A" w14:textId="77777777" w:rsidR="00FB270A" w:rsidRDefault="00FB270A" w:rsidP="00FB270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6D4559" id="_x0000_s1027" type="#_x0000_t202" style="position:absolute;margin-left:0;margin-top:26.65pt;width:456.6pt;height:59.4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">
                <v:textbox>
                  <w:txbxContent>
                    <w:p w14:paraId="39C86D6F" w14:textId="77777777" w:rsidR="00FB270A" w:rsidRDefault="00FB270A" w:rsidP="00FB270A">
                      <w:pPr>
                        <w:spacing w:line="360" w:lineRule="auto"/>
                        <w:jc w:val="both"/>
                        <w:rPr>
                          <w:rFonts w:eastAsia="Times New Roman" w:cs="Times New Roman"/>
                          <w:color w:val="2D2D2D"/>
                          <w:sz w:val="20"/>
                          <w:szCs w:val="20"/>
                          <w:lang w:eastAsia="en-AU"/>
                        </w:rPr>
                      </w:pPr>
                      <w:r w:rsidRPr="00DD7969">
                        <w:rPr>
                          <w:rFonts w:eastAsia="Times New Roman" w:cs="Times New Roman"/>
                          <w:color w:val="2D2D2D"/>
                          <w:sz w:val="20"/>
                          <w:szCs w:val="20"/>
                          <w:lang w:eastAsia="en-AU"/>
                        </w:rPr>
                        <w:t>(Bunion* or ‘Hallux abductus valgus’ or ‘First metatarsus varus’</w:t>
                      </w:r>
                      <w:r>
                        <w:rPr>
                          <w:rFonts w:eastAsia="Times New Roman" w:cs="Times New Roman"/>
                          <w:color w:val="2D2D2D"/>
                          <w:sz w:val="20"/>
                          <w:szCs w:val="20"/>
                          <w:lang w:eastAsia="en-AU"/>
                        </w:rPr>
                        <w:t xml:space="preserve"> or hallux*) AND ((local NEAR/</w:t>
                      </w:r>
                      <w:r w:rsidRPr="00DD7969">
                        <w:rPr>
                          <w:rFonts w:eastAsia="Times New Roman" w:cs="Times New Roman"/>
                          <w:color w:val="2D2D2D"/>
                          <w:sz w:val="20"/>
                          <w:szCs w:val="20"/>
                          <w:lang w:eastAsia="en-AU"/>
                        </w:rPr>
                        <w:t>1 (infiltration or block</w:t>
                      </w:r>
                      <w:r>
                        <w:rPr>
                          <w:rFonts w:eastAsia="Times New Roman" w:cs="Times New Roman"/>
                          <w:color w:val="2D2D2D"/>
                          <w:sz w:val="20"/>
                          <w:szCs w:val="20"/>
                          <w:lang w:eastAsia="en-AU"/>
                        </w:rPr>
                        <w:t xml:space="preserve"> or an? esthetic or an?esthes*)) OR </w:t>
                      </w:r>
                      <w:r w:rsidRPr="00DD7969">
                        <w:rPr>
                          <w:rFonts w:eastAsia="Times New Roman" w:cs="Times New Roman"/>
                          <w:color w:val="2D2D2D"/>
                          <w:sz w:val="20"/>
                          <w:szCs w:val="20"/>
                          <w:lang w:eastAsia="en-AU"/>
                        </w:rPr>
                        <w:t>(‘proximal nerve blocks’ or ‘Ankle block’ or ‘Saphenous nerve block’</w:t>
                      </w:r>
                      <w:r>
                        <w:rPr>
                          <w:rFonts w:eastAsia="Times New Roman" w:cs="Times New Roman"/>
                          <w:color w:val="2D2D2D"/>
                          <w:sz w:val="20"/>
                          <w:szCs w:val="20"/>
                          <w:lang w:eastAsia="en-AU"/>
                        </w:rPr>
                        <w:t>))</w:t>
                      </w:r>
                    </w:p>
                    <w:p w14:paraId="591B158A" w14:textId="77777777" w:rsidR="00FB270A" w:rsidRDefault="00FB270A" w:rsidP="00FB270A"/>
                  </w:txbxContent>
                </v:textbox>
                <w10:wrap type="topAndBottom" anchorx="margin"/>
              </v:shape>
            </w:pict>
          </mc:Fallback>
        </mc:AlternateContent>
      </w:r>
      <w:r w:rsidRPr="0003124D">
        <w:rPr>
          <w:rFonts w:cs="Times New Roman"/>
          <w:b/>
          <w:bCs/>
          <w:color w:val="000000" w:themeColor="text1"/>
          <w:szCs w:val="24"/>
        </w:rPr>
        <w:t xml:space="preserve">2C. </w:t>
      </w:r>
      <w:r w:rsidRPr="0003124D">
        <w:rPr>
          <w:rFonts w:cs="Times New Roman"/>
          <w:color w:val="000000" w:themeColor="text1"/>
          <w:szCs w:val="24"/>
        </w:rPr>
        <w:t>Web of Science:</w:t>
      </w:r>
    </w:p>
    <w:p w14:paraId="3833CBA2" w14:textId="77777777" w:rsidR="00FB270A" w:rsidRPr="0003124D" w:rsidRDefault="00FB270A" w:rsidP="00FB270A">
      <w:pPr>
        <w:spacing w:after="0" w:line="360" w:lineRule="auto"/>
        <w:contextualSpacing/>
        <w:rPr>
          <w:rFonts w:cs="Times New Roman"/>
          <w:color w:val="000000" w:themeColor="text1"/>
          <w:szCs w:val="24"/>
        </w:rPr>
      </w:pPr>
    </w:p>
    <w:p w14:paraId="3617D9B2" w14:textId="77777777" w:rsidR="00FB270A" w:rsidRPr="0003124D" w:rsidRDefault="00FB270A" w:rsidP="00FB270A">
      <w:pPr>
        <w:spacing w:after="0" w:line="360" w:lineRule="auto"/>
        <w:contextualSpacing/>
        <w:rPr>
          <w:rFonts w:cs="Times New Roman"/>
          <w:color w:val="000000" w:themeColor="text1"/>
          <w:szCs w:val="24"/>
        </w:rPr>
      </w:pPr>
    </w:p>
    <w:p w14:paraId="4C076551" w14:textId="77777777" w:rsidR="00FB270A" w:rsidRPr="0003124D" w:rsidRDefault="00FB270A" w:rsidP="00FB270A">
      <w:pPr>
        <w:spacing w:after="0" w:line="360" w:lineRule="auto"/>
        <w:contextualSpacing/>
        <w:rPr>
          <w:rFonts w:cs="Times New Roman"/>
          <w:color w:val="000000" w:themeColor="text1"/>
          <w:szCs w:val="24"/>
        </w:rPr>
      </w:pPr>
    </w:p>
    <w:p w14:paraId="52C6C498" w14:textId="77777777" w:rsidR="00FB270A" w:rsidRPr="0003124D" w:rsidRDefault="00FB270A" w:rsidP="00FB270A">
      <w:pPr>
        <w:spacing w:after="0" w:line="360" w:lineRule="auto"/>
        <w:contextualSpacing/>
        <w:rPr>
          <w:rFonts w:cs="Times New Roman"/>
          <w:color w:val="000000" w:themeColor="text1"/>
          <w:szCs w:val="24"/>
        </w:rPr>
      </w:pPr>
    </w:p>
    <w:p w14:paraId="2E70D1D6" w14:textId="77777777" w:rsidR="00FB270A" w:rsidRPr="0003124D" w:rsidRDefault="00FB270A" w:rsidP="00FB270A">
      <w:pPr>
        <w:spacing w:after="0" w:line="360" w:lineRule="auto"/>
        <w:contextualSpacing/>
        <w:rPr>
          <w:rFonts w:cs="Times New Roman"/>
          <w:color w:val="000000" w:themeColor="text1"/>
          <w:szCs w:val="24"/>
        </w:rPr>
      </w:pPr>
    </w:p>
    <w:p w14:paraId="392ED7AF" w14:textId="77777777" w:rsidR="00FB270A" w:rsidRPr="0003124D" w:rsidRDefault="00FB270A" w:rsidP="00FB270A">
      <w:pPr>
        <w:spacing w:after="0" w:line="360" w:lineRule="auto"/>
        <w:contextualSpacing/>
        <w:rPr>
          <w:rFonts w:cs="Times New Roman"/>
          <w:color w:val="000000" w:themeColor="text1"/>
          <w:szCs w:val="24"/>
        </w:rPr>
      </w:pPr>
    </w:p>
    <w:p w14:paraId="55151F5A" w14:textId="77777777" w:rsidR="00FB270A" w:rsidRPr="0003124D" w:rsidRDefault="00FB270A" w:rsidP="00FB270A">
      <w:pPr>
        <w:spacing w:after="0" w:line="360" w:lineRule="auto"/>
        <w:contextualSpacing/>
        <w:rPr>
          <w:rFonts w:cs="Times New Roman"/>
          <w:color w:val="000000" w:themeColor="text1"/>
          <w:szCs w:val="24"/>
        </w:rPr>
      </w:pPr>
    </w:p>
    <w:p w14:paraId="2660A42D" w14:textId="77777777" w:rsidR="00FB270A" w:rsidRPr="0003124D" w:rsidRDefault="00FB270A" w:rsidP="00FB270A">
      <w:pPr>
        <w:spacing w:after="0" w:line="360" w:lineRule="auto"/>
        <w:contextualSpacing/>
        <w:rPr>
          <w:rFonts w:cs="Times New Roman"/>
          <w:color w:val="000000" w:themeColor="text1"/>
          <w:szCs w:val="24"/>
        </w:rPr>
      </w:pPr>
    </w:p>
    <w:p w14:paraId="64871C13" w14:textId="77777777" w:rsidR="00FB270A" w:rsidRPr="0003124D" w:rsidRDefault="00FB270A" w:rsidP="00FB270A">
      <w:pPr>
        <w:spacing w:after="0" w:line="360" w:lineRule="auto"/>
        <w:contextualSpacing/>
        <w:rPr>
          <w:rFonts w:cs="Times New Roman"/>
          <w:color w:val="000000" w:themeColor="text1"/>
          <w:szCs w:val="24"/>
        </w:rPr>
      </w:pPr>
    </w:p>
    <w:p w14:paraId="2E4CFAEA" w14:textId="77777777" w:rsidR="00FB270A" w:rsidRPr="0003124D" w:rsidRDefault="00FB270A" w:rsidP="00FB270A">
      <w:pPr>
        <w:spacing w:after="0" w:line="360" w:lineRule="auto"/>
        <w:contextualSpacing/>
        <w:rPr>
          <w:rFonts w:cs="Times New Roman"/>
          <w:color w:val="000000" w:themeColor="text1"/>
          <w:szCs w:val="24"/>
        </w:rPr>
      </w:pPr>
    </w:p>
    <w:p w14:paraId="5A42C011" w14:textId="77777777" w:rsidR="00FB270A" w:rsidRPr="0003124D" w:rsidRDefault="00FB270A" w:rsidP="00FB270A">
      <w:pPr>
        <w:spacing w:after="0" w:line="360" w:lineRule="auto"/>
        <w:contextualSpacing/>
        <w:rPr>
          <w:rFonts w:cs="Times New Roman"/>
          <w:color w:val="000000" w:themeColor="text1"/>
          <w:szCs w:val="24"/>
        </w:rPr>
      </w:pPr>
    </w:p>
    <w:p w14:paraId="4DCF3CF1" w14:textId="77777777" w:rsidR="00FB270A" w:rsidRPr="0003124D" w:rsidRDefault="00FB270A" w:rsidP="00FB270A">
      <w:pPr>
        <w:spacing w:after="0" w:line="360" w:lineRule="auto"/>
        <w:contextualSpacing/>
        <w:rPr>
          <w:rFonts w:cs="Times New Roman"/>
          <w:color w:val="000000" w:themeColor="text1"/>
          <w:szCs w:val="24"/>
        </w:rPr>
      </w:pPr>
    </w:p>
    <w:p w14:paraId="2261D18E" w14:textId="77777777" w:rsidR="00FB270A" w:rsidRPr="0003124D" w:rsidRDefault="00FB270A" w:rsidP="00FB270A">
      <w:pPr>
        <w:spacing w:after="0" w:line="360" w:lineRule="auto"/>
        <w:contextualSpacing/>
        <w:rPr>
          <w:rFonts w:cs="Times New Roman"/>
          <w:color w:val="000000" w:themeColor="text1"/>
          <w:szCs w:val="24"/>
        </w:rPr>
      </w:pPr>
    </w:p>
    <w:p w14:paraId="1DB0EC8F" w14:textId="77777777" w:rsidR="00FB270A" w:rsidRPr="0003124D" w:rsidRDefault="00FB270A" w:rsidP="00FB270A">
      <w:pPr>
        <w:spacing w:after="0" w:line="360" w:lineRule="auto"/>
        <w:contextualSpacing/>
        <w:rPr>
          <w:rFonts w:cs="Times New Roman"/>
          <w:color w:val="000000" w:themeColor="text1"/>
          <w:szCs w:val="24"/>
        </w:rPr>
      </w:pPr>
    </w:p>
    <w:p w14:paraId="276FF7BA" w14:textId="77777777" w:rsidR="00FB270A" w:rsidRPr="0003124D" w:rsidRDefault="00FB270A" w:rsidP="00FB270A">
      <w:pPr>
        <w:spacing w:after="0" w:line="360" w:lineRule="auto"/>
        <w:contextualSpacing/>
        <w:rPr>
          <w:rFonts w:cs="Times New Roman"/>
          <w:color w:val="000000" w:themeColor="text1"/>
          <w:szCs w:val="24"/>
        </w:rPr>
      </w:pPr>
    </w:p>
    <w:p w14:paraId="0D7F62E1" w14:textId="77777777" w:rsidR="00FB270A" w:rsidRPr="0003124D" w:rsidRDefault="00FB270A" w:rsidP="00FB270A">
      <w:pPr>
        <w:spacing w:after="0" w:line="360" w:lineRule="auto"/>
        <w:contextualSpacing/>
        <w:rPr>
          <w:rFonts w:cs="Times New Roman"/>
          <w:color w:val="000000" w:themeColor="text1"/>
          <w:szCs w:val="24"/>
        </w:rPr>
      </w:pPr>
    </w:p>
    <w:p w14:paraId="6B011014" w14:textId="77777777" w:rsidR="00FB270A" w:rsidRPr="0003124D" w:rsidRDefault="00FB270A" w:rsidP="00FB270A">
      <w:pPr>
        <w:spacing w:after="0" w:line="360" w:lineRule="auto"/>
        <w:contextualSpacing/>
        <w:rPr>
          <w:rFonts w:cs="Times New Roman"/>
          <w:color w:val="000000" w:themeColor="text1"/>
          <w:szCs w:val="24"/>
        </w:rPr>
      </w:pPr>
    </w:p>
    <w:p w14:paraId="22D2ADE7" w14:textId="77777777" w:rsidR="00FB270A" w:rsidRPr="0003124D" w:rsidRDefault="00FB270A" w:rsidP="00FB270A">
      <w:pPr>
        <w:spacing w:after="0" w:line="360" w:lineRule="auto"/>
        <w:contextualSpacing/>
        <w:rPr>
          <w:rFonts w:cs="Times New Roman"/>
          <w:color w:val="000000" w:themeColor="text1"/>
          <w:szCs w:val="24"/>
        </w:rPr>
      </w:pPr>
    </w:p>
    <w:p w14:paraId="07663A48" w14:textId="77777777" w:rsidR="00FB270A" w:rsidRPr="0003124D" w:rsidRDefault="00FB270A" w:rsidP="00FB270A">
      <w:pPr>
        <w:spacing w:after="0" w:line="360" w:lineRule="auto"/>
        <w:contextualSpacing/>
        <w:rPr>
          <w:rFonts w:cs="Times New Roman"/>
          <w:color w:val="000000" w:themeColor="text1"/>
          <w:szCs w:val="24"/>
        </w:rPr>
      </w:pPr>
    </w:p>
    <w:p w14:paraId="77D69AF1" w14:textId="77777777" w:rsidR="00FB270A" w:rsidRPr="0003124D" w:rsidRDefault="00FB270A" w:rsidP="00FB270A">
      <w:pPr>
        <w:spacing w:after="0" w:line="360" w:lineRule="auto"/>
        <w:contextualSpacing/>
        <w:rPr>
          <w:rFonts w:cs="Times New Roman"/>
          <w:color w:val="000000" w:themeColor="text1"/>
          <w:szCs w:val="24"/>
        </w:rPr>
      </w:pPr>
    </w:p>
    <w:p w14:paraId="7F0317FE" w14:textId="77777777" w:rsidR="00FB270A" w:rsidRPr="0003124D" w:rsidRDefault="00FB270A" w:rsidP="00FB270A">
      <w:pPr>
        <w:spacing w:after="0" w:line="360" w:lineRule="auto"/>
        <w:contextualSpacing/>
        <w:rPr>
          <w:rFonts w:cs="Times New Roman"/>
          <w:color w:val="000000" w:themeColor="text1"/>
          <w:szCs w:val="24"/>
        </w:rPr>
      </w:pPr>
    </w:p>
    <w:p w14:paraId="34BC62A3" w14:textId="77777777" w:rsidR="00FB270A" w:rsidRPr="0003124D" w:rsidRDefault="00FB270A" w:rsidP="00FB270A">
      <w:pPr>
        <w:spacing w:after="0" w:line="360" w:lineRule="auto"/>
        <w:contextualSpacing/>
        <w:rPr>
          <w:rFonts w:cs="Times New Roman"/>
          <w:color w:val="000000" w:themeColor="text1"/>
          <w:szCs w:val="24"/>
        </w:rPr>
      </w:pPr>
    </w:p>
    <w:p w14:paraId="3A20C854" w14:textId="77777777" w:rsidR="00FB270A" w:rsidRPr="0003124D" w:rsidRDefault="00FB270A" w:rsidP="00FB270A">
      <w:pPr>
        <w:spacing w:after="0" w:line="360" w:lineRule="auto"/>
        <w:contextualSpacing/>
        <w:rPr>
          <w:rFonts w:cs="Times New Roman"/>
          <w:color w:val="000000" w:themeColor="text1"/>
          <w:szCs w:val="24"/>
        </w:rPr>
      </w:pPr>
    </w:p>
    <w:p w14:paraId="16B21270" w14:textId="77777777" w:rsidR="00FB270A" w:rsidRPr="0003124D" w:rsidRDefault="00FB270A" w:rsidP="00FB270A">
      <w:pPr>
        <w:spacing w:after="0" w:line="360" w:lineRule="auto"/>
        <w:contextualSpacing/>
        <w:rPr>
          <w:rFonts w:cs="Times New Roman"/>
          <w:color w:val="000000" w:themeColor="text1"/>
          <w:szCs w:val="24"/>
        </w:rPr>
      </w:pPr>
    </w:p>
    <w:p w14:paraId="487A16F2" w14:textId="77777777" w:rsidR="00FB270A" w:rsidRPr="0003124D" w:rsidRDefault="00FB270A" w:rsidP="00FB270A">
      <w:pPr>
        <w:spacing w:after="0" w:line="360" w:lineRule="auto"/>
        <w:contextualSpacing/>
        <w:rPr>
          <w:rFonts w:cs="Times New Roman"/>
          <w:color w:val="000000" w:themeColor="text1"/>
          <w:szCs w:val="24"/>
        </w:rPr>
      </w:pPr>
    </w:p>
    <w:p w14:paraId="0ECF2DF7" w14:textId="77777777" w:rsidR="00FB270A" w:rsidRPr="0003124D" w:rsidRDefault="00FB270A" w:rsidP="00FB270A">
      <w:pPr>
        <w:spacing w:after="0" w:line="360" w:lineRule="auto"/>
        <w:contextualSpacing/>
        <w:rPr>
          <w:rFonts w:cs="Times New Roman"/>
          <w:color w:val="000000" w:themeColor="text1"/>
          <w:szCs w:val="24"/>
        </w:rPr>
      </w:pPr>
    </w:p>
    <w:p w14:paraId="3D230D5C" w14:textId="77777777" w:rsidR="00FB270A" w:rsidRPr="0003124D" w:rsidRDefault="00FB270A" w:rsidP="00FB270A">
      <w:pPr>
        <w:spacing w:after="0" w:line="360" w:lineRule="auto"/>
        <w:contextualSpacing/>
        <w:jc w:val="both"/>
        <w:rPr>
          <w:rFonts w:cs="Times New Roman"/>
          <w:b/>
          <w:bCs/>
          <w:color w:val="000000" w:themeColor="text1"/>
          <w:szCs w:val="24"/>
        </w:rPr>
      </w:pPr>
    </w:p>
    <w:p w14:paraId="04C457D8" w14:textId="77777777" w:rsidR="00FB270A" w:rsidRPr="0003124D" w:rsidRDefault="00FB270A" w:rsidP="00FB270A">
      <w:pPr>
        <w:spacing w:after="0" w:line="360" w:lineRule="auto"/>
        <w:contextualSpacing/>
        <w:jc w:val="both"/>
        <w:rPr>
          <w:rFonts w:cs="Times New Roman"/>
          <w:b/>
          <w:bCs/>
          <w:color w:val="000000" w:themeColor="text1"/>
          <w:szCs w:val="24"/>
        </w:rPr>
      </w:pPr>
    </w:p>
    <w:p w14:paraId="7B6AAFA3" w14:textId="77777777" w:rsidR="00FB270A" w:rsidRPr="0003124D" w:rsidRDefault="00FB270A" w:rsidP="00FB270A">
      <w:pPr>
        <w:spacing w:after="0" w:line="360" w:lineRule="auto"/>
        <w:contextualSpacing/>
        <w:jc w:val="both"/>
        <w:rPr>
          <w:rFonts w:cs="Times New Roman"/>
          <w:b/>
          <w:bCs/>
          <w:color w:val="000000" w:themeColor="text1"/>
          <w:szCs w:val="24"/>
        </w:rPr>
      </w:pPr>
    </w:p>
    <w:p w14:paraId="46E10CEE" w14:textId="77777777" w:rsidR="00FB270A" w:rsidRPr="0003124D" w:rsidRDefault="00FB270A" w:rsidP="00FB270A">
      <w:pPr>
        <w:spacing w:after="0" w:line="360" w:lineRule="auto"/>
        <w:contextualSpacing/>
        <w:jc w:val="both"/>
        <w:rPr>
          <w:rFonts w:cs="Times New Roman"/>
          <w:b/>
          <w:bCs/>
          <w:color w:val="000000" w:themeColor="text1"/>
          <w:szCs w:val="24"/>
        </w:rPr>
      </w:pPr>
    </w:p>
    <w:p w14:paraId="42B9E518" w14:textId="77777777" w:rsidR="00FB270A" w:rsidRDefault="00FB270A" w:rsidP="00FB270A">
      <w:pPr>
        <w:tabs>
          <w:tab w:val="left" w:pos="2420"/>
        </w:tabs>
        <w:spacing w:after="120" w:line="360" w:lineRule="auto"/>
        <w:contextualSpacing/>
        <w:jc w:val="both"/>
        <w:rPr>
          <w:rFonts w:cs="Times New Roman"/>
          <w:color w:val="000000" w:themeColor="text1"/>
          <w:szCs w:val="24"/>
        </w:rPr>
      </w:pPr>
      <w:r w:rsidRPr="0003124D">
        <w:rPr>
          <w:rFonts w:cs="Times New Roman"/>
          <w:b/>
          <w:bCs/>
          <w:color w:val="000000" w:themeColor="text1"/>
          <w:szCs w:val="24"/>
        </w:rPr>
        <w:lastRenderedPageBreak/>
        <w:t xml:space="preserve">2D. </w:t>
      </w:r>
      <w:r w:rsidRPr="0003124D">
        <w:rPr>
          <w:rFonts w:cs="Times New Roman"/>
          <w:color w:val="000000" w:themeColor="text1"/>
          <w:szCs w:val="24"/>
        </w:rPr>
        <w:t>PubMed:</w:t>
      </w:r>
      <w:r>
        <w:rPr>
          <w:rFonts w:cs="Times New Roman"/>
          <w:color w:val="000000" w:themeColor="text1"/>
          <w:szCs w:val="24"/>
        </w:rPr>
        <w:tab/>
      </w:r>
    </w:p>
    <w:p w14:paraId="7096B35D" w14:textId="77777777" w:rsidR="00FB270A" w:rsidRPr="0003124D" w:rsidRDefault="00FB270A" w:rsidP="00FB270A">
      <w:pPr>
        <w:spacing w:after="0" w:line="360" w:lineRule="auto"/>
        <w:contextualSpacing/>
        <w:jc w:val="both"/>
        <w:rPr>
          <w:rFonts w:cs="Times New Roman"/>
          <w:b/>
          <w:bCs/>
          <w:color w:val="000000" w:themeColor="text1"/>
          <w:szCs w:val="24"/>
        </w:rPr>
      </w:pPr>
      <w:r w:rsidRPr="0003124D">
        <w:rPr>
          <w:rFonts w:cs="Times New Roman"/>
          <w:noProof/>
          <w:color w:val="000000" w:themeColor="text1"/>
          <w:szCs w:val="24"/>
        </w:rPr>
        <mc:AlternateContent>
          <mc:Choice Requires="wps">
            <w:drawing>
              <wp:inline distT="0" distB="0" distL="0" distR="0" wp14:anchorId="26A38D71" wp14:editId="6B75DD19">
                <wp:extent cx="5630779" cy="986590"/>
                <wp:effectExtent l="0" t="0" r="27305" b="23495"/>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0779" cy="986590"/>
                        </a:xfrm>
                        <a:prstGeom prst="rect">
                          <a:avLst/>
                        </a:prstGeom>
                        <a:solidFill>
                          <a:srgbClr val="FFFFFF"/>
                        </a:solidFill>
                        <a:ln w="9525">
                          <a:solidFill>
                            <a:srgbClr val="000000"/>
                          </a:solidFill>
                          <a:miter lim="800000"/>
                          <a:headEnd/>
                          <a:tailEnd/>
                        </a:ln>
                      </wps:spPr>
                      <wps:txbx>
                        <w:txbxContent>
                          <w:p w14:paraId="10260A85" w14:textId="77777777" w:rsidR="00FB270A" w:rsidRDefault="00FB270A" w:rsidP="00FB270A">
                            <w:pPr>
                              <w:spacing w:line="360" w:lineRule="auto"/>
                              <w:jc w:val="both"/>
                              <w:rPr>
                                <w:rFonts w:eastAsia="Times New Roman" w:cs="Times New Roman"/>
                                <w:color w:val="2D2D2D"/>
                                <w:sz w:val="20"/>
                                <w:szCs w:val="20"/>
                                <w:lang w:eastAsia="en-AU"/>
                              </w:rPr>
                            </w:pPr>
                            <w:r>
                              <w:rPr>
                                <w:rFonts w:eastAsia="Times New Roman" w:cs="Times New Roman"/>
                                <w:color w:val="2D2D2D"/>
                                <w:sz w:val="20"/>
                                <w:szCs w:val="20"/>
                                <w:lang w:eastAsia="en-AU"/>
                              </w:rPr>
                              <w:t>(Bunion* or “Hallux abductus valgus” or “First metatarsus varus” or hallux*) AND ((local AND (infiltration or block or an? esthetic or an?esthes*)) OR (“proximal nerve blocks” or “Ankle block” or “Saphenous nerve block”))</w:t>
                            </w:r>
                          </w:p>
                          <w:p w14:paraId="1E6E4FC8" w14:textId="77777777" w:rsidR="00FB270A" w:rsidRDefault="00FB270A" w:rsidP="00FB270A"/>
                        </w:txbxContent>
                      </wps:txbx>
                      <wps:bodyPr rot="0" vert="horz" wrap="square" lIns="91440" tIns="45720" rIns="91440" bIns="45720" anchor="t" anchorCtr="0">
                        <a:noAutofit/>
                      </wps:bodyPr>
                    </wps:wsp>
                  </a:graphicData>
                </a:graphic>
              </wp:inline>
            </w:drawing>
          </mc:Choice>
          <mc:Fallback>
            <w:pict>
              <v:shape w14:anchorId="26A38D71" id="Text Box 2" o:spid="_x0000_s1028" type="#_x0000_t202" style="width:443.35pt;height:7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">
                <v:textbox>
                  <w:txbxContent>
                    <w:p w14:paraId="10260A85" w14:textId="77777777" w:rsidR="00FB270A" w:rsidRDefault="00FB270A" w:rsidP="00FB270A">
                      <w:pPr>
                        <w:spacing w:line="360" w:lineRule="auto"/>
                        <w:jc w:val="both"/>
                        <w:rPr>
                          <w:rFonts w:eastAsia="Times New Roman" w:cs="Times New Roman"/>
                          <w:color w:val="2D2D2D"/>
                          <w:sz w:val="20"/>
                          <w:szCs w:val="20"/>
                          <w:lang w:eastAsia="en-AU"/>
                        </w:rPr>
                      </w:pPr>
                      <w:r>
                        <w:rPr>
                          <w:rFonts w:eastAsia="Times New Roman" w:cs="Times New Roman"/>
                          <w:color w:val="2D2D2D"/>
                          <w:sz w:val="20"/>
                          <w:szCs w:val="20"/>
                          <w:lang w:eastAsia="en-AU"/>
                        </w:rPr>
                        <w:t>(Bunion* or “Hallux abductus valgus” or “First metatarsus varus” or hallux*) AND ((local AND (infiltration or block or an? esthetic or an?esthes*)) OR (“proximal nerve blocks” or “Ankle block” or “Saphenous nerve block”))</w:t>
                      </w:r>
                    </w:p>
                    <w:p w14:paraId="1E6E4FC8" w14:textId="77777777" w:rsidR="00FB270A" w:rsidRDefault="00FB270A" w:rsidP="00FB270A"/>
                  </w:txbxContent>
                </v:textbox>
                <w10:anchorlock/>
              </v:shape>
            </w:pict>
          </mc:Fallback>
        </mc:AlternateContent>
      </w:r>
    </w:p>
    <w:p w14:paraId="606BFB55" w14:textId="77777777" w:rsidR="00FB270A" w:rsidRPr="0003124D" w:rsidRDefault="00FB270A" w:rsidP="00FB270A">
      <w:pPr>
        <w:spacing w:after="0" w:line="360" w:lineRule="auto"/>
        <w:contextualSpacing/>
        <w:jc w:val="both"/>
        <w:rPr>
          <w:rFonts w:cs="Times New Roman"/>
          <w:b/>
          <w:bCs/>
          <w:color w:val="000000" w:themeColor="text1"/>
          <w:szCs w:val="24"/>
        </w:rPr>
      </w:pPr>
    </w:p>
    <w:p w14:paraId="2995D228" w14:textId="77777777" w:rsidR="00FB270A" w:rsidRPr="0003124D" w:rsidRDefault="00FB270A" w:rsidP="00FB270A">
      <w:pPr>
        <w:spacing w:after="0" w:line="360" w:lineRule="auto"/>
        <w:contextualSpacing/>
        <w:rPr>
          <w:rFonts w:cs="Times New Roman"/>
          <w:color w:val="000000" w:themeColor="text1"/>
          <w:szCs w:val="24"/>
        </w:rPr>
      </w:pPr>
    </w:p>
    <w:p w14:paraId="73AC200B" w14:textId="77777777" w:rsidR="00FB270A" w:rsidRPr="0003124D" w:rsidRDefault="00FB270A" w:rsidP="00FB270A">
      <w:pPr>
        <w:spacing w:after="0" w:line="360" w:lineRule="auto"/>
        <w:contextualSpacing/>
        <w:rPr>
          <w:rFonts w:cs="Times New Roman"/>
          <w:color w:val="000000" w:themeColor="text1"/>
          <w:szCs w:val="24"/>
        </w:rPr>
      </w:pPr>
    </w:p>
    <w:p w14:paraId="2D564C32" w14:textId="77777777" w:rsidR="00FB270A" w:rsidRPr="0003124D" w:rsidRDefault="00FB270A" w:rsidP="00FB270A">
      <w:pPr>
        <w:spacing w:after="0" w:line="360" w:lineRule="auto"/>
        <w:contextualSpacing/>
        <w:rPr>
          <w:rFonts w:cs="Times New Roman"/>
          <w:color w:val="000000" w:themeColor="text1"/>
          <w:szCs w:val="24"/>
        </w:rPr>
      </w:pPr>
    </w:p>
    <w:p w14:paraId="62B5D9ED" w14:textId="77777777" w:rsidR="00FB270A" w:rsidRPr="0003124D" w:rsidRDefault="00FB270A" w:rsidP="00FB270A">
      <w:pPr>
        <w:spacing w:after="0" w:line="360" w:lineRule="auto"/>
        <w:contextualSpacing/>
        <w:rPr>
          <w:rFonts w:cs="Times New Roman"/>
          <w:color w:val="000000" w:themeColor="text1"/>
          <w:szCs w:val="24"/>
        </w:rPr>
      </w:pPr>
    </w:p>
    <w:p w14:paraId="7576490A" w14:textId="77777777" w:rsidR="00FB270A" w:rsidRPr="0003124D" w:rsidRDefault="00FB270A" w:rsidP="00FB270A">
      <w:pPr>
        <w:spacing w:after="0" w:line="360" w:lineRule="auto"/>
        <w:contextualSpacing/>
        <w:rPr>
          <w:rFonts w:cs="Times New Roman"/>
          <w:color w:val="000000" w:themeColor="text1"/>
          <w:szCs w:val="24"/>
        </w:rPr>
      </w:pPr>
    </w:p>
    <w:p w14:paraId="55DCECB5" w14:textId="77777777" w:rsidR="00FB270A" w:rsidRPr="0003124D" w:rsidRDefault="00FB270A" w:rsidP="00FB270A">
      <w:pPr>
        <w:spacing w:after="0" w:line="360" w:lineRule="auto"/>
        <w:contextualSpacing/>
        <w:rPr>
          <w:rFonts w:cs="Times New Roman"/>
          <w:color w:val="000000" w:themeColor="text1"/>
          <w:szCs w:val="24"/>
        </w:rPr>
      </w:pPr>
    </w:p>
    <w:p w14:paraId="1771C122" w14:textId="77777777" w:rsidR="00FB270A" w:rsidRPr="0003124D" w:rsidRDefault="00FB270A" w:rsidP="00FB270A">
      <w:pPr>
        <w:spacing w:after="0" w:line="360" w:lineRule="auto"/>
        <w:contextualSpacing/>
        <w:rPr>
          <w:rFonts w:cs="Times New Roman"/>
          <w:color w:val="000000" w:themeColor="text1"/>
          <w:szCs w:val="24"/>
        </w:rPr>
      </w:pPr>
    </w:p>
    <w:p w14:paraId="020B05FA" w14:textId="77777777" w:rsidR="00FB270A" w:rsidRPr="0003124D" w:rsidRDefault="00FB270A" w:rsidP="00FB270A">
      <w:pPr>
        <w:spacing w:after="0" w:line="360" w:lineRule="auto"/>
        <w:contextualSpacing/>
        <w:rPr>
          <w:rFonts w:cs="Times New Roman"/>
          <w:color w:val="000000" w:themeColor="text1"/>
          <w:szCs w:val="24"/>
        </w:rPr>
      </w:pPr>
    </w:p>
    <w:p w14:paraId="7BF10C60" w14:textId="77777777" w:rsidR="00FB270A" w:rsidRPr="0003124D" w:rsidRDefault="00FB270A" w:rsidP="00FB270A">
      <w:pPr>
        <w:spacing w:after="0" w:line="360" w:lineRule="auto"/>
        <w:contextualSpacing/>
        <w:rPr>
          <w:rFonts w:cs="Times New Roman"/>
          <w:color w:val="000000" w:themeColor="text1"/>
          <w:szCs w:val="24"/>
        </w:rPr>
      </w:pPr>
    </w:p>
    <w:p w14:paraId="6974C6CC" w14:textId="77777777" w:rsidR="00FB270A" w:rsidRPr="0003124D" w:rsidRDefault="00FB270A" w:rsidP="00FB270A">
      <w:pPr>
        <w:spacing w:after="0" w:line="360" w:lineRule="auto"/>
        <w:contextualSpacing/>
        <w:rPr>
          <w:rFonts w:cs="Times New Roman"/>
          <w:color w:val="000000" w:themeColor="text1"/>
          <w:szCs w:val="24"/>
        </w:rPr>
      </w:pPr>
    </w:p>
    <w:p w14:paraId="3FFB5DB2" w14:textId="77777777" w:rsidR="00FB270A" w:rsidRPr="0003124D" w:rsidRDefault="00FB270A" w:rsidP="00FB270A">
      <w:pPr>
        <w:spacing w:after="0" w:line="360" w:lineRule="auto"/>
        <w:contextualSpacing/>
        <w:rPr>
          <w:rFonts w:cs="Times New Roman"/>
          <w:color w:val="000000" w:themeColor="text1"/>
          <w:szCs w:val="24"/>
        </w:rPr>
      </w:pPr>
    </w:p>
    <w:p w14:paraId="29464A7C" w14:textId="77777777" w:rsidR="00FB270A" w:rsidRPr="0003124D" w:rsidRDefault="00FB270A" w:rsidP="00FB270A">
      <w:pPr>
        <w:spacing w:after="0" w:line="360" w:lineRule="auto"/>
        <w:contextualSpacing/>
        <w:rPr>
          <w:rFonts w:cs="Times New Roman"/>
          <w:color w:val="000000" w:themeColor="text1"/>
          <w:szCs w:val="24"/>
        </w:rPr>
      </w:pPr>
    </w:p>
    <w:p w14:paraId="08A44234" w14:textId="77777777" w:rsidR="00FB270A" w:rsidRPr="0003124D" w:rsidRDefault="00FB270A" w:rsidP="00FB270A">
      <w:pPr>
        <w:spacing w:after="0" w:line="360" w:lineRule="auto"/>
        <w:contextualSpacing/>
        <w:rPr>
          <w:rFonts w:cs="Times New Roman"/>
          <w:color w:val="000000" w:themeColor="text1"/>
          <w:szCs w:val="24"/>
        </w:rPr>
      </w:pPr>
    </w:p>
    <w:p w14:paraId="208C7F7D" w14:textId="77777777" w:rsidR="00FB270A" w:rsidRPr="0003124D" w:rsidRDefault="00FB270A" w:rsidP="00FB270A">
      <w:pPr>
        <w:spacing w:after="0" w:line="360" w:lineRule="auto"/>
        <w:contextualSpacing/>
        <w:rPr>
          <w:rFonts w:cs="Times New Roman"/>
          <w:color w:val="000000" w:themeColor="text1"/>
          <w:szCs w:val="24"/>
        </w:rPr>
      </w:pPr>
    </w:p>
    <w:p w14:paraId="49039389" w14:textId="77777777" w:rsidR="00FB270A" w:rsidRPr="0003124D" w:rsidRDefault="00FB270A" w:rsidP="00FB270A">
      <w:pPr>
        <w:spacing w:after="0" w:line="360" w:lineRule="auto"/>
        <w:contextualSpacing/>
        <w:rPr>
          <w:rFonts w:cs="Times New Roman"/>
          <w:color w:val="000000" w:themeColor="text1"/>
          <w:szCs w:val="24"/>
        </w:rPr>
      </w:pPr>
    </w:p>
    <w:p w14:paraId="293FC04B" w14:textId="77777777" w:rsidR="00FB270A" w:rsidRPr="0003124D" w:rsidRDefault="00FB270A" w:rsidP="00FB270A">
      <w:pPr>
        <w:spacing w:after="0" w:line="360" w:lineRule="auto"/>
        <w:contextualSpacing/>
        <w:rPr>
          <w:rFonts w:cs="Times New Roman"/>
          <w:color w:val="000000" w:themeColor="text1"/>
          <w:szCs w:val="24"/>
        </w:rPr>
      </w:pPr>
    </w:p>
    <w:p w14:paraId="0DC0C8B4" w14:textId="77777777" w:rsidR="00FB270A" w:rsidRPr="0003124D" w:rsidRDefault="00FB270A" w:rsidP="00FB270A">
      <w:pPr>
        <w:spacing w:after="0" w:line="360" w:lineRule="auto"/>
        <w:contextualSpacing/>
        <w:rPr>
          <w:rFonts w:cs="Times New Roman"/>
          <w:color w:val="000000" w:themeColor="text1"/>
          <w:szCs w:val="24"/>
        </w:rPr>
      </w:pPr>
    </w:p>
    <w:p w14:paraId="37E0517F" w14:textId="77777777" w:rsidR="00FB270A" w:rsidRPr="0003124D" w:rsidRDefault="00FB270A" w:rsidP="00FB270A">
      <w:pPr>
        <w:spacing w:after="0" w:line="360" w:lineRule="auto"/>
        <w:contextualSpacing/>
        <w:rPr>
          <w:rFonts w:cs="Times New Roman"/>
          <w:color w:val="000000" w:themeColor="text1"/>
          <w:szCs w:val="24"/>
        </w:rPr>
      </w:pPr>
    </w:p>
    <w:p w14:paraId="33A34024" w14:textId="77777777" w:rsidR="00FB270A" w:rsidRPr="0003124D" w:rsidRDefault="00FB270A" w:rsidP="00FB270A">
      <w:pPr>
        <w:spacing w:after="0" w:line="360" w:lineRule="auto"/>
        <w:contextualSpacing/>
        <w:rPr>
          <w:rFonts w:cs="Times New Roman"/>
          <w:color w:val="000000" w:themeColor="text1"/>
          <w:szCs w:val="24"/>
        </w:rPr>
      </w:pPr>
    </w:p>
    <w:p w14:paraId="18E0781A" w14:textId="77777777" w:rsidR="00FB270A" w:rsidRPr="0003124D" w:rsidRDefault="00FB270A" w:rsidP="00FB270A">
      <w:pPr>
        <w:spacing w:after="0" w:line="360" w:lineRule="auto"/>
        <w:contextualSpacing/>
        <w:rPr>
          <w:rFonts w:cs="Times New Roman"/>
          <w:color w:val="000000" w:themeColor="text1"/>
          <w:szCs w:val="24"/>
        </w:rPr>
      </w:pPr>
    </w:p>
    <w:p w14:paraId="766C3ACF" w14:textId="77777777" w:rsidR="00FB270A" w:rsidRPr="0003124D" w:rsidRDefault="00FB270A" w:rsidP="00FB270A">
      <w:pPr>
        <w:spacing w:after="0" w:line="360" w:lineRule="auto"/>
        <w:contextualSpacing/>
        <w:rPr>
          <w:rFonts w:cs="Times New Roman"/>
          <w:color w:val="000000" w:themeColor="text1"/>
          <w:szCs w:val="24"/>
        </w:rPr>
      </w:pPr>
    </w:p>
    <w:p w14:paraId="31190E56" w14:textId="77777777" w:rsidR="00FB270A" w:rsidRPr="0003124D" w:rsidRDefault="00FB270A" w:rsidP="00FB270A">
      <w:pPr>
        <w:spacing w:after="0" w:line="360" w:lineRule="auto"/>
        <w:contextualSpacing/>
        <w:rPr>
          <w:rFonts w:cs="Times New Roman"/>
          <w:color w:val="000000" w:themeColor="text1"/>
          <w:szCs w:val="24"/>
        </w:rPr>
      </w:pPr>
    </w:p>
    <w:p w14:paraId="2947CBE4" w14:textId="77777777" w:rsidR="00FB270A" w:rsidRPr="0003124D" w:rsidRDefault="00FB270A" w:rsidP="00FB270A">
      <w:pPr>
        <w:spacing w:after="0" w:line="360" w:lineRule="auto"/>
        <w:contextualSpacing/>
        <w:jc w:val="both"/>
        <w:rPr>
          <w:rFonts w:cs="Times New Roman"/>
          <w:color w:val="000000" w:themeColor="text1"/>
          <w:szCs w:val="24"/>
        </w:rPr>
      </w:pPr>
    </w:p>
    <w:p w14:paraId="4265AAB7" w14:textId="77777777" w:rsidR="00FB270A" w:rsidRPr="0003124D" w:rsidRDefault="00FB270A" w:rsidP="00FB270A">
      <w:pPr>
        <w:spacing w:after="0" w:line="360" w:lineRule="auto"/>
        <w:contextualSpacing/>
        <w:jc w:val="both"/>
        <w:rPr>
          <w:rFonts w:cs="Times New Roman"/>
          <w:color w:val="000000" w:themeColor="text1"/>
          <w:szCs w:val="24"/>
        </w:rPr>
      </w:pPr>
    </w:p>
    <w:p w14:paraId="515313DC" w14:textId="77777777" w:rsidR="00FB270A" w:rsidRPr="0003124D" w:rsidRDefault="00FB270A" w:rsidP="00FB270A">
      <w:pPr>
        <w:spacing w:after="0" w:line="360" w:lineRule="auto"/>
        <w:contextualSpacing/>
        <w:jc w:val="both"/>
        <w:rPr>
          <w:rFonts w:cs="Times New Roman"/>
          <w:color w:val="000000" w:themeColor="text1"/>
          <w:szCs w:val="24"/>
        </w:rPr>
      </w:pPr>
    </w:p>
    <w:p w14:paraId="7B2DAF8B" w14:textId="77777777" w:rsidR="00FB270A" w:rsidRPr="0003124D" w:rsidRDefault="00FB270A" w:rsidP="00FB270A">
      <w:pPr>
        <w:spacing w:after="0" w:line="360" w:lineRule="auto"/>
        <w:contextualSpacing/>
        <w:jc w:val="both"/>
        <w:rPr>
          <w:rFonts w:cs="Times New Roman"/>
          <w:color w:val="000000" w:themeColor="text1"/>
          <w:szCs w:val="24"/>
        </w:rPr>
      </w:pPr>
    </w:p>
    <w:p w14:paraId="22B4526C" w14:textId="77777777" w:rsidR="00FB270A" w:rsidRPr="0003124D" w:rsidRDefault="00FB270A" w:rsidP="00FB270A">
      <w:pPr>
        <w:spacing w:after="0" w:line="360" w:lineRule="auto"/>
        <w:contextualSpacing/>
        <w:jc w:val="both"/>
        <w:rPr>
          <w:rFonts w:cs="Times New Roman"/>
          <w:color w:val="000000" w:themeColor="text1"/>
          <w:szCs w:val="24"/>
        </w:rPr>
      </w:pPr>
    </w:p>
    <w:p w14:paraId="7ACAB480" w14:textId="77777777" w:rsidR="00FB270A" w:rsidRPr="0003124D" w:rsidRDefault="00FB270A" w:rsidP="00FB270A">
      <w:pPr>
        <w:spacing w:after="0" w:line="360" w:lineRule="auto"/>
        <w:contextualSpacing/>
        <w:jc w:val="both"/>
        <w:rPr>
          <w:rFonts w:cs="Times New Roman"/>
          <w:color w:val="000000" w:themeColor="text1"/>
          <w:szCs w:val="24"/>
        </w:rPr>
      </w:pPr>
    </w:p>
    <w:p w14:paraId="4D7B8657" w14:textId="77777777" w:rsidR="00FB270A" w:rsidRPr="0003124D" w:rsidRDefault="00FB270A" w:rsidP="00FB270A">
      <w:pPr>
        <w:spacing w:after="0" w:line="360" w:lineRule="auto"/>
        <w:contextualSpacing/>
        <w:jc w:val="both"/>
        <w:rPr>
          <w:rFonts w:cs="Times New Roman"/>
          <w:color w:val="000000" w:themeColor="text1"/>
          <w:szCs w:val="24"/>
        </w:rPr>
      </w:pPr>
    </w:p>
    <w:p w14:paraId="16DD8A8E" w14:textId="77777777" w:rsidR="00FB270A" w:rsidRPr="0003124D" w:rsidRDefault="00FB270A" w:rsidP="00FB270A">
      <w:pPr>
        <w:spacing w:after="0" w:line="360" w:lineRule="auto"/>
        <w:contextualSpacing/>
        <w:jc w:val="both"/>
        <w:rPr>
          <w:rFonts w:cs="Times New Roman"/>
          <w:b/>
          <w:bCs/>
          <w:color w:val="000000" w:themeColor="text1"/>
          <w:szCs w:val="24"/>
        </w:rPr>
      </w:pPr>
      <w:r w:rsidRPr="0003124D">
        <w:rPr>
          <w:rFonts w:cs="Times New Roman"/>
          <w:b/>
          <w:bCs/>
          <w:color w:val="000000" w:themeColor="text1"/>
          <w:szCs w:val="24"/>
        </w:rPr>
        <w:lastRenderedPageBreak/>
        <w:t xml:space="preserve">2E. </w:t>
      </w:r>
      <w:r w:rsidRPr="0003124D">
        <w:rPr>
          <w:rFonts w:cs="Times New Roman"/>
          <w:color w:val="000000" w:themeColor="text1"/>
          <w:szCs w:val="24"/>
        </w:rPr>
        <w:t>Embase:</w:t>
      </w:r>
      <w:r w:rsidRPr="0003124D">
        <w:rPr>
          <w:rFonts w:cs="Times New Roman"/>
          <w:b/>
          <w:bCs/>
          <w:color w:val="000000" w:themeColor="text1"/>
          <w:szCs w:val="24"/>
        </w:rPr>
        <w:t xml:space="preserve"> </w:t>
      </w:r>
    </w:p>
    <w:tbl>
      <w:tblPr>
        <w:tblStyle w:val="GridTable1Light"/>
        <w:tblW w:w="9360" w:type="dxa"/>
        <w:tblLayout w:type="fixed"/>
        <w:tblLook w:val="04A0" w:firstRow="1" w:lastRow="0" w:firstColumn="1" w:lastColumn="0" w:noHBand="0" w:noVBand="1"/>
      </w:tblPr>
      <w:tblGrid>
        <w:gridCol w:w="643"/>
        <w:gridCol w:w="8717"/>
      </w:tblGrid>
      <w:tr w:rsidR="00FB270A" w:rsidRPr="0003124D" w14:paraId="6BAB502B" w14:textId="77777777" w:rsidTr="00E201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999999" w:themeColor="text1" w:themeTint="66"/>
              <w:left w:val="single" w:sz="4" w:space="0" w:color="999999" w:themeColor="text1" w:themeTint="66"/>
              <w:right w:val="single" w:sz="4" w:space="0" w:color="999999" w:themeColor="text1" w:themeTint="66"/>
            </w:tcBorders>
            <w:hideMark/>
          </w:tcPr>
          <w:p w14:paraId="4C191FFC" w14:textId="77777777" w:rsidR="00FB270A" w:rsidRPr="0060564D" w:rsidRDefault="00FB270A" w:rsidP="00E20111">
            <w:pPr>
              <w:spacing w:line="360" w:lineRule="auto"/>
              <w:contextualSpacing/>
              <w:rPr>
                <w:rFonts w:cs="Times New Roman"/>
                <w:color w:val="000000" w:themeColor="text1"/>
                <w:szCs w:val="24"/>
              </w:rPr>
            </w:pPr>
            <w:r w:rsidRPr="0060564D">
              <w:rPr>
                <w:rFonts w:cs="Times New Roman"/>
                <w:b w:val="0"/>
                <w:bCs w:val="0"/>
                <w:color w:val="000000" w:themeColor="text1"/>
                <w:szCs w:val="24"/>
              </w:rPr>
              <w:t>#</w:t>
            </w:r>
          </w:p>
        </w:tc>
        <w:tc>
          <w:tcPr>
            <w:tcW w:w="8717" w:type="dxa"/>
            <w:tcBorders>
              <w:top w:val="single" w:sz="4" w:space="0" w:color="999999" w:themeColor="text1" w:themeTint="66"/>
              <w:left w:val="single" w:sz="4" w:space="0" w:color="999999" w:themeColor="text1" w:themeTint="66"/>
              <w:right w:val="single" w:sz="4" w:space="0" w:color="999999" w:themeColor="text1" w:themeTint="66"/>
            </w:tcBorders>
            <w:hideMark/>
          </w:tcPr>
          <w:p w14:paraId="7AECDB70" w14:textId="77777777" w:rsidR="00FB270A" w:rsidRPr="0060564D" w:rsidRDefault="00FB270A" w:rsidP="00E20111">
            <w:pPr>
              <w:spacing w:line="360" w:lineRule="auto"/>
              <w:contextualSpacing/>
              <w:cnfStyle w:val="100000000000" w:firstRow="1" w:lastRow="0" w:firstColumn="0" w:lastColumn="0" w:oddVBand="0" w:evenVBand="0" w:oddHBand="0" w:evenHBand="0" w:firstRowFirstColumn="0" w:firstRowLastColumn="0" w:lastRowFirstColumn="0" w:lastRowLastColumn="0"/>
              <w:rPr>
                <w:rFonts w:cs="Times New Roman"/>
                <w:color w:val="000000" w:themeColor="text1"/>
                <w:szCs w:val="24"/>
              </w:rPr>
            </w:pPr>
            <w:r w:rsidRPr="0060564D">
              <w:rPr>
                <w:rFonts w:cs="Times New Roman"/>
                <w:b w:val="0"/>
                <w:bCs w:val="0"/>
                <w:color w:val="000000" w:themeColor="text1"/>
                <w:szCs w:val="24"/>
              </w:rPr>
              <w:t>Searches</w:t>
            </w:r>
          </w:p>
        </w:tc>
      </w:tr>
      <w:tr w:rsidR="00FB270A" w:rsidRPr="0003124D" w14:paraId="1A6AAE0B" w14:textId="77777777" w:rsidTr="00E20111">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62F84D3" w14:textId="77777777" w:rsidR="00FB270A" w:rsidRPr="0060564D" w:rsidRDefault="00FB270A" w:rsidP="00E20111">
            <w:pPr>
              <w:spacing w:line="360" w:lineRule="auto"/>
              <w:contextualSpacing/>
              <w:rPr>
                <w:rFonts w:cs="Times New Roman"/>
                <w:b w:val="0"/>
                <w:bCs w:val="0"/>
                <w:color w:val="000000" w:themeColor="text1"/>
                <w:szCs w:val="24"/>
              </w:rPr>
            </w:pPr>
            <w:r w:rsidRPr="0060564D">
              <w:rPr>
                <w:rFonts w:cs="Times New Roman"/>
                <w:b w:val="0"/>
                <w:bCs w:val="0"/>
                <w:color w:val="000000" w:themeColor="text1"/>
                <w:szCs w:val="24"/>
              </w:rPr>
              <w:t>1</w:t>
            </w:r>
          </w:p>
        </w:tc>
        <w:tc>
          <w:tcPr>
            <w:tcW w:w="87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807483B" w14:textId="77777777" w:rsidR="00FB270A" w:rsidRPr="006056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4"/>
              </w:rPr>
            </w:pPr>
            <w:r w:rsidRPr="0060564D">
              <w:rPr>
                <w:rFonts w:cs="Times New Roman"/>
                <w:color w:val="000000" w:themeColor="text1"/>
                <w:szCs w:val="24"/>
              </w:rPr>
              <w:t>Hallux/ or Hallux Valgus/</w:t>
            </w:r>
          </w:p>
        </w:tc>
      </w:tr>
      <w:tr w:rsidR="00FB270A" w:rsidRPr="0003124D" w14:paraId="41B364F9" w14:textId="77777777" w:rsidTr="00E20111">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9A38EBA" w14:textId="77777777" w:rsidR="00FB270A" w:rsidRPr="0060564D" w:rsidRDefault="00FB270A" w:rsidP="00E20111">
            <w:pPr>
              <w:spacing w:line="360" w:lineRule="auto"/>
              <w:contextualSpacing/>
              <w:rPr>
                <w:rFonts w:cs="Times New Roman"/>
                <w:b w:val="0"/>
                <w:bCs w:val="0"/>
                <w:color w:val="000000" w:themeColor="text1"/>
                <w:szCs w:val="24"/>
              </w:rPr>
            </w:pPr>
            <w:r w:rsidRPr="0060564D">
              <w:rPr>
                <w:rFonts w:cs="Times New Roman"/>
                <w:b w:val="0"/>
                <w:bCs w:val="0"/>
                <w:color w:val="000000" w:themeColor="text1"/>
                <w:szCs w:val="24"/>
              </w:rPr>
              <w:t>2</w:t>
            </w:r>
          </w:p>
        </w:tc>
        <w:tc>
          <w:tcPr>
            <w:tcW w:w="87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2A727EC" w14:textId="77777777" w:rsidR="00FB270A" w:rsidRPr="006056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4"/>
              </w:rPr>
            </w:pPr>
            <w:r w:rsidRPr="0060564D">
              <w:rPr>
                <w:rFonts w:cs="Times New Roman"/>
                <w:color w:val="000000" w:themeColor="text1"/>
                <w:szCs w:val="24"/>
              </w:rPr>
              <w:t>Bunion, Tailor’s/ or Bunion/</w:t>
            </w:r>
          </w:p>
        </w:tc>
      </w:tr>
      <w:tr w:rsidR="00FB270A" w:rsidRPr="0003124D" w14:paraId="506406F6" w14:textId="77777777" w:rsidTr="00E20111">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A356EF0" w14:textId="77777777" w:rsidR="00FB270A" w:rsidRPr="0060564D" w:rsidRDefault="00FB270A" w:rsidP="00E20111">
            <w:pPr>
              <w:spacing w:line="360" w:lineRule="auto"/>
              <w:contextualSpacing/>
              <w:rPr>
                <w:rFonts w:cs="Times New Roman"/>
                <w:b w:val="0"/>
                <w:bCs w:val="0"/>
                <w:color w:val="000000" w:themeColor="text1"/>
                <w:szCs w:val="24"/>
              </w:rPr>
            </w:pPr>
            <w:r w:rsidRPr="0060564D">
              <w:rPr>
                <w:rFonts w:cs="Times New Roman"/>
                <w:b w:val="0"/>
                <w:bCs w:val="0"/>
                <w:color w:val="000000" w:themeColor="text1"/>
                <w:szCs w:val="24"/>
              </w:rPr>
              <w:t>3</w:t>
            </w:r>
          </w:p>
        </w:tc>
        <w:tc>
          <w:tcPr>
            <w:tcW w:w="87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EEDB5CC" w14:textId="77777777" w:rsidR="00FB270A" w:rsidRPr="006056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4"/>
              </w:rPr>
            </w:pPr>
            <w:r w:rsidRPr="0060564D">
              <w:rPr>
                <w:rFonts w:cs="Times New Roman"/>
                <w:color w:val="000000" w:themeColor="text1"/>
                <w:szCs w:val="24"/>
              </w:rPr>
              <w:t>(Bunion* or ‘Hallux abductus valgus’ or ‘First metatarsus varus’ or hallux*).tw, kw</w:t>
            </w:r>
          </w:p>
        </w:tc>
      </w:tr>
      <w:tr w:rsidR="00FB270A" w:rsidRPr="0003124D" w14:paraId="13661D8C" w14:textId="77777777" w:rsidTr="00E20111">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86BD985" w14:textId="77777777" w:rsidR="00FB270A" w:rsidRPr="0060564D" w:rsidRDefault="00FB270A" w:rsidP="00E20111">
            <w:pPr>
              <w:spacing w:line="360" w:lineRule="auto"/>
              <w:contextualSpacing/>
              <w:rPr>
                <w:rFonts w:cs="Times New Roman"/>
                <w:b w:val="0"/>
                <w:bCs w:val="0"/>
                <w:color w:val="000000" w:themeColor="text1"/>
                <w:szCs w:val="24"/>
              </w:rPr>
            </w:pPr>
            <w:r w:rsidRPr="0060564D">
              <w:rPr>
                <w:rFonts w:cs="Times New Roman"/>
                <w:b w:val="0"/>
                <w:bCs w:val="0"/>
                <w:color w:val="000000" w:themeColor="text1"/>
                <w:szCs w:val="24"/>
              </w:rPr>
              <w:t>4</w:t>
            </w:r>
          </w:p>
        </w:tc>
        <w:tc>
          <w:tcPr>
            <w:tcW w:w="87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C84881A" w14:textId="77777777" w:rsidR="00FB270A" w:rsidRPr="006056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4"/>
              </w:rPr>
            </w:pPr>
            <w:r w:rsidRPr="0060564D">
              <w:rPr>
                <w:rFonts w:cs="Times New Roman"/>
                <w:color w:val="000000" w:themeColor="text1"/>
                <w:szCs w:val="24"/>
              </w:rPr>
              <w:t>or/1–3</w:t>
            </w:r>
          </w:p>
        </w:tc>
      </w:tr>
      <w:tr w:rsidR="00FB270A" w:rsidRPr="0003124D" w14:paraId="26474DAB" w14:textId="77777777" w:rsidTr="00E20111">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F883E01" w14:textId="77777777" w:rsidR="00FB270A" w:rsidRPr="0060564D" w:rsidRDefault="00FB270A" w:rsidP="00E20111">
            <w:pPr>
              <w:spacing w:line="360" w:lineRule="auto"/>
              <w:contextualSpacing/>
              <w:rPr>
                <w:rFonts w:cs="Times New Roman"/>
                <w:b w:val="0"/>
                <w:bCs w:val="0"/>
                <w:color w:val="000000" w:themeColor="text1"/>
                <w:szCs w:val="24"/>
              </w:rPr>
            </w:pPr>
            <w:r w:rsidRPr="0060564D">
              <w:rPr>
                <w:rFonts w:cs="Times New Roman"/>
                <w:b w:val="0"/>
                <w:bCs w:val="0"/>
                <w:color w:val="000000" w:themeColor="text1"/>
                <w:szCs w:val="24"/>
              </w:rPr>
              <w:t>5</w:t>
            </w:r>
          </w:p>
        </w:tc>
        <w:tc>
          <w:tcPr>
            <w:tcW w:w="87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8BF8468" w14:textId="77777777" w:rsidR="00FB270A" w:rsidRPr="006056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4"/>
              </w:rPr>
            </w:pPr>
            <w:r w:rsidRPr="0060564D">
              <w:rPr>
                <w:rFonts w:cs="Times New Roman"/>
                <w:color w:val="000000" w:themeColor="text1"/>
                <w:szCs w:val="24"/>
              </w:rPr>
              <w:t>Analgesia/ or Anaesthesia, Local/ or Nerve Block/ or Anaesthetics, Local/</w:t>
            </w:r>
          </w:p>
        </w:tc>
      </w:tr>
      <w:tr w:rsidR="00FB270A" w:rsidRPr="0003124D" w14:paraId="251B9A4C" w14:textId="77777777" w:rsidTr="00E20111">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87B6254" w14:textId="77777777" w:rsidR="00FB270A" w:rsidRPr="0060564D" w:rsidRDefault="00FB270A" w:rsidP="00E20111">
            <w:pPr>
              <w:spacing w:line="360" w:lineRule="auto"/>
              <w:contextualSpacing/>
              <w:rPr>
                <w:rFonts w:cs="Times New Roman"/>
                <w:b w:val="0"/>
                <w:bCs w:val="0"/>
                <w:color w:val="000000" w:themeColor="text1"/>
                <w:szCs w:val="24"/>
              </w:rPr>
            </w:pPr>
            <w:r w:rsidRPr="0060564D">
              <w:rPr>
                <w:rFonts w:cs="Times New Roman"/>
                <w:b w:val="0"/>
                <w:bCs w:val="0"/>
                <w:color w:val="000000" w:themeColor="text1"/>
                <w:szCs w:val="24"/>
              </w:rPr>
              <w:t>6</w:t>
            </w:r>
          </w:p>
        </w:tc>
        <w:tc>
          <w:tcPr>
            <w:tcW w:w="87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077F5C0" w14:textId="77777777" w:rsidR="00FB270A" w:rsidRPr="006056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4"/>
              </w:rPr>
            </w:pPr>
            <w:r w:rsidRPr="0060564D">
              <w:rPr>
                <w:rFonts w:cs="Times New Roman"/>
                <w:color w:val="000000" w:themeColor="text1"/>
                <w:szCs w:val="24"/>
              </w:rPr>
              <w:t>(Local adj1 (infiltration or block or an? esthetic or an? esthes*)).tw, kw</w:t>
            </w:r>
          </w:p>
        </w:tc>
      </w:tr>
      <w:tr w:rsidR="00FB270A" w:rsidRPr="0003124D" w14:paraId="00980585" w14:textId="77777777" w:rsidTr="00E20111">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EFB1D64" w14:textId="77777777" w:rsidR="00FB270A" w:rsidRPr="0060564D" w:rsidRDefault="00FB270A" w:rsidP="00E20111">
            <w:pPr>
              <w:spacing w:line="360" w:lineRule="auto"/>
              <w:contextualSpacing/>
              <w:rPr>
                <w:rFonts w:cs="Times New Roman"/>
                <w:b w:val="0"/>
                <w:bCs w:val="0"/>
                <w:color w:val="000000" w:themeColor="text1"/>
                <w:szCs w:val="24"/>
              </w:rPr>
            </w:pPr>
            <w:r w:rsidRPr="0060564D">
              <w:rPr>
                <w:rFonts w:cs="Times New Roman"/>
                <w:b w:val="0"/>
                <w:bCs w:val="0"/>
                <w:color w:val="000000" w:themeColor="text1"/>
                <w:szCs w:val="24"/>
              </w:rPr>
              <w:t>7</w:t>
            </w:r>
          </w:p>
        </w:tc>
        <w:tc>
          <w:tcPr>
            <w:tcW w:w="87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2A35F9D" w14:textId="77777777" w:rsidR="00FB270A" w:rsidRPr="006056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4"/>
              </w:rPr>
            </w:pPr>
            <w:r w:rsidRPr="0060564D">
              <w:rPr>
                <w:rFonts w:cs="Times New Roman"/>
                <w:color w:val="000000" w:themeColor="text1"/>
                <w:szCs w:val="24"/>
              </w:rPr>
              <w:t>or/5–6</w:t>
            </w:r>
          </w:p>
        </w:tc>
      </w:tr>
      <w:tr w:rsidR="00FB270A" w:rsidRPr="0003124D" w14:paraId="1DA4657C" w14:textId="77777777" w:rsidTr="00E20111">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3187FFA" w14:textId="77777777" w:rsidR="00FB270A" w:rsidRPr="0060564D" w:rsidRDefault="00FB270A" w:rsidP="00E20111">
            <w:pPr>
              <w:spacing w:line="360" w:lineRule="auto"/>
              <w:contextualSpacing/>
              <w:rPr>
                <w:rFonts w:cs="Times New Roman"/>
                <w:b w:val="0"/>
                <w:bCs w:val="0"/>
                <w:color w:val="000000" w:themeColor="text1"/>
                <w:szCs w:val="24"/>
              </w:rPr>
            </w:pPr>
            <w:r w:rsidRPr="0060564D">
              <w:rPr>
                <w:rFonts w:cs="Times New Roman"/>
                <w:b w:val="0"/>
                <w:bCs w:val="0"/>
                <w:color w:val="000000" w:themeColor="text1"/>
                <w:szCs w:val="24"/>
              </w:rPr>
              <w:t>8</w:t>
            </w:r>
          </w:p>
        </w:tc>
        <w:tc>
          <w:tcPr>
            <w:tcW w:w="87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DF290A8" w14:textId="77777777" w:rsidR="00FB270A" w:rsidRPr="006056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4"/>
              </w:rPr>
            </w:pPr>
            <w:r w:rsidRPr="0060564D">
              <w:rPr>
                <w:rFonts w:cs="Times New Roman"/>
                <w:color w:val="000000" w:themeColor="text1"/>
                <w:szCs w:val="24"/>
              </w:rPr>
              <w:t>(‘proximal nerve blocks’ or ‘Ankle block’ or ‘Saphenous nerve block’).tw, kw.</w:t>
            </w:r>
          </w:p>
        </w:tc>
      </w:tr>
      <w:tr w:rsidR="00FB270A" w:rsidRPr="0003124D" w14:paraId="5F2F3D7E" w14:textId="77777777" w:rsidTr="00E20111">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6D60177" w14:textId="77777777" w:rsidR="00FB270A" w:rsidRPr="0060564D" w:rsidRDefault="00FB270A" w:rsidP="00E20111">
            <w:pPr>
              <w:spacing w:line="360" w:lineRule="auto"/>
              <w:contextualSpacing/>
              <w:rPr>
                <w:rFonts w:cs="Times New Roman"/>
                <w:b w:val="0"/>
                <w:bCs w:val="0"/>
                <w:color w:val="000000" w:themeColor="text1"/>
                <w:szCs w:val="24"/>
              </w:rPr>
            </w:pPr>
            <w:r w:rsidRPr="0060564D">
              <w:rPr>
                <w:rFonts w:cs="Times New Roman"/>
                <w:b w:val="0"/>
                <w:bCs w:val="0"/>
                <w:color w:val="000000" w:themeColor="text1"/>
                <w:szCs w:val="24"/>
              </w:rPr>
              <w:t>9</w:t>
            </w:r>
          </w:p>
        </w:tc>
        <w:tc>
          <w:tcPr>
            <w:tcW w:w="87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B030DA5" w14:textId="77777777" w:rsidR="00FB270A" w:rsidRPr="006056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4"/>
              </w:rPr>
            </w:pPr>
            <w:r w:rsidRPr="0060564D">
              <w:rPr>
                <w:rFonts w:cs="Times New Roman"/>
                <w:color w:val="000000" w:themeColor="text1"/>
                <w:szCs w:val="24"/>
              </w:rPr>
              <w:t>or/7–8</w:t>
            </w:r>
          </w:p>
        </w:tc>
      </w:tr>
      <w:tr w:rsidR="00FB270A" w:rsidRPr="0003124D" w14:paraId="2E1E1225" w14:textId="77777777" w:rsidTr="00E20111">
        <w:tc>
          <w:tcPr>
            <w:cnfStyle w:val="001000000000" w:firstRow="0" w:lastRow="0" w:firstColumn="1" w:lastColumn="0" w:oddVBand="0" w:evenVBand="0" w:oddHBand="0" w:evenHBand="0" w:firstRowFirstColumn="0" w:firstRowLastColumn="0" w:lastRowFirstColumn="0" w:lastRowLastColumn="0"/>
            <w:tcW w:w="64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25700B6" w14:textId="77777777" w:rsidR="00FB270A" w:rsidRPr="0060564D" w:rsidRDefault="00FB270A" w:rsidP="00E20111">
            <w:pPr>
              <w:spacing w:line="360" w:lineRule="auto"/>
              <w:contextualSpacing/>
              <w:rPr>
                <w:rFonts w:cs="Times New Roman"/>
                <w:b w:val="0"/>
                <w:bCs w:val="0"/>
                <w:color w:val="000000" w:themeColor="text1"/>
                <w:szCs w:val="24"/>
              </w:rPr>
            </w:pPr>
            <w:r w:rsidRPr="0060564D">
              <w:rPr>
                <w:rFonts w:cs="Times New Roman"/>
                <w:b w:val="0"/>
                <w:bCs w:val="0"/>
                <w:color w:val="000000" w:themeColor="text1"/>
                <w:szCs w:val="24"/>
              </w:rPr>
              <w:t>11</w:t>
            </w:r>
          </w:p>
        </w:tc>
        <w:tc>
          <w:tcPr>
            <w:tcW w:w="87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EC31C36" w14:textId="77777777" w:rsidR="00FB270A" w:rsidRPr="0060564D" w:rsidRDefault="00FB270A" w:rsidP="00E20111">
            <w:pPr>
              <w:spacing w:line="360" w:lineRule="auto"/>
              <w:contextualSpacing/>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4"/>
              </w:rPr>
            </w:pPr>
            <w:r w:rsidRPr="0060564D">
              <w:rPr>
                <w:rFonts w:cs="Times New Roman"/>
                <w:color w:val="000000" w:themeColor="text1"/>
                <w:szCs w:val="24"/>
              </w:rPr>
              <w:t>4 and 9</w:t>
            </w:r>
          </w:p>
        </w:tc>
      </w:tr>
    </w:tbl>
    <w:p w14:paraId="52AAD6B4" w14:textId="77777777" w:rsidR="00FB270A" w:rsidRPr="0003124D" w:rsidRDefault="00FB270A" w:rsidP="00FB270A">
      <w:pPr>
        <w:spacing w:after="0" w:line="360" w:lineRule="auto"/>
        <w:contextualSpacing/>
        <w:rPr>
          <w:rFonts w:cs="Times New Roman"/>
          <w:color w:val="000000" w:themeColor="text1"/>
          <w:szCs w:val="24"/>
        </w:rPr>
      </w:pPr>
    </w:p>
    <w:p w14:paraId="7EFB993E" w14:textId="77777777" w:rsidR="00FB270A" w:rsidRPr="0003124D" w:rsidRDefault="00FB270A" w:rsidP="00FB270A">
      <w:pPr>
        <w:spacing w:after="0" w:line="360" w:lineRule="auto"/>
        <w:contextualSpacing/>
        <w:rPr>
          <w:rFonts w:cs="Times New Roman"/>
          <w:color w:val="000000" w:themeColor="text1"/>
          <w:szCs w:val="24"/>
        </w:rPr>
      </w:pPr>
    </w:p>
    <w:p w14:paraId="1532E845" w14:textId="77777777" w:rsidR="00FB270A" w:rsidRPr="0003124D" w:rsidRDefault="00FB270A" w:rsidP="00FB270A">
      <w:pPr>
        <w:spacing w:after="0" w:line="360" w:lineRule="auto"/>
        <w:contextualSpacing/>
        <w:rPr>
          <w:rFonts w:cs="Times New Roman"/>
          <w:color w:val="000000" w:themeColor="text1"/>
          <w:szCs w:val="24"/>
        </w:rPr>
      </w:pPr>
    </w:p>
    <w:p w14:paraId="5D056593" w14:textId="77777777" w:rsidR="00FB270A" w:rsidRPr="0003124D" w:rsidRDefault="00FB270A" w:rsidP="00FB270A">
      <w:pPr>
        <w:spacing w:after="0" w:line="360" w:lineRule="auto"/>
        <w:contextualSpacing/>
        <w:rPr>
          <w:rFonts w:cs="Times New Roman"/>
          <w:color w:val="000000" w:themeColor="text1"/>
          <w:szCs w:val="24"/>
        </w:rPr>
      </w:pPr>
    </w:p>
    <w:p w14:paraId="33168F52" w14:textId="77777777" w:rsidR="00FB270A" w:rsidRPr="0003124D" w:rsidRDefault="00FB270A" w:rsidP="00FB270A">
      <w:pPr>
        <w:spacing w:after="0" w:line="360" w:lineRule="auto"/>
        <w:contextualSpacing/>
        <w:rPr>
          <w:rFonts w:cs="Times New Roman"/>
          <w:color w:val="000000" w:themeColor="text1"/>
          <w:szCs w:val="24"/>
        </w:rPr>
      </w:pPr>
    </w:p>
    <w:p w14:paraId="03850B3E" w14:textId="77777777" w:rsidR="00FB270A" w:rsidRPr="0003124D" w:rsidRDefault="00FB270A" w:rsidP="00FB270A">
      <w:pPr>
        <w:spacing w:after="0" w:line="360" w:lineRule="auto"/>
        <w:contextualSpacing/>
        <w:rPr>
          <w:rFonts w:cs="Times New Roman"/>
          <w:color w:val="000000" w:themeColor="text1"/>
          <w:szCs w:val="24"/>
        </w:rPr>
      </w:pPr>
    </w:p>
    <w:p w14:paraId="220D03D2" w14:textId="77777777" w:rsidR="00FB270A" w:rsidRPr="0003124D" w:rsidRDefault="00FB270A" w:rsidP="00FB270A">
      <w:pPr>
        <w:spacing w:after="0" w:line="360" w:lineRule="auto"/>
        <w:contextualSpacing/>
        <w:rPr>
          <w:rFonts w:cs="Times New Roman"/>
          <w:color w:val="000000" w:themeColor="text1"/>
          <w:szCs w:val="24"/>
        </w:rPr>
      </w:pPr>
    </w:p>
    <w:p w14:paraId="68584EE7" w14:textId="77777777" w:rsidR="00FB270A" w:rsidRPr="0003124D" w:rsidRDefault="00FB270A" w:rsidP="00FB270A">
      <w:pPr>
        <w:spacing w:after="0" w:line="360" w:lineRule="auto"/>
        <w:contextualSpacing/>
        <w:rPr>
          <w:rFonts w:cs="Times New Roman"/>
          <w:color w:val="000000" w:themeColor="text1"/>
          <w:szCs w:val="24"/>
        </w:rPr>
      </w:pPr>
    </w:p>
    <w:p w14:paraId="1ED7D5ED" w14:textId="77777777" w:rsidR="00FB270A" w:rsidRPr="0003124D" w:rsidRDefault="00FB270A" w:rsidP="00FB270A">
      <w:pPr>
        <w:spacing w:after="0" w:line="360" w:lineRule="auto"/>
        <w:contextualSpacing/>
        <w:rPr>
          <w:rFonts w:cs="Times New Roman"/>
          <w:color w:val="000000" w:themeColor="text1"/>
          <w:szCs w:val="24"/>
        </w:rPr>
      </w:pPr>
    </w:p>
    <w:p w14:paraId="5936AF0D" w14:textId="77777777" w:rsidR="00FB270A" w:rsidRPr="0003124D" w:rsidRDefault="00FB270A" w:rsidP="00FB270A">
      <w:pPr>
        <w:spacing w:after="0" w:line="360" w:lineRule="auto"/>
        <w:contextualSpacing/>
        <w:rPr>
          <w:rFonts w:cs="Times New Roman"/>
          <w:color w:val="000000" w:themeColor="text1"/>
          <w:szCs w:val="24"/>
        </w:rPr>
      </w:pPr>
    </w:p>
    <w:p w14:paraId="21E66A47" w14:textId="77777777" w:rsidR="00FB270A" w:rsidRPr="0003124D" w:rsidRDefault="00FB270A" w:rsidP="00FB270A">
      <w:pPr>
        <w:spacing w:after="0" w:line="360" w:lineRule="auto"/>
        <w:contextualSpacing/>
        <w:rPr>
          <w:rFonts w:cs="Times New Roman"/>
          <w:color w:val="000000" w:themeColor="text1"/>
          <w:szCs w:val="24"/>
        </w:rPr>
      </w:pPr>
    </w:p>
    <w:p w14:paraId="1F87F67E" w14:textId="77777777" w:rsidR="00FB270A" w:rsidRPr="0003124D" w:rsidRDefault="00FB270A" w:rsidP="00FB270A">
      <w:pPr>
        <w:spacing w:after="0" w:line="360" w:lineRule="auto"/>
        <w:contextualSpacing/>
        <w:rPr>
          <w:rFonts w:cs="Times New Roman"/>
          <w:color w:val="000000" w:themeColor="text1"/>
          <w:szCs w:val="24"/>
        </w:rPr>
      </w:pPr>
    </w:p>
    <w:p w14:paraId="3E080B4D" w14:textId="77777777" w:rsidR="00FB270A" w:rsidRPr="0003124D" w:rsidRDefault="00FB270A" w:rsidP="00FB270A">
      <w:pPr>
        <w:spacing w:after="0" w:line="360" w:lineRule="auto"/>
        <w:contextualSpacing/>
        <w:rPr>
          <w:rFonts w:cs="Times New Roman"/>
          <w:color w:val="000000" w:themeColor="text1"/>
          <w:szCs w:val="24"/>
        </w:rPr>
      </w:pPr>
    </w:p>
    <w:p w14:paraId="55A66668" w14:textId="77777777" w:rsidR="00FB270A" w:rsidRPr="0003124D" w:rsidRDefault="00FB270A" w:rsidP="00FB270A">
      <w:pPr>
        <w:spacing w:after="0" w:line="360" w:lineRule="auto"/>
        <w:contextualSpacing/>
        <w:rPr>
          <w:rFonts w:cs="Times New Roman"/>
          <w:color w:val="000000" w:themeColor="text1"/>
          <w:szCs w:val="24"/>
        </w:rPr>
      </w:pPr>
    </w:p>
    <w:p w14:paraId="6BB39106" w14:textId="77777777" w:rsidR="00FB270A" w:rsidRPr="0003124D" w:rsidRDefault="00FB270A" w:rsidP="00FB270A">
      <w:pPr>
        <w:spacing w:after="0" w:line="360" w:lineRule="auto"/>
        <w:contextualSpacing/>
        <w:rPr>
          <w:rFonts w:cs="Times New Roman"/>
          <w:color w:val="000000" w:themeColor="text1"/>
          <w:szCs w:val="24"/>
        </w:rPr>
      </w:pPr>
    </w:p>
    <w:p w14:paraId="62CF8CF0" w14:textId="77777777" w:rsidR="00FB270A" w:rsidRPr="0003124D" w:rsidRDefault="00FB270A" w:rsidP="00FB270A">
      <w:pPr>
        <w:spacing w:after="0" w:line="360" w:lineRule="auto"/>
        <w:contextualSpacing/>
        <w:rPr>
          <w:rFonts w:cs="Times New Roman"/>
          <w:color w:val="000000" w:themeColor="text1"/>
          <w:szCs w:val="24"/>
        </w:rPr>
      </w:pPr>
    </w:p>
    <w:p w14:paraId="4F5EB378" w14:textId="77777777" w:rsidR="00FB270A" w:rsidRPr="0003124D" w:rsidRDefault="00FB270A" w:rsidP="00FB270A">
      <w:pPr>
        <w:spacing w:after="0" w:line="360" w:lineRule="auto"/>
        <w:contextualSpacing/>
        <w:rPr>
          <w:rFonts w:cs="Times New Roman"/>
          <w:color w:val="000000" w:themeColor="text1"/>
          <w:szCs w:val="24"/>
        </w:rPr>
      </w:pPr>
    </w:p>
    <w:p w14:paraId="7F17EC17" w14:textId="77777777" w:rsidR="00FB270A" w:rsidRPr="0003124D" w:rsidRDefault="00FB270A" w:rsidP="00FB270A">
      <w:pPr>
        <w:spacing w:after="0" w:line="360" w:lineRule="auto"/>
        <w:contextualSpacing/>
        <w:rPr>
          <w:rFonts w:cs="Times New Roman"/>
          <w:color w:val="000000" w:themeColor="text1"/>
          <w:szCs w:val="24"/>
        </w:rPr>
      </w:pPr>
    </w:p>
    <w:p w14:paraId="53C924F7" w14:textId="77777777" w:rsidR="00FB270A" w:rsidRPr="0003124D" w:rsidRDefault="00FB270A" w:rsidP="00FB270A">
      <w:pPr>
        <w:spacing w:after="0" w:line="360" w:lineRule="auto"/>
        <w:contextualSpacing/>
        <w:rPr>
          <w:rFonts w:cs="Times New Roman"/>
          <w:color w:val="000000" w:themeColor="text1"/>
          <w:szCs w:val="24"/>
        </w:rPr>
      </w:pPr>
    </w:p>
    <w:p w14:paraId="669C063F" w14:textId="77777777" w:rsidR="00FB270A" w:rsidRPr="0003124D" w:rsidRDefault="00FB270A" w:rsidP="00FB270A">
      <w:pPr>
        <w:spacing w:after="0" w:line="360" w:lineRule="auto"/>
        <w:contextualSpacing/>
        <w:jc w:val="both"/>
        <w:rPr>
          <w:rFonts w:cs="Times New Roman"/>
          <w:color w:val="000000" w:themeColor="text1"/>
          <w:szCs w:val="24"/>
        </w:rPr>
      </w:pPr>
      <w:r w:rsidRPr="0003124D">
        <w:rPr>
          <w:rFonts w:cs="Times New Roman"/>
          <w:noProof/>
          <w:color w:val="000000" w:themeColor="text1"/>
          <w:szCs w:val="24"/>
        </w:rPr>
        <w:lastRenderedPageBreak/>
        <mc:AlternateContent>
          <mc:Choice Requires="wps">
            <w:drawing>
              <wp:anchor distT="45720" distB="45720" distL="114300" distR="114300" simplePos="0" relativeHeight="251661312" behindDoc="0" locked="0" layoutInCell="1" allowOverlap="1" wp14:anchorId="23B006A3" wp14:editId="32FB6D1D">
                <wp:simplePos x="0" y="0"/>
                <wp:positionH relativeFrom="margin">
                  <wp:align>left</wp:align>
                </wp:positionH>
                <wp:positionV relativeFrom="paragraph">
                  <wp:posOffset>273685</wp:posOffset>
                </wp:positionV>
                <wp:extent cx="5910580" cy="1404620"/>
                <wp:effectExtent l="0" t="0" r="13970" b="1206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404620"/>
                        </a:xfrm>
                        <a:prstGeom prst="rect">
                          <a:avLst/>
                        </a:prstGeom>
                        <a:solidFill>
                          <a:srgbClr val="FFFFFF"/>
                        </a:solidFill>
                        <a:ln w="9525">
                          <a:solidFill>
                            <a:srgbClr val="000000"/>
                          </a:solidFill>
                          <a:miter lim="800000"/>
                          <a:headEnd/>
                          <a:tailEnd/>
                        </a:ln>
                      </wps:spPr>
                      <wps:txbx>
                        <w:txbxContent>
                          <w:p w14:paraId="19EBD4C5" w14:textId="77777777" w:rsidR="00FB270A" w:rsidRDefault="00FB270A" w:rsidP="00FB270A">
                            <w:pPr>
                              <w:spacing w:line="360" w:lineRule="auto"/>
                              <w:jc w:val="both"/>
                              <w:rPr>
                                <w:rFonts w:eastAsia="Times New Roman" w:cs="Times New Roman"/>
                                <w:color w:val="2D2D2D"/>
                                <w:sz w:val="20"/>
                                <w:szCs w:val="20"/>
                                <w:lang w:eastAsia="en-AU"/>
                              </w:rPr>
                            </w:pPr>
                            <w:r>
                              <w:rPr>
                                <w:rFonts w:eastAsia="Times New Roman" w:cs="Times New Roman"/>
                                <w:color w:val="2D2D2D"/>
                                <w:sz w:val="20"/>
                                <w:szCs w:val="20"/>
                                <w:lang w:eastAsia="en-AU"/>
                              </w:rPr>
                              <w:t>(Bunion* or “Hallux abductus valgus” or “First metatarsus varus” or hallux*) AND ((local NEAR/1 (infiltration or block or an? esthetic or an?esthes*)) OR (“proximal nerve blocks” or “Ankle block” or “Saphenous nerve block”))</w:t>
                            </w:r>
                          </w:p>
                          <w:p w14:paraId="074E4703" w14:textId="77777777" w:rsidR="00FB270A" w:rsidRDefault="00FB270A" w:rsidP="00FB270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3B006A3" id="_x0000_s1029" type="#_x0000_t202" style="position:absolute;left:0;text-align:left;margin-left:0;margin-top:21.55pt;width:465.4pt;height:110.6pt;z-index:25166131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">
                <v:textbox style="mso-fit-shape-to-text:t">
                  <w:txbxContent>
                    <w:p w14:paraId="19EBD4C5" w14:textId="77777777" w:rsidR="00FB270A" w:rsidRDefault="00FB270A" w:rsidP="00FB270A">
                      <w:pPr>
                        <w:spacing w:line="360" w:lineRule="auto"/>
                        <w:jc w:val="both"/>
                        <w:rPr>
                          <w:rFonts w:eastAsia="Times New Roman" w:cs="Times New Roman"/>
                          <w:color w:val="2D2D2D"/>
                          <w:sz w:val="20"/>
                          <w:szCs w:val="20"/>
                          <w:lang w:eastAsia="en-AU"/>
                        </w:rPr>
                      </w:pPr>
                      <w:r>
                        <w:rPr>
                          <w:rFonts w:eastAsia="Times New Roman" w:cs="Times New Roman"/>
                          <w:color w:val="2D2D2D"/>
                          <w:sz w:val="20"/>
                          <w:szCs w:val="20"/>
                          <w:lang w:eastAsia="en-AU"/>
                        </w:rPr>
                        <w:t>(Bunion* or “Hallux abductus valgus” or “First metatarsus varus” or hallux*) AND ((local NEAR/1 (infiltration or block or an? esthetic or an?esthes*)) OR (“proximal nerve blocks” or “Ankle block” or “Saphenous nerve block”))</w:t>
                      </w:r>
                    </w:p>
                    <w:p w14:paraId="074E4703" w14:textId="77777777" w:rsidR="00FB270A" w:rsidRDefault="00FB270A" w:rsidP="00FB270A"/>
                  </w:txbxContent>
                </v:textbox>
                <w10:wrap type="square" anchorx="margin"/>
              </v:shape>
            </w:pict>
          </mc:Fallback>
        </mc:AlternateContent>
      </w:r>
      <w:r w:rsidRPr="0003124D">
        <w:rPr>
          <w:rFonts w:cs="Times New Roman"/>
          <w:b/>
          <w:bCs/>
          <w:color w:val="000000" w:themeColor="text1"/>
          <w:szCs w:val="24"/>
        </w:rPr>
        <w:t xml:space="preserve">2F. </w:t>
      </w:r>
      <w:r w:rsidRPr="0003124D">
        <w:rPr>
          <w:rFonts w:cs="Times New Roman"/>
          <w:color w:val="000000" w:themeColor="text1"/>
          <w:szCs w:val="24"/>
        </w:rPr>
        <w:t xml:space="preserve">Cochrane Library: </w:t>
      </w:r>
    </w:p>
    <w:p w14:paraId="0AA89C05" w14:textId="77777777" w:rsidR="00FB270A" w:rsidRPr="0003124D" w:rsidRDefault="00FB270A" w:rsidP="00FB270A">
      <w:pPr>
        <w:spacing w:after="0" w:line="360" w:lineRule="auto"/>
        <w:contextualSpacing/>
        <w:rPr>
          <w:rFonts w:cs="Times New Roman"/>
          <w:color w:val="000000" w:themeColor="text1"/>
          <w:szCs w:val="24"/>
        </w:rPr>
      </w:pPr>
    </w:p>
    <w:p w14:paraId="01762C55" w14:textId="77777777" w:rsidR="00FB270A" w:rsidRPr="0003124D" w:rsidRDefault="00FB270A" w:rsidP="00FB270A">
      <w:pPr>
        <w:spacing w:after="0" w:line="360" w:lineRule="auto"/>
        <w:contextualSpacing/>
        <w:rPr>
          <w:rFonts w:cs="Times New Roman"/>
          <w:color w:val="000000" w:themeColor="text1"/>
          <w:szCs w:val="24"/>
        </w:rPr>
      </w:pPr>
    </w:p>
    <w:p w14:paraId="2D8F7B6B" w14:textId="77777777" w:rsidR="00FB270A" w:rsidRPr="0003124D" w:rsidRDefault="00FB270A" w:rsidP="00FB270A">
      <w:pPr>
        <w:spacing w:after="0" w:line="360" w:lineRule="auto"/>
        <w:contextualSpacing/>
        <w:rPr>
          <w:rFonts w:cs="Times New Roman"/>
          <w:color w:val="000000" w:themeColor="text1"/>
          <w:szCs w:val="24"/>
        </w:rPr>
      </w:pPr>
    </w:p>
    <w:p w14:paraId="747E76BC" w14:textId="77777777" w:rsidR="00FB270A" w:rsidRPr="0003124D" w:rsidRDefault="00FB270A" w:rsidP="00FB270A">
      <w:pPr>
        <w:spacing w:after="0" w:line="360" w:lineRule="auto"/>
        <w:contextualSpacing/>
        <w:rPr>
          <w:rFonts w:cs="Times New Roman"/>
          <w:color w:val="000000" w:themeColor="text1"/>
          <w:szCs w:val="24"/>
        </w:rPr>
      </w:pPr>
    </w:p>
    <w:p w14:paraId="329DFED9" w14:textId="77777777" w:rsidR="00FB270A" w:rsidRPr="0003124D" w:rsidRDefault="00FB270A" w:rsidP="00FB270A">
      <w:pPr>
        <w:rPr>
          <w:rFonts w:cs="Times New Roman"/>
          <w:color w:val="000000" w:themeColor="text1"/>
          <w:szCs w:val="24"/>
        </w:rPr>
        <w:sectPr w:rsidR="00FB270A" w:rsidRPr="0003124D" w:rsidSect="00A64D0C">
          <w:pgSz w:w="11906" w:h="16838"/>
          <w:pgMar w:top="1134" w:right="1247" w:bottom="1276" w:left="1134" w:header="709" w:footer="709" w:gutter="0"/>
          <w:cols w:space="708"/>
          <w:titlePg/>
          <w:docGrid w:linePitch="360"/>
        </w:sectPr>
      </w:pPr>
    </w:p>
    <w:tbl>
      <w:tblPr>
        <w:tblStyle w:val="TableGrid"/>
        <w:tblpPr w:leftFromText="180" w:rightFromText="180" w:horzAnchor="margin" w:tblpY="855"/>
        <w:tblW w:w="5000" w:type="pct"/>
        <w:tblLook w:val="04A0" w:firstRow="1" w:lastRow="0" w:firstColumn="1" w:lastColumn="0" w:noHBand="0" w:noVBand="1"/>
      </w:tblPr>
      <w:tblGrid>
        <w:gridCol w:w="1527"/>
        <w:gridCol w:w="566"/>
        <w:gridCol w:w="805"/>
        <w:gridCol w:w="960"/>
        <w:gridCol w:w="728"/>
        <w:gridCol w:w="1594"/>
        <w:gridCol w:w="1083"/>
        <w:gridCol w:w="1298"/>
        <w:gridCol w:w="1229"/>
        <w:gridCol w:w="1050"/>
        <w:gridCol w:w="1027"/>
        <w:gridCol w:w="824"/>
        <w:gridCol w:w="1756"/>
      </w:tblGrid>
      <w:tr w:rsidR="00FB270A" w:rsidRPr="0003124D" w14:paraId="582B5213" w14:textId="77777777" w:rsidTr="00E20111">
        <w:trPr>
          <w:trHeight w:val="278"/>
        </w:trPr>
        <w:tc>
          <w:tcPr>
            <w:tcW w:w="438" w:type="pct"/>
            <w:vMerge w:val="restart"/>
          </w:tcPr>
          <w:p w14:paraId="7246A651" w14:textId="77777777" w:rsidR="00FB270A" w:rsidRPr="0003124D" w:rsidRDefault="00FB270A" w:rsidP="00E20111">
            <w:pPr>
              <w:rPr>
                <w:rFonts w:cs="Times New Roman"/>
                <w:color w:val="000000" w:themeColor="text1"/>
                <w:sz w:val="20"/>
                <w:szCs w:val="20"/>
              </w:rPr>
            </w:pPr>
            <w:r w:rsidRPr="0003124D">
              <w:rPr>
                <w:rFonts w:cs="Times New Roman"/>
                <w:color w:val="000000" w:themeColor="text1"/>
                <w:sz w:val="20"/>
                <w:szCs w:val="20"/>
              </w:rPr>
              <w:lastRenderedPageBreak/>
              <w:t>Peri-incisional block</w:t>
            </w:r>
          </w:p>
          <w:p w14:paraId="1B676950" w14:textId="77777777" w:rsidR="00FB270A" w:rsidRPr="0003124D" w:rsidRDefault="00FB270A" w:rsidP="00E20111">
            <w:pPr>
              <w:rPr>
                <w:rFonts w:cs="Times New Roman"/>
                <w:color w:val="000000" w:themeColor="text1"/>
                <w:sz w:val="20"/>
                <w:szCs w:val="20"/>
              </w:rPr>
            </w:pPr>
            <w:r w:rsidRPr="0003124D">
              <w:rPr>
                <w:rFonts w:cs="Times New Roman"/>
                <w:color w:val="000000" w:themeColor="text1"/>
                <w:sz w:val="20"/>
                <w:szCs w:val="20"/>
              </w:rPr>
              <w:t>4 ml of levobupivacaine (0.25%) plus 3 ml of lidocaine (2%)</w:t>
            </w:r>
          </w:p>
        </w:tc>
        <w:tc>
          <w:tcPr>
            <w:tcW w:w="203" w:type="pct"/>
            <w:vMerge w:val="restart"/>
            <w:vAlign w:val="center"/>
          </w:tcPr>
          <w:p w14:paraId="693FED83"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Age</w:t>
            </w:r>
          </w:p>
        </w:tc>
        <w:tc>
          <w:tcPr>
            <w:tcW w:w="289" w:type="pct"/>
            <w:vMerge w:val="restart"/>
            <w:vAlign w:val="center"/>
          </w:tcPr>
          <w:p w14:paraId="5487B76B"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Female sex</w:t>
            </w:r>
          </w:p>
        </w:tc>
        <w:tc>
          <w:tcPr>
            <w:tcW w:w="344" w:type="pct"/>
            <w:vMerge w:val="restart"/>
            <w:vAlign w:val="center"/>
          </w:tcPr>
          <w:p w14:paraId="7594753C"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BMI</w:t>
            </w:r>
          </w:p>
          <w:p w14:paraId="5B62782E"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(Average ± SD)</w:t>
            </w:r>
          </w:p>
        </w:tc>
        <w:tc>
          <w:tcPr>
            <w:tcW w:w="744" w:type="pct"/>
            <w:gridSpan w:val="2"/>
            <w:vAlign w:val="center"/>
          </w:tcPr>
          <w:p w14:paraId="6BA96070"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GA</w:t>
            </w:r>
          </w:p>
        </w:tc>
        <w:tc>
          <w:tcPr>
            <w:tcW w:w="388" w:type="pct"/>
            <w:vMerge w:val="restart"/>
            <w:vAlign w:val="center"/>
          </w:tcPr>
          <w:p w14:paraId="5BE59FD2"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Population size</w:t>
            </w:r>
          </w:p>
        </w:tc>
        <w:tc>
          <w:tcPr>
            <w:tcW w:w="485" w:type="pct"/>
            <w:vMerge w:val="restart"/>
            <w:vAlign w:val="center"/>
          </w:tcPr>
          <w:p w14:paraId="1331344D"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Type of procedure</w:t>
            </w:r>
          </w:p>
        </w:tc>
        <w:tc>
          <w:tcPr>
            <w:tcW w:w="440" w:type="pct"/>
            <w:vMerge w:val="restart"/>
            <w:vAlign w:val="center"/>
          </w:tcPr>
          <w:p w14:paraId="61B02EDC"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Duration of study (month)</w:t>
            </w:r>
          </w:p>
          <w:p w14:paraId="3F02934D" w14:textId="77777777" w:rsidR="00FB270A" w:rsidRPr="0003124D" w:rsidRDefault="00FB270A" w:rsidP="00E20111">
            <w:pPr>
              <w:jc w:val="center"/>
              <w:rPr>
                <w:rFonts w:cs="Times New Roman"/>
                <w:color w:val="000000" w:themeColor="text1"/>
                <w:sz w:val="20"/>
                <w:szCs w:val="20"/>
              </w:rPr>
            </w:pPr>
          </w:p>
        </w:tc>
        <w:tc>
          <w:tcPr>
            <w:tcW w:w="376" w:type="pct"/>
            <w:vMerge w:val="restart"/>
            <w:vAlign w:val="center"/>
          </w:tcPr>
          <w:p w14:paraId="60D9C198"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Duration of measuring outcome (POH)</w:t>
            </w:r>
          </w:p>
        </w:tc>
        <w:tc>
          <w:tcPr>
            <w:tcW w:w="368" w:type="pct"/>
            <w:vMerge w:val="restart"/>
            <w:vAlign w:val="center"/>
          </w:tcPr>
          <w:p w14:paraId="1CE4CF25"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Outcomes</w:t>
            </w:r>
          </w:p>
        </w:tc>
        <w:tc>
          <w:tcPr>
            <w:tcW w:w="303" w:type="pct"/>
            <w:vMerge w:val="restart"/>
            <w:vAlign w:val="center"/>
          </w:tcPr>
          <w:p w14:paraId="10EB79A3"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Fund</w:t>
            </w:r>
          </w:p>
          <w:p w14:paraId="34A628B9"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Source</w:t>
            </w:r>
          </w:p>
        </w:tc>
        <w:tc>
          <w:tcPr>
            <w:tcW w:w="622" w:type="pct"/>
            <w:vMerge w:val="restart"/>
            <w:vAlign w:val="center"/>
          </w:tcPr>
          <w:p w14:paraId="6575181F"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Declaration of interest</w:t>
            </w:r>
          </w:p>
        </w:tc>
      </w:tr>
      <w:tr w:rsidR="00FB270A" w:rsidRPr="0003124D" w14:paraId="3DCCFF61" w14:textId="77777777" w:rsidTr="00E20111">
        <w:trPr>
          <w:trHeight w:val="277"/>
        </w:trPr>
        <w:tc>
          <w:tcPr>
            <w:tcW w:w="438" w:type="pct"/>
            <w:vMerge/>
          </w:tcPr>
          <w:p w14:paraId="10F88390" w14:textId="77777777" w:rsidR="00FB270A" w:rsidRPr="0003124D" w:rsidRDefault="00FB270A" w:rsidP="00E20111">
            <w:pPr>
              <w:jc w:val="both"/>
              <w:rPr>
                <w:rFonts w:cs="Times New Roman"/>
                <w:color w:val="000000" w:themeColor="text1"/>
                <w:sz w:val="20"/>
                <w:szCs w:val="20"/>
              </w:rPr>
            </w:pPr>
          </w:p>
        </w:tc>
        <w:tc>
          <w:tcPr>
            <w:tcW w:w="203" w:type="pct"/>
            <w:vMerge/>
            <w:vAlign w:val="center"/>
          </w:tcPr>
          <w:p w14:paraId="28DBEAEE" w14:textId="77777777" w:rsidR="00FB270A" w:rsidRPr="0003124D" w:rsidRDefault="00FB270A" w:rsidP="00E20111">
            <w:pPr>
              <w:jc w:val="center"/>
              <w:rPr>
                <w:rFonts w:cs="Times New Roman"/>
                <w:color w:val="000000" w:themeColor="text1"/>
                <w:sz w:val="20"/>
                <w:szCs w:val="20"/>
              </w:rPr>
            </w:pPr>
          </w:p>
        </w:tc>
        <w:tc>
          <w:tcPr>
            <w:tcW w:w="289" w:type="pct"/>
            <w:vMerge/>
            <w:vAlign w:val="center"/>
          </w:tcPr>
          <w:p w14:paraId="17D0681B" w14:textId="77777777" w:rsidR="00FB270A" w:rsidRPr="0003124D" w:rsidRDefault="00FB270A" w:rsidP="00E20111">
            <w:pPr>
              <w:jc w:val="center"/>
              <w:rPr>
                <w:rFonts w:cs="Times New Roman"/>
                <w:color w:val="000000" w:themeColor="text1"/>
                <w:sz w:val="20"/>
                <w:szCs w:val="20"/>
              </w:rPr>
            </w:pPr>
          </w:p>
        </w:tc>
        <w:tc>
          <w:tcPr>
            <w:tcW w:w="344" w:type="pct"/>
            <w:vMerge/>
            <w:vAlign w:val="center"/>
          </w:tcPr>
          <w:p w14:paraId="31369DC4" w14:textId="77777777" w:rsidR="00FB270A" w:rsidRPr="0003124D" w:rsidRDefault="00FB270A" w:rsidP="00E20111">
            <w:pPr>
              <w:jc w:val="center"/>
              <w:rPr>
                <w:rFonts w:cs="Times New Roman"/>
                <w:color w:val="000000" w:themeColor="text1"/>
                <w:sz w:val="20"/>
                <w:szCs w:val="20"/>
              </w:rPr>
            </w:pPr>
          </w:p>
        </w:tc>
        <w:tc>
          <w:tcPr>
            <w:tcW w:w="261" w:type="pct"/>
            <w:vAlign w:val="center"/>
          </w:tcPr>
          <w:p w14:paraId="174F2665"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Type</w:t>
            </w:r>
          </w:p>
        </w:tc>
        <w:tc>
          <w:tcPr>
            <w:tcW w:w="483" w:type="pct"/>
            <w:vAlign w:val="center"/>
          </w:tcPr>
          <w:p w14:paraId="5280C163"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Medication/</w:t>
            </w:r>
          </w:p>
          <w:p w14:paraId="3087E4DB"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dosage</w:t>
            </w:r>
          </w:p>
        </w:tc>
        <w:tc>
          <w:tcPr>
            <w:tcW w:w="388" w:type="pct"/>
            <w:vMerge/>
            <w:vAlign w:val="center"/>
          </w:tcPr>
          <w:p w14:paraId="686382FE" w14:textId="77777777" w:rsidR="00FB270A" w:rsidRPr="0003124D" w:rsidRDefault="00FB270A" w:rsidP="00E20111">
            <w:pPr>
              <w:jc w:val="center"/>
              <w:rPr>
                <w:rFonts w:cs="Times New Roman"/>
                <w:color w:val="000000" w:themeColor="text1"/>
                <w:sz w:val="20"/>
                <w:szCs w:val="20"/>
              </w:rPr>
            </w:pPr>
          </w:p>
        </w:tc>
        <w:tc>
          <w:tcPr>
            <w:tcW w:w="485" w:type="pct"/>
            <w:vMerge/>
            <w:vAlign w:val="center"/>
          </w:tcPr>
          <w:p w14:paraId="4CA53785" w14:textId="77777777" w:rsidR="00FB270A" w:rsidRPr="0003124D" w:rsidRDefault="00FB270A" w:rsidP="00E20111">
            <w:pPr>
              <w:jc w:val="center"/>
              <w:rPr>
                <w:rFonts w:cs="Times New Roman"/>
                <w:color w:val="000000" w:themeColor="text1"/>
                <w:sz w:val="20"/>
                <w:szCs w:val="20"/>
              </w:rPr>
            </w:pPr>
          </w:p>
        </w:tc>
        <w:tc>
          <w:tcPr>
            <w:tcW w:w="440" w:type="pct"/>
            <w:vMerge/>
            <w:vAlign w:val="center"/>
          </w:tcPr>
          <w:p w14:paraId="794FBCB5" w14:textId="77777777" w:rsidR="00FB270A" w:rsidRPr="0003124D" w:rsidRDefault="00FB270A" w:rsidP="00E20111">
            <w:pPr>
              <w:jc w:val="center"/>
              <w:rPr>
                <w:rFonts w:cs="Times New Roman"/>
                <w:color w:val="000000" w:themeColor="text1"/>
                <w:sz w:val="20"/>
                <w:szCs w:val="20"/>
              </w:rPr>
            </w:pPr>
          </w:p>
        </w:tc>
        <w:tc>
          <w:tcPr>
            <w:tcW w:w="376" w:type="pct"/>
            <w:vMerge/>
            <w:vAlign w:val="center"/>
          </w:tcPr>
          <w:p w14:paraId="03077254" w14:textId="77777777" w:rsidR="00FB270A" w:rsidRPr="0003124D" w:rsidRDefault="00FB270A" w:rsidP="00E20111">
            <w:pPr>
              <w:jc w:val="center"/>
              <w:rPr>
                <w:rFonts w:cs="Times New Roman"/>
                <w:color w:val="000000" w:themeColor="text1"/>
                <w:sz w:val="20"/>
                <w:szCs w:val="20"/>
              </w:rPr>
            </w:pPr>
          </w:p>
        </w:tc>
        <w:tc>
          <w:tcPr>
            <w:tcW w:w="368" w:type="pct"/>
            <w:vMerge/>
            <w:vAlign w:val="center"/>
          </w:tcPr>
          <w:p w14:paraId="4FB9BCAF" w14:textId="77777777" w:rsidR="00FB270A" w:rsidRPr="0003124D" w:rsidRDefault="00FB270A" w:rsidP="00E20111">
            <w:pPr>
              <w:jc w:val="center"/>
              <w:rPr>
                <w:rFonts w:cs="Times New Roman"/>
                <w:color w:val="000000" w:themeColor="text1"/>
                <w:sz w:val="20"/>
                <w:szCs w:val="20"/>
              </w:rPr>
            </w:pPr>
          </w:p>
        </w:tc>
        <w:tc>
          <w:tcPr>
            <w:tcW w:w="303" w:type="pct"/>
            <w:vMerge/>
            <w:vAlign w:val="center"/>
          </w:tcPr>
          <w:p w14:paraId="238859F3" w14:textId="77777777" w:rsidR="00FB270A" w:rsidRPr="0003124D" w:rsidRDefault="00FB270A" w:rsidP="00E20111">
            <w:pPr>
              <w:jc w:val="center"/>
              <w:rPr>
                <w:rFonts w:cs="Times New Roman"/>
                <w:color w:val="000000" w:themeColor="text1"/>
                <w:sz w:val="20"/>
                <w:szCs w:val="20"/>
              </w:rPr>
            </w:pPr>
          </w:p>
        </w:tc>
        <w:tc>
          <w:tcPr>
            <w:tcW w:w="622" w:type="pct"/>
            <w:vMerge/>
            <w:vAlign w:val="center"/>
          </w:tcPr>
          <w:p w14:paraId="40EF77A0" w14:textId="77777777" w:rsidR="00FB270A" w:rsidRPr="0003124D" w:rsidRDefault="00FB270A" w:rsidP="00E20111">
            <w:pPr>
              <w:jc w:val="center"/>
              <w:rPr>
                <w:rFonts w:cs="Times New Roman"/>
                <w:color w:val="000000" w:themeColor="text1"/>
                <w:sz w:val="20"/>
                <w:szCs w:val="20"/>
              </w:rPr>
            </w:pPr>
          </w:p>
        </w:tc>
      </w:tr>
      <w:tr w:rsidR="00FB270A" w:rsidRPr="0003124D" w14:paraId="0C5CF039" w14:textId="77777777" w:rsidTr="00E20111">
        <w:trPr>
          <w:trHeight w:val="739"/>
        </w:trPr>
        <w:tc>
          <w:tcPr>
            <w:tcW w:w="438" w:type="pct"/>
            <w:vMerge/>
          </w:tcPr>
          <w:p w14:paraId="7C6E064C" w14:textId="77777777" w:rsidR="00FB270A" w:rsidRPr="0003124D" w:rsidRDefault="00FB270A" w:rsidP="00E20111">
            <w:pPr>
              <w:jc w:val="both"/>
              <w:rPr>
                <w:rFonts w:cs="Times New Roman"/>
                <w:color w:val="000000" w:themeColor="text1"/>
                <w:sz w:val="20"/>
                <w:szCs w:val="20"/>
              </w:rPr>
            </w:pPr>
          </w:p>
        </w:tc>
        <w:tc>
          <w:tcPr>
            <w:tcW w:w="203" w:type="pct"/>
            <w:vAlign w:val="center"/>
          </w:tcPr>
          <w:p w14:paraId="23F49E8D"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47.8</w:t>
            </w:r>
          </w:p>
        </w:tc>
        <w:tc>
          <w:tcPr>
            <w:tcW w:w="289" w:type="pct"/>
            <w:vAlign w:val="center"/>
          </w:tcPr>
          <w:p w14:paraId="7A735452"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84%</w:t>
            </w:r>
          </w:p>
        </w:tc>
        <w:tc>
          <w:tcPr>
            <w:tcW w:w="344" w:type="pct"/>
            <w:vAlign w:val="center"/>
          </w:tcPr>
          <w:p w14:paraId="3576CA79"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22.8 ± 2.0</w:t>
            </w:r>
          </w:p>
        </w:tc>
        <w:tc>
          <w:tcPr>
            <w:tcW w:w="261" w:type="pct"/>
            <w:vMerge w:val="restart"/>
            <w:vAlign w:val="center"/>
          </w:tcPr>
          <w:p w14:paraId="29424106"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Spinal</w:t>
            </w:r>
          </w:p>
          <w:p w14:paraId="6DC55E71" w14:textId="77777777" w:rsidR="00FB270A" w:rsidRPr="0003124D" w:rsidRDefault="00FB270A" w:rsidP="00E20111">
            <w:pPr>
              <w:jc w:val="center"/>
              <w:rPr>
                <w:rFonts w:cs="Times New Roman"/>
                <w:color w:val="000000" w:themeColor="text1"/>
                <w:sz w:val="20"/>
                <w:szCs w:val="20"/>
              </w:rPr>
            </w:pPr>
          </w:p>
        </w:tc>
        <w:tc>
          <w:tcPr>
            <w:tcW w:w="483" w:type="pct"/>
            <w:vMerge w:val="restart"/>
            <w:vAlign w:val="center"/>
          </w:tcPr>
          <w:p w14:paraId="47C4F808"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Levobupivacaine</w:t>
            </w:r>
          </w:p>
          <w:p w14:paraId="6A6C22CB" w14:textId="77777777" w:rsidR="00FB270A" w:rsidRPr="0003124D" w:rsidRDefault="00FB270A" w:rsidP="00E20111">
            <w:pPr>
              <w:rPr>
                <w:rFonts w:cs="Times New Roman"/>
                <w:color w:val="000000" w:themeColor="text1"/>
                <w:sz w:val="20"/>
                <w:szCs w:val="20"/>
              </w:rPr>
            </w:pPr>
            <w:r w:rsidRPr="0003124D">
              <w:rPr>
                <w:rFonts w:cs="Times New Roman"/>
                <w:color w:val="000000" w:themeColor="text1"/>
                <w:sz w:val="20"/>
                <w:szCs w:val="20"/>
              </w:rPr>
              <w:t>(5 mg/mL, 12.5 mg)</w:t>
            </w:r>
          </w:p>
          <w:p w14:paraId="517FC86C" w14:textId="77777777" w:rsidR="00FB270A" w:rsidRPr="0003124D" w:rsidRDefault="00FB270A" w:rsidP="00E20111">
            <w:pPr>
              <w:jc w:val="center"/>
              <w:rPr>
                <w:rFonts w:cs="Times New Roman"/>
                <w:color w:val="000000" w:themeColor="text1"/>
                <w:sz w:val="20"/>
                <w:szCs w:val="20"/>
              </w:rPr>
            </w:pPr>
          </w:p>
        </w:tc>
        <w:tc>
          <w:tcPr>
            <w:tcW w:w="388" w:type="pct"/>
            <w:vMerge w:val="restart"/>
            <w:vAlign w:val="center"/>
          </w:tcPr>
          <w:p w14:paraId="2E38A8AF"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59</w:t>
            </w:r>
          </w:p>
          <w:p w14:paraId="4EAC060F" w14:textId="77777777" w:rsidR="00FB270A" w:rsidRPr="0003124D" w:rsidRDefault="00FB270A" w:rsidP="00E20111">
            <w:pPr>
              <w:jc w:val="center"/>
              <w:rPr>
                <w:rFonts w:cs="Times New Roman"/>
                <w:color w:val="000000" w:themeColor="text1"/>
                <w:sz w:val="20"/>
                <w:szCs w:val="20"/>
              </w:rPr>
            </w:pPr>
          </w:p>
        </w:tc>
        <w:tc>
          <w:tcPr>
            <w:tcW w:w="485" w:type="pct"/>
            <w:vMerge w:val="restart"/>
            <w:vAlign w:val="center"/>
          </w:tcPr>
          <w:p w14:paraId="3871480A"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Modified chevron, mini-invasive</w:t>
            </w:r>
          </w:p>
        </w:tc>
        <w:tc>
          <w:tcPr>
            <w:tcW w:w="440" w:type="pct"/>
            <w:vMerge w:val="restart"/>
            <w:vAlign w:val="center"/>
          </w:tcPr>
          <w:p w14:paraId="6CE57242"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32</w:t>
            </w:r>
          </w:p>
        </w:tc>
        <w:tc>
          <w:tcPr>
            <w:tcW w:w="376" w:type="pct"/>
            <w:vMerge w:val="restart"/>
            <w:vAlign w:val="center"/>
          </w:tcPr>
          <w:p w14:paraId="395D4AE2"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 xml:space="preserve">24 </w:t>
            </w:r>
          </w:p>
        </w:tc>
        <w:tc>
          <w:tcPr>
            <w:tcW w:w="368" w:type="pct"/>
            <w:vMerge w:val="restart"/>
            <w:vAlign w:val="center"/>
          </w:tcPr>
          <w:p w14:paraId="4B0E9226"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VAS average</w:t>
            </w:r>
          </w:p>
        </w:tc>
        <w:tc>
          <w:tcPr>
            <w:tcW w:w="303" w:type="pct"/>
            <w:vMerge w:val="restart"/>
            <w:vAlign w:val="center"/>
          </w:tcPr>
          <w:p w14:paraId="090991AD"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The author</w:t>
            </w:r>
          </w:p>
        </w:tc>
        <w:tc>
          <w:tcPr>
            <w:tcW w:w="622" w:type="pct"/>
            <w:vMerge w:val="restart"/>
            <w:vAlign w:val="center"/>
          </w:tcPr>
          <w:p w14:paraId="4F265378" w14:textId="77777777" w:rsidR="00FB270A" w:rsidRPr="0003124D" w:rsidRDefault="00FB270A" w:rsidP="00E20111">
            <w:pPr>
              <w:jc w:val="center"/>
              <w:rPr>
                <w:rFonts w:cs="Times New Roman"/>
                <w:color w:val="000000" w:themeColor="text1"/>
                <w:sz w:val="20"/>
                <w:szCs w:val="20"/>
              </w:rPr>
            </w:pPr>
            <w:r w:rsidRPr="0003124D">
              <w:rPr>
                <w:rFonts w:cs="Times New Roman"/>
                <w:color w:val="000000" w:themeColor="text1"/>
                <w:sz w:val="20"/>
                <w:szCs w:val="20"/>
              </w:rPr>
              <w:t>Yes</w:t>
            </w:r>
          </w:p>
        </w:tc>
      </w:tr>
      <w:tr w:rsidR="00FB270A" w:rsidRPr="0003124D" w14:paraId="14D54022" w14:textId="77777777" w:rsidTr="00E20111">
        <w:trPr>
          <w:trHeight w:val="1385"/>
        </w:trPr>
        <w:tc>
          <w:tcPr>
            <w:tcW w:w="438" w:type="pct"/>
          </w:tcPr>
          <w:p w14:paraId="64787513"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Control</w:t>
            </w:r>
          </w:p>
          <w:p w14:paraId="7C3046D8"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 xml:space="preserve"> (7 ml saline)</w:t>
            </w:r>
          </w:p>
        </w:tc>
        <w:tc>
          <w:tcPr>
            <w:tcW w:w="492" w:type="pct"/>
            <w:gridSpan w:val="2"/>
            <w:vAlign w:val="center"/>
          </w:tcPr>
          <w:p w14:paraId="631AD0B7"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NR</w:t>
            </w:r>
          </w:p>
        </w:tc>
        <w:tc>
          <w:tcPr>
            <w:tcW w:w="344" w:type="pct"/>
            <w:vAlign w:val="center"/>
          </w:tcPr>
          <w:p w14:paraId="16C5ED40"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22.2 ± 1.8</w:t>
            </w:r>
          </w:p>
        </w:tc>
        <w:tc>
          <w:tcPr>
            <w:tcW w:w="261" w:type="pct"/>
            <w:vMerge/>
            <w:vAlign w:val="center"/>
          </w:tcPr>
          <w:p w14:paraId="422B71E3"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83" w:type="pct"/>
            <w:vMerge/>
            <w:vAlign w:val="center"/>
          </w:tcPr>
          <w:p w14:paraId="17BCEFCD"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88" w:type="pct"/>
            <w:vMerge/>
            <w:vAlign w:val="center"/>
          </w:tcPr>
          <w:p w14:paraId="46485940"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85" w:type="pct"/>
            <w:vMerge/>
            <w:vAlign w:val="center"/>
          </w:tcPr>
          <w:p w14:paraId="6094B48E"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40" w:type="pct"/>
            <w:vMerge/>
            <w:vAlign w:val="center"/>
          </w:tcPr>
          <w:p w14:paraId="43DF904A"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76" w:type="pct"/>
            <w:vMerge/>
            <w:vAlign w:val="center"/>
          </w:tcPr>
          <w:p w14:paraId="72AF4584"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68" w:type="pct"/>
            <w:vMerge/>
            <w:vAlign w:val="center"/>
          </w:tcPr>
          <w:p w14:paraId="490AC29A"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03" w:type="pct"/>
            <w:vMerge/>
            <w:vAlign w:val="center"/>
          </w:tcPr>
          <w:p w14:paraId="3CD86C48"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622" w:type="pct"/>
            <w:vMerge/>
            <w:vAlign w:val="center"/>
          </w:tcPr>
          <w:p w14:paraId="55BED3EE" w14:textId="77777777" w:rsidR="00FB270A" w:rsidRPr="0003124D" w:rsidRDefault="00FB270A" w:rsidP="00E20111">
            <w:pPr>
              <w:spacing w:line="360" w:lineRule="auto"/>
              <w:contextualSpacing/>
              <w:jc w:val="center"/>
              <w:rPr>
                <w:rFonts w:cs="Times New Roman"/>
                <w:color w:val="000000" w:themeColor="text1"/>
                <w:sz w:val="20"/>
                <w:szCs w:val="20"/>
              </w:rPr>
            </w:pPr>
          </w:p>
        </w:tc>
      </w:tr>
    </w:tbl>
    <w:p w14:paraId="540A16B1" w14:textId="77777777" w:rsidR="00FB270A" w:rsidRPr="0003124D" w:rsidRDefault="00FB270A" w:rsidP="00FB270A">
      <w:pPr>
        <w:spacing w:after="0" w:line="360" w:lineRule="auto"/>
        <w:contextualSpacing/>
        <w:rPr>
          <w:rFonts w:cs="Times New Roman"/>
          <w:b/>
          <w:bCs/>
          <w:color w:val="000000" w:themeColor="text1"/>
        </w:rPr>
      </w:pPr>
      <w:r w:rsidRPr="0003124D">
        <w:rPr>
          <w:rStyle w:val="fontstyle01"/>
          <w:rFonts w:ascii="Times New Roman" w:hAnsi="Times New Roman" w:cs="Times New Roman"/>
          <w:color w:val="000000" w:themeColor="text1"/>
        </w:rPr>
        <w:t>Appendi</w:t>
      </w:r>
      <w:r>
        <w:rPr>
          <w:rStyle w:val="fontstyle01"/>
          <w:rFonts w:ascii="Times New Roman" w:hAnsi="Times New Roman" w:cs="Times New Roman"/>
          <w:color w:val="000000" w:themeColor="text1"/>
        </w:rPr>
        <w:t>x</w:t>
      </w:r>
      <w:r w:rsidRPr="0003124D">
        <w:rPr>
          <w:rFonts w:cs="Times New Roman"/>
          <w:color w:val="000000" w:themeColor="text1"/>
        </w:rPr>
        <w:t xml:space="preserve"> </w:t>
      </w:r>
      <w:r w:rsidRPr="0003124D">
        <w:rPr>
          <w:rFonts w:cs="Times New Roman"/>
          <w:b/>
          <w:bCs/>
          <w:color w:val="000000" w:themeColor="text1"/>
        </w:rPr>
        <w:t>3</w:t>
      </w:r>
      <w:r w:rsidRPr="0003124D">
        <w:rPr>
          <w:rStyle w:val="fontstyle01"/>
          <w:rFonts w:ascii="Times New Roman" w:hAnsi="Times New Roman" w:cs="Times New Roman"/>
          <w:color w:val="000000" w:themeColor="text1"/>
        </w:rPr>
        <w:t xml:space="preserve"> Characteristics of included studies.</w:t>
      </w:r>
    </w:p>
    <w:p w14:paraId="221562F0" w14:textId="77777777" w:rsidR="00FB270A" w:rsidRPr="0003124D" w:rsidRDefault="00FB270A" w:rsidP="00FB270A">
      <w:pPr>
        <w:spacing w:after="0" w:line="360" w:lineRule="auto"/>
        <w:contextualSpacing/>
        <w:rPr>
          <w:rFonts w:cs="Times New Roman"/>
          <w:color w:val="000000" w:themeColor="text1"/>
        </w:rPr>
      </w:pPr>
      <w:r w:rsidRPr="0003124D">
        <w:rPr>
          <w:rFonts w:cs="Times New Roman"/>
          <w:b/>
          <w:bCs/>
          <w:color w:val="000000" w:themeColor="text1"/>
        </w:rPr>
        <w:t>3A.</w:t>
      </w:r>
      <w:r w:rsidRPr="0003124D">
        <w:rPr>
          <w:rFonts w:cs="Times New Roman"/>
          <w:color w:val="000000" w:themeColor="text1"/>
        </w:rPr>
        <w:t xml:space="preserve"> Gadek et al., (2015)</w:t>
      </w:r>
    </w:p>
    <w:p w14:paraId="2981547A" w14:textId="77777777" w:rsidR="00FB270A" w:rsidRPr="0003124D" w:rsidRDefault="00FB270A" w:rsidP="00FB270A">
      <w:pPr>
        <w:spacing w:after="0" w:line="360" w:lineRule="auto"/>
        <w:contextualSpacing/>
        <w:rPr>
          <w:rFonts w:cs="Times New Roman"/>
          <w:i/>
          <w:iCs/>
          <w:color w:val="000000" w:themeColor="text1"/>
          <w:szCs w:val="24"/>
        </w:rPr>
      </w:pPr>
      <w:r w:rsidRPr="0003124D">
        <w:rPr>
          <w:rFonts w:cs="Times New Roman"/>
          <w:i/>
          <w:iCs/>
          <w:color w:val="000000" w:themeColor="text1"/>
          <w:szCs w:val="24"/>
        </w:rPr>
        <w:t>BMI: Body mass index; GA: General anaesthesia; POH: Postoperative hours; mg: milligrams; mL: millilitre; NR: Not reported; SD: Standard deviation; VAS: Visual analogue scale.</w:t>
      </w:r>
    </w:p>
    <w:p w14:paraId="61928424" w14:textId="77777777" w:rsidR="00FB270A" w:rsidRPr="0003124D" w:rsidRDefault="00FB270A" w:rsidP="00FB270A">
      <w:pPr>
        <w:spacing w:after="0" w:line="360" w:lineRule="auto"/>
        <w:contextualSpacing/>
        <w:rPr>
          <w:rFonts w:cs="Times New Roman"/>
          <w:color w:val="000000" w:themeColor="text1"/>
        </w:rPr>
      </w:pPr>
    </w:p>
    <w:p w14:paraId="4CE43F48" w14:textId="77777777" w:rsidR="00FB270A" w:rsidRPr="0003124D" w:rsidRDefault="00FB270A" w:rsidP="00FB270A">
      <w:pPr>
        <w:spacing w:after="0" w:line="360" w:lineRule="auto"/>
        <w:contextualSpacing/>
        <w:rPr>
          <w:rFonts w:cs="Times New Roman"/>
          <w:color w:val="000000" w:themeColor="text1"/>
        </w:rPr>
      </w:pPr>
    </w:p>
    <w:p w14:paraId="6B5C7DB4" w14:textId="77777777" w:rsidR="00FB270A" w:rsidRPr="0003124D" w:rsidRDefault="00FB270A" w:rsidP="00FB270A">
      <w:pPr>
        <w:spacing w:after="0" w:line="360" w:lineRule="auto"/>
        <w:contextualSpacing/>
        <w:rPr>
          <w:rFonts w:cs="Times New Roman"/>
          <w:color w:val="000000" w:themeColor="text1"/>
        </w:rPr>
      </w:pPr>
    </w:p>
    <w:p w14:paraId="564F4658" w14:textId="77777777" w:rsidR="00FB270A" w:rsidRPr="0003124D" w:rsidRDefault="00FB270A" w:rsidP="00FB270A">
      <w:pPr>
        <w:spacing w:after="0" w:line="360" w:lineRule="auto"/>
        <w:contextualSpacing/>
        <w:rPr>
          <w:rFonts w:cs="Times New Roman"/>
          <w:color w:val="000000" w:themeColor="text1"/>
        </w:rPr>
      </w:pPr>
    </w:p>
    <w:p w14:paraId="3A4A83CC" w14:textId="77777777" w:rsidR="00FB270A" w:rsidRPr="0003124D" w:rsidRDefault="00FB270A" w:rsidP="00FB270A">
      <w:pPr>
        <w:spacing w:after="0" w:line="360" w:lineRule="auto"/>
        <w:contextualSpacing/>
        <w:rPr>
          <w:rFonts w:cs="Times New Roman"/>
          <w:color w:val="000000" w:themeColor="text1"/>
        </w:rPr>
      </w:pPr>
    </w:p>
    <w:p w14:paraId="57AEFD2E" w14:textId="77777777" w:rsidR="00FB270A" w:rsidRPr="0003124D" w:rsidRDefault="00FB270A" w:rsidP="00FB270A">
      <w:pPr>
        <w:spacing w:after="0" w:line="360" w:lineRule="auto"/>
        <w:contextualSpacing/>
        <w:rPr>
          <w:rFonts w:cs="Times New Roman"/>
          <w:color w:val="000000" w:themeColor="text1"/>
        </w:rPr>
      </w:pPr>
    </w:p>
    <w:p w14:paraId="6F339FE8" w14:textId="77777777" w:rsidR="00FB270A" w:rsidRPr="0003124D" w:rsidRDefault="00FB270A" w:rsidP="00FB270A">
      <w:pPr>
        <w:spacing w:after="0" w:line="360" w:lineRule="auto"/>
        <w:contextualSpacing/>
        <w:rPr>
          <w:rFonts w:cs="Times New Roman"/>
          <w:color w:val="000000" w:themeColor="text1"/>
        </w:rPr>
      </w:pPr>
    </w:p>
    <w:p w14:paraId="2A8A6B16" w14:textId="77777777" w:rsidR="00FB270A" w:rsidRPr="0003124D" w:rsidRDefault="00FB270A" w:rsidP="00FB270A">
      <w:pPr>
        <w:spacing w:after="0" w:line="360" w:lineRule="auto"/>
        <w:contextualSpacing/>
        <w:rPr>
          <w:rFonts w:cs="Times New Roman"/>
          <w:color w:val="000000" w:themeColor="text1"/>
        </w:rPr>
      </w:pPr>
    </w:p>
    <w:p w14:paraId="1B3B02BC" w14:textId="77777777" w:rsidR="00FB270A" w:rsidRPr="0003124D" w:rsidRDefault="00FB270A" w:rsidP="00FB270A">
      <w:pPr>
        <w:spacing w:after="0" w:line="360" w:lineRule="auto"/>
        <w:contextualSpacing/>
        <w:rPr>
          <w:rFonts w:cs="Times New Roman"/>
          <w:b/>
          <w:bCs/>
          <w:color w:val="000000" w:themeColor="text1"/>
        </w:rPr>
      </w:pPr>
    </w:p>
    <w:p w14:paraId="41E4B4AC" w14:textId="77777777" w:rsidR="00FB270A" w:rsidRDefault="00FB270A" w:rsidP="00FB270A">
      <w:pPr>
        <w:spacing w:after="0" w:line="360" w:lineRule="auto"/>
        <w:contextualSpacing/>
        <w:rPr>
          <w:rFonts w:cs="Times New Roman"/>
          <w:b/>
          <w:bCs/>
          <w:color w:val="000000" w:themeColor="text1"/>
        </w:rPr>
      </w:pPr>
    </w:p>
    <w:p w14:paraId="7DF4042C" w14:textId="77777777" w:rsidR="00FB270A" w:rsidRDefault="00FB270A" w:rsidP="00FB270A">
      <w:pPr>
        <w:spacing w:after="0" w:line="360" w:lineRule="auto"/>
        <w:contextualSpacing/>
        <w:rPr>
          <w:rFonts w:cs="Times New Roman"/>
          <w:b/>
          <w:bCs/>
          <w:color w:val="000000" w:themeColor="text1"/>
        </w:rPr>
      </w:pPr>
    </w:p>
    <w:p w14:paraId="1550F616" w14:textId="77777777" w:rsidR="00FB270A" w:rsidRPr="0003124D" w:rsidRDefault="00FB270A" w:rsidP="00FB270A">
      <w:pPr>
        <w:spacing w:after="0" w:line="360" w:lineRule="auto"/>
        <w:contextualSpacing/>
        <w:rPr>
          <w:rFonts w:cs="Times New Roman"/>
          <w:color w:val="000000" w:themeColor="text1"/>
        </w:rPr>
      </w:pPr>
      <w:r w:rsidRPr="0003124D">
        <w:rPr>
          <w:rFonts w:cs="Times New Roman"/>
          <w:b/>
          <w:bCs/>
          <w:color w:val="000000" w:themeColor="text1"/>
        </w:rPr>
        <w:lastRenderedPageBreak/>
        <w:t xml:space="preserve">3B. </w:t>
      </w:r>
      <w:r w:rsidRPr="0003124D">
        <w:rPr>
          <w:rFonts w:cs="Times New Roman"/>
          <w:color w:val="000000" w:themeColor="text1"/>
        </w:rPr>
        <w:t>Su et al, (2018)</w:t>
      </w:r>
    </w:p>
    <w:tbl>
      <w:tblPr>
        <w:tblStyle w:val="TableGrid"/>
        <w:tblW w:w="5000" w:type="pct"/>
        <w:tblLayout w:type="fixed"/>
        <w:tblLook w:val="04A0" w:firstRow="1" w:lastRow="0" w:firstColumn="1" w:lastColumn="0" w:noHBand="0" w:noVBand="1"/>
      </w:tblPr>
      <w:tblGrid>
        <w:gridCol w:w="1610"/>
        <w:gridCol w:w="588"/>
        <w:gridCol w:w="882"/>
        <w:gridCol w:w="1029"/>
        <w:gridCol w:w="734"/>
        <w:gridCol w:w="1471"/>
        <w:gridCol w:w="1176"/>
        <w:gridCol w:w="1173"/>
        <w:gridCol w:w="962"/>
        <w:gridCol w:w="1095"/>
        <w:gridCol w:w="1615"/>
        <w:gridCol w:w="881"/>
        <w:gridCol w:w="1231"/>
      </w:tblGrid>
      <w:tr w:rsidR="00FB270A" w:rsidRPr="0003124D" w14:paraId="2BA5CE6E" w14:textId="77777777" w:rsidTr="00E20111">
        <w:trPr>
          <w:trHeight w:val="278"/>
        </w:trPr>
        <w:tc>
          <w:tcPr>
            <w:tcW w:w="557" w:type="pct"/>
            <w:vMerge w:val="restart"/>
          </w:tcPr>
          <w:p w14:paraId="5DFD6542"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Ankle block</w:t>
            </w:r>
          </w:p>
          <w:p w14:paraId="5D2288D0"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8-10 mL of levobupivacaine (0.25%)</w:t>
            </w:r>
          </w:p>
        </w:tc>
        <w:tc>
          <w:tcPr>
            <w:tcW w:w="203" w:type="pct"/>
            <w:vMerge w:val="restart"/>
            <w:vAlign w:val="center"/>
          </w:tcPr>
          <w:p w14:paraId="10E78CBA"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Age</w:t>
            </w:r>
          </w:p>
        </w:tc>
        <w:tc>
          <w:tcPr>
            <w:tcW w:w="305" w:type="pct"/>
            <w:vMerge w:val="restart"/>
            <w:vAlign w:val="center"/>
          </w:tcPr>
          <w:p w14:paraId="1E0E6409"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Female sex</w:t>
            </w:r>
          </w:p>
        </w:tc>
        <w:tc>
          <w:tcPr>
            <w:tcW w:w="356" w:type="pct"/>
            <w:vMerge w:val="restart"/>
            <w:vAlign w:val="center"/>
          </w:tcPr>
          <w:p w14:paraId="2920640B"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BMI</w:t>
            </w:r>
          </w:p>
          <w:p w14:paraId="5AAACB5E"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(Average ± SD)</w:t>
            </w:r>
          </w:p>
        </w:tc>
        <w:tc>
          <w:tcPr>
            <w:tcW w:w="763" w:type="pct"/>
            <w:gridSpan w:val="2"/>
            <w:vAlign w:val="center"/>
          </w:tcPr>
          <w:p w14:paraId="6548B907"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GA</w:t>
            </w:r>
          </w:p>
        </w:tc>
        <w:tc>
          <w:tcPr>
            <w:tcW w:w="407" w:type="pct"/>
            <w:vMerge w:val="restart"/>
            <w:vAlign w:val="center"/>
          </w:tcPr>
          <w:p w14:paraId="31EF204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Population size</w:t>
            </w:r>
          </w:p>
        </w:tc>
        <w:tc>
          <w:tcPr>
            <w:tcW w:w="406" w:type="pct"/>
            <w:vMerge w:val="restart"/>
            <w:vAlign w:val="center"/>
          </w:tcPr>
          <w:p w14:paraId="3DB527DE"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Type of procedure</w:t>
            </w:r>
          </w:p>
        </w:tc>
        <w:tc>
          <w:tcPr>
            <w:tcW w:w="333" w:type="pct"/>
            <w:vMerge w:val="restart"/>
            <w:vAlign w:val="center"/>
          </w:tcPr>
          <w:p w14:paraId="69C749B6"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Duration of study (month)</w:t>
            </w:r>
          </w:p>
          <w:p w14:paraId="1D63B1B2"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79" w:type="pct"/>
            <w:vMerge w:val="restart"/>
            <w:vAlign w:val="center"/>
          </w:tcPr>
          <w:p w14:paraId="14A4C6B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Duration of measuring outcome (POH)</w:t>
            </w:r>
          </w:p>
        </w:tc>
        <w:tc>
          <w:tcPr>
            <w:tcW w:w="559" w:type="pct"/>
            <w:vMerge w:val="restart"/>
            <w:vAlign w:val="center"/>
          </w:tcPr>
          <w:p w14:paraId="106743A7"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Outcomes</w:t>
            </w:r>
          </w:p>
        </w:tc>
        <w:tc>
          <w:tcPr>
            <w:tcW w:w="305" w:type="pct"/>
            <w:vMerge w:val="restart"/>
            <w:vAlign w:val="center"/>
          </w:tcPr>
          <w:p w14:paraId="649B1EDB"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Fund</w:t>
            </w:r>
          </w:p>
          <w:p w14:paraId="2DFB9273"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Source</w:t>
            </w:r>
          </w:p>
        </w:tc>
        <w:tc>
          <w:tcPr>
            <w:tcW w:w="426" w:type="pct"/>
            <w:vMerge w:val="restart"/>
            <w:vAlign w:val="center"/>
          </w:tcPr>
          <w:p w14:paraId="272E05EB"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Declaration of interest</w:t>
            </w:r>
          </w:p>
        </w:tc>
      </w:tr>
      <w:tr w:rsidR="00FB270A" w:rsidRPr="0003124D" w14:paraId="4B94DA21" w14:textId="77777777" w:rsidTr="00E20111">
        <w:trPr>
          <w:trHeight w:val="277"/>
        </w:trPr>
        <w:tc>
          <w:tcPr>
            <w:tcW w:w="557" w:type="pct"/>
            <w:vMerge/>
          </w:tcPr>
          <w:p w14:paraId="12ED256F" w14:textId="77777777" w:rsidR="00FB270A" w:rsidRPr="0003124D" w:rsidRDefault="00FB270A" w:rsidP="00E20111">
            <w:pPr>
              <w:spacing w:line="360" w:lineRule="auto"/>
              <w:contextualSpacing/>
              <w:jc w:val="both"/>
              <w:rPr>
                <w:rFonts w:cs="Times New Roman"/>
                <w:color w:val="000000" w:themeColor="text1"/>
                <w:sz w:val="20"/>
                <w:szCs w:val="20"/>
              </w:rPr>
            </w:pPr>
          </w:p>
        </w:tc>
        <w:tc>
          <w:tcPr>
            <w:tcW w:w="203" w:type="pct"/>
            <w:vMerge/>
            <w:vAlign w:val="center"/>
          </w:tcPr>
          <w:p w14:paraId="2EC1D423"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05" w:type="pct"/>
            <w:vMerge/>
            <w:vAlign w:val="center"/>
          </w:tcPr>
          <w:p w14:paraId="5CF42120"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56" w:type="pct"/>
            <w:vMerge/>
            <w:vAlign w:val="center"/>
          </w:tcPr>
          <w:p w14:paraId="1CA79D5F"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254" w:type="pct"/>
            <w:vAlign w:val="center"/>
          </w:tcPr>
          <w:p w14:paraId="654D09B2"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Type</w:t>
            </w:r>
          </w:p>
        </w:tc>
        <w:tc>
          <w:tcPr>
            <w:tcW w:w="509" w:type="pct"/>
            <w:vAlign w:val="center"/>
          </w:tcPr>
          <w:p w14:paraId="5779D6BE"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Medication/</w:t>
            </w:r>
          </w:p>
          <w:p w14:paraId="78301222"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dosage</w:t>
            </w:r>
          </w:p>
        </w:tc>
        <w:tc>
          <w:tcPr>
            <w:tcW w:w="407" w:type="pct"/>
            <w:vMerge/>
            <w:vAlign w:val="center"/>
          </w:tcPr>
          <w:p w14:paraId="67349DC2"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06" w:type="pct"/>
            <w:vMerge/>
            <w:vAlign w:val="center"/>
          </w:tcPr>
          <w:p w14:paraId="6894FB9B"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33" w:type="pct"/>
            <w:vMerge/>
            <w:vAlign w:val="center"/>
          </w:tcPr>
          <w:p w14:paraId="36856B3C"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79" w:type="pct"/>
            <w:vMerge/>
            <w:vAlign w:val="center"/>
          </w:tcPr>
          <w:p w14:paraId="376FB54A"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559" w:type="pct"/>
            <w:vMerge/>
            <w:vAlign w:val="center"/>
          </w:tcPr>
          <w:p w14:paraId="538A9F37"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05" w:type="pct"/>
            <w:vMerge/>
            <w:vAlign w:val="center"/>
          </w:tcPr>
          <w:p w14:paraId="080AD7D3"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26" w:type="pct"/>
            <w:vMerge/>
            <w:vAlign w:val="center"/>
          </w:tcPr>
          <w:p w14:paraId="23068123" w14:textId="77777777" w:rsidR="00FB270A" w:rsidRPr="0003124D" w:rsidRDefault="00FB270A" w:rsidP="00E20111">
            <w:pPr>
              <w:spacing w:line="360" w:lineRule="auto"/>
              <w:contextualSpacing/>
              <w:jc w:val="center"/>
              <w:rPr>
                <w:rFonts w:cs="Times New Roman"/>
                <w:color w:val="000000" w:themeColor="text1"/>
                <w:sz w:val="20"/>
                <w:szCs w:val="20"/>
              </w:rPr>
            </w:pPr>
          </w:p>
        </w:tc>
      </w:tr>
      <w:tr w:rsidR="00FB270A" w:rsidRPr="0003124D" w14:paraId="375CC975" w14:textId="77777777" w:rsidTr="00E20111">
        <w:trPr>
          <w:trHeight w:val="739"/>
        </w:trPr>
        <w:tc>
          <w:tcPr>
            <w:tcW w:w="557" w:type="pct"/>
            <w:vMerge/>
          </w:tcPr>
          <w:p w14:paraId="28810998" w14:textId="77777777" w:rsidR="00FB270A" w:rsidRPr="0003124D" w:rsidRDefault="00FB270A" w:rsidP="00E20111">
            <w:pPr>
              <w:spacing w:line="360" w:lineRule="auto"/>
              <w:contextualSpacing/>
              <w:jc w:val="both"/>
              <w:rPr>
                <w:rFonts w:cs="Times New Roman"/>
                <w:color w:val="000000" w:themeColor="text1"/>
                <w:sz w:val="20"/>
                <w:szCs w:val="20"/>
              </w:rPr>
            </w:pPr>
          </w:p>
        </w:tc>
        <w:tc>
          <w:tcPr>
            <w:tcW w:w="203" w:type="pct"/>
            <w:vMerge w:val="restart"/>
            <w:vAlign w:val="center"/>
          </w:tcPr>
          <w:p w14:paraId="7959CB6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20-65</w:t>
            </w:r>
          </w:p>
          <w:p w14:paraId="04DC4D2A"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05" w:type="pct"/>
            <w:vAlign w:val="center"/>
          </w:tcPr>
          <w:p w14:paraId="128900BA"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21 on 4</w:t>
            </w:r>
          </w:p>
        </w:tc>
        <w:tc>
          <w:tcPr>
            <w:tcW w:w="356" w:type="pct"/>
            <w:vAlign w:val="center"/>
          </w:tcPr>
          <w:p w14:paraId="2CEDA973"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23.7 ± 4.9</w:t>
            </w:r>
          </w:p>
        </w:tc>
        <w:tc>
          <w:tcPr>
            <w:tcW w:w="254" w:type="pct"/>
            <w:vMerge w:val="restart"/>
            <w:vAlign w:val="center"/>
          </w:tcPr>
          <w:p w14:paraId="348A7E5D"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Oral</w:t>
            </w:r>
          </w:p>
          <w:p w14:paraId="401E8A9B"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509" w:type="pct"/>
            <w:vMerge w:val="restart"/>
            <w:vAlign w:val="center"/>
          </w:tcPr>
          <w:p w14:paraId="6EB82776"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Lidocaine 1 mg/kg; Thiamylal 5 mg/kg; Propofol 1 mg/kg.</w:t>
            </w:r>
          </w:p>
        </w:tc>
        <w:tc>
          <w:tcPr>
            <w:tcW w:w="407" w:type="pct"/>
            <w:vAlign w:val="center"/>
          </w:tcPr>
          <w:p w14:paraId="29CEBAD3"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25</w:t>
            </w:r>
          </w:p>
          <w:p w14:paraId="7AE20C49"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06" w:type="pct"/>
            <w:vMerge w:val="restart"/>
            <w:vAlign w:val="center"/>
          </w:tcPr>
          <w:p w14:paraId="4CFE5257"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NR</w:t>
            </w:r>
          </w:p>
        </w:tc>
        <w:tc>
          <w:tcPr>
            <w:tcW w:w="333" w:type="pct"/>
            <w:vMerge w:val="restart"/>
            <w:vAlign w:val="center"/>
          </w:tcPr>
          <w:p w14:paraId="53A9BD54"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NR</w:t>
            </w:r>
          </w:p>
        </w:tc>
        <w:tc>
          <w:tcPr>
            <w:tcW w:w="379" w:type="pct"/>
            <w:vMerge w:val="restart"/>
            <w:vAlign w:val="center"/>
          </w:tcPr>
          <w:p w14:paraId="31D124AC"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 xml:space="preserve">36 </w:t>
            </w:r>
          </w:p>
        </w:tc>
        <w:tc>
          <w:tcPr>
            <w:tcW w:w="559" w:type="pct"/>
            <w:vMerge w:val="restart"/>
            <w:vAlign w:val="center"/>
          </w:tcPr>
          <w:p w14:paraId="3F789634"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 xml:space="preserve">Fentanyl frequency and dose, </w:t>
            </w:r>
          </w:p>
          <w:p w14:paraId="102719D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 xml:space="preserve">NRS average  </w:t>
            </w:r>
          </w:p>
          <w:p w14:paraId="471620FF"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Post op nausea/vomiting, itching</w:t>
            </w:r>
          </w:p>
        </w:tc>
        <w:tc>
          <w:tcPr>
            <w:tcW w:w="305" w:type="pct"/>
            <w:vMerge w:val="restart"/>
            <w:vAlign w:val="center"/>
          </w:tcPr>
          <w:p w14:paraId="36FCA7B6"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No</w:t>
            </w:r>
          </w:p>
        </w:tc>
        <w:tc>
          <w:tcPr>
            <w:tcW w:w="426" w:type="pct"/>
            <w:vMerge w:val="restart"/>
            <w:vAlign w:val="center"/>
          </w:tcPr>
          <w:p w14:paraId="15BAB920"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No</w:t>
            </w:r>
          </w:p>
        </w:tc>
      </w:tr>
      <w:tr w:rsidR="00FB270A" w:rsidRPr="0003124D" w14:paraId="134B18DA" w14:textId="77777777" w:rsidTr="00E20111">
        <w:trPr>
          <w:trHeight w:val="1385"/>
        </w:trPr>
        <w:tc>
          <w:tcPr>
            <w:tcW w:w="557" w:type="pct"/>
          </w:tcPr>
          <w:p w14:paraId="7DA95641"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Peri-incisional</w:t>
            </w:r>
          </w:p>
          <w:p w14:paraId="645F0A20"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8-10 mL of levobupivacaine (0.25%)</w:t>
            </w:r>
          </w:p>
        </w:tc>
        <w:tc>
          <w:tcPr>
            <w:tcW w:w="203" w:type="pct"/>
            <w:vMerge/>
            <w:vAlign w:val="center"/>
          </w:tcPr>
          <w:p w14:paraId="2D145A0C"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05" w:type="pct"/>
            <w:vAlign w:val="center"/>
          </w:tcPr>
          <w:p w14:paraId="00CF51D5"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23 on 1</w:t>
            </w:r>
          </w:p>
        </w:tc>
        <w:tc>
          <w:tcPr>
            <w:tcW w:w="356" w:type="pct"/>
            <w:vAlign w:val="center"/>
          </w:tcPr>
          <w:p w14:paraId="2C831932"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22.1 ± 4.0</w:t>
            </w:r>
          </w:p>
        </w:tc>
        <w:tc>
          <w:tcPr>
            <w:tcW w:w="254" w:type="pct"/>
            <w:vMerge/>
            <w:vAlign w:val="center"/>
          </w:tcPr>
          <w:p w14:paraId="3C6A4B36"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509" w:type="pct"/>
            <w:vMerge/>
            <w:vAlign w:val="center"/>
          </w:tcPr>
          <w:p w14:paraId="54D436DD"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07" w:type="pct"/>
            <w:vAlign w:val="center"/>
          </w:tcPr>
          <w:p w14:paraId="6C498F27"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24</w:t>
            </w:r>
          </w:p>
        </w:tc>
        <w:tc>
          <w:tcPr>
            <w:tcW w:w="406" w:type="pct"/>
            <w:vMerge/>
            <w:vAlign w:val="center"/>
          </w:tcPr>
          <w:p w14:paraId="5D05C753"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33" w:type="pct"/>
            <w:vMerge/>
            <w:vAlign w:val="center"/>
          </w:tcPr>
          <w:p w14:paraId="41BC943E"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79" w:type="pct"/>
            <w:vMerge/>
            <w:vAlign w:val="center"/>
          </w:tcPr>
          <w:p w14:paraId="7A8FE73C"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559" w:type="pct"/>
            <w:vMerge/>
            <w:vAlign w:val="center"/>
          </w:tcPr>
          <w:p w14:paraId="7DA6EB65"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05" w:type="pct"/>
            <w:vMerge/>
            <w:vAlign w:val="center"/>
          </w:tcPr>
          <w:p w14:paraId="07A1729D"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26" w:type="pct"/>
            <w:vMerge/>
            <w:vAlign w:val="center"/>
          </w:tcPr>
          <w:p w14:paraId="57B69A52" w14:textId="77777777" w:rsidR="00FB270A" w:rsidRPr="0003124D" w:rsidRDefault="00FB270A" w:rsidP="00E20111">
            <w:pPr>
              <w:spacing w:line="360" w:lineRule="auto"/>
              <w:contextualSpacing/>
              <w:jc w:val="center"/>
              <w:rPr>
                <w:rFonts w:cs="Times New Roman"/>
                <w:color w:val="000000" w:themeColor="text1"/>
                <w:sz w:val="20"/>
                <w:szCs w:val="20"/>
              </w:rPr>
            </w:pPr>
          </w:p>
        </w:tc>
      </w:tr>
      <w:tr w:rsidR="00FB270A" w:rsidRPr="0003124D" w14:paraId="65142ECD" w14:textId="77777777" w:rsidTr="00E20111">
        <w:trPr>
          <w:trHeight w:val="1385"/>
        </w:trPr>
        <w:tc>
          <w:tcPr>
            <w:tcW w:w="557" w:type="pct"/>
          </w:tcPr>
          <w:p w14:paraId="43052D99"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Control</w:t>
            </w:r>
          </w:p>
          <w:p w14:paraId="38B32E95"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(No block)</w:t>
            </w:r>
          </w:p>
        </w:tc>
        <w:tc>
          <w:tcPr>
            <w:tcW w:w="203" w:type="pct"/>
            <w:vAlign w:val="center"/>
          </w:tcPr>
          <w:p w14:paraId="4D0EE877"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48</w:t>
            </w:r>
          </w:p>
        </w:tc>
        <w:tc>
          <w:tcPr>
            <w:tcW w:w="305" w:type="pct"/>
            <w:vAlign w:val="center"/>
          </w:tcPr>
          <w:p w14:paraId="4FF8EB0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88.50%</w:t>
            </w:r>
          </w:p>
        </w:tc>
        <w:tc>
          <w:tcPr>
            <w:tcW w:w="356" w:type="pct"/>
            <w:vAlign w:val="center"/>
          </w:tcPr>
          <w:p w14:paraId="1B5C7409"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23.0 ± 3.7</w:t>
            </w:r>
          </w:p>
        </w:tc>
        <w:tc>
          <w:tcPr>
            <w:tcW w:w="254" w:type="pct"/>
            <w:vMerge/>
            <w:vAlign w:val="center"/>
          </w:tcPr>
          <w:p w14:paraId="44DC3B9C"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509" w:type="pct"/>
            <w:vMerge/>
            <w:vAlign w:val="center"/>
          </w:tcPr>
          <w:p w14:paraId="4FE7AE4E"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07" w:type="pct"/>
            <w:vAlign w:val="center"/>
          </w:tcPr>
          <w:p w14:paraId="0616CFFD"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26</w:t>
            </w:r>
          </w:p>
        </w:tc>
        <w:tc>
          <w:tcPr>
            <w:tcW w:w="406" w:type="pct"/>
            <w:vMerge/>
            <w:vAlign w:val="center"/>
          </w:tcPr>
          <w:p w14:paraId="3435D4BC"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33" w:type="pct"/>
            <w:vMerge/>
            <w:vAlign w:val="center"/>
          </w:tcPr>
          <w:p w14:paraId="102EF024"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79" w:type="pct"/>
            <w:vMerge/>
            <w:vAlign w:val="center"/>
          </w:tcPr>
          <w:p w14:paraId="73BF3F43"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559" w:type="pct"/>
            <w:vMerge/>
            <w:vAlign w:val="center"/>
          </w:tcPr>
          <w:p w14:paraId="0AEAD14C"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05" w:type="pct"/>
            <w:vMerge/>
            <w:vAlign w:val="center"/>
          </w:tcPr>
          <w:p w14:paraId="6D6C1012"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26" w:type="pct"/>
            <w:vMerge/>
            <w:vAlign w:val="center"/>
          </w:tcPr>
          <w:p w14:paraId="65B17CF8" w14:textId="77777777" w:rsidR="00FB270A" w:rsidRPr="0003124D" w:rsidRDefault="00FB270A" w:rsidP="00E20111">
            <w:pPr>
              <w:spacing w:line="360" w:lineRule="auto"/>
              <w:contextualSpacing/>
              <w:jc w:val="center"/>
              <w:rPr>
                <w:rFonts w:cs="Times New Roman"/>
                <w:color w:val="000000" w:themeColor="text1"/>
                <w:sz w:val="20"/>
                <w:szCs w:val="20"/>
              </w:rPr>
            </w:pPr>
          </w:p>
        </w:tc>
      </w:tr>
    </w:tbl>
    <w:p w14:paraId="52546037" w14:textId="77777777" w:rsidR="00FB270A" w:rsidRPr="0003124D" w:rsidRDefault="00FB270A" w:rsidP="00FB270A">
      <w:pPr>
        <w:spacing w:after="0" w:line="360" w:lineRule="auto"/>
        <w:contextualSpacing/>
        <w:rPr>
          <w:rFonts w:cs="Times New Roman"/>
          <w:i/>
          <w:iCs/>
          <w:color w:val="000000" w:themeColor="text1"/>
          <w:szCs w:val="24"/>
        </w:rPr>
      </w:pPr>
      <w:r w:rsidRPr="0003124D">
        <w:rPr>
          <w:rFonts w:cs="Times New Roman"/>
          <w:i/>
          <w:iCs/>
          <w:color w:val="000000" w:themeColor="text1"/>
          <w:szCs w:val="24"/>
        </w:rPr>
        <w:t>BMI: Body mass index; GA: General anaesthesia; POH: Postoperative hours; mg/kg: milligram to kilogram; mL: millilitre; NR: Not reported; NRS: Numeric rating scale; SD: Standard deviation.</w:t>
      </w:r>
    </w:p>
    <w:p w14:paraId="09FBED7C" w14:textId="77777777" w:rsidR="00FB270A" w:rsidRPr="0003124D" w:rsidRDefault="00FB270A" w:rsidP="00FB270A">
      <w:pPr>
        <w:spacing w:after="0" w:line="360" w:lineRule="auto"/>
        <w:contextualSpacing/>
        <w:rPr>
          <w:rFonts w:cs="Times New Roman"/>
          <w:color w:val="000000" w:themeColor="text1"/>
        </w:rPr>
      </w:pPr>
    </w:p>
    <w:p w14:paraId="20D256CF" w14:textId="77777777" w:rsidR="00FB270A" w:rsidRPr="0003124D" w:rsidRDefault="00FB270A" w:rsidP="00FB270A">
      <w:pPr>
        <w:spacing w:after="0" w:line="360" w:lineRule="auto"/>
        <w:contextualSpacing/>
        <w:rPr>
          <w:rFonts w:cs="Times New Roman"/>
          <w:color w:val="000000" w:themeColor="text1"/>
        </w:rPr>
      </w:pPr>
    </w:p>
    <w:p w14:paraId="405915D8" w14:textId="77777777" w:rsidR="00FB270A" w:rsidRPr="0003124D" w:rsidRDefault="00FB270A" w:rsidP="00FB270A">
      <w:pPr>
        <w:spacing w:after="0" w:line="360" w:lineRule="auto"/>
        <w:contextualSpacing/>
        <w:rPr>
          <w:rFonts w:cs="Times New Roman"/>
          <w:color w:val="000000" w:themeColor="text1"/>
        </w:rPr>
      </w:pPr>
    </w:p>
    <w:p w14:paraId="34A7E6B9" w14:textId="77777777" w:rsidR="00FB270A" w:rsidRPr="0003124D" w:rsidRDefault="00FB270A" w:rsidP="00FB270A">
      <w:pPr>
        <w:spacing w:after="0" w:line="360" w:lineRule="auto"/>
        <w:contextualSpacing/>
        <w:rPr>
          <w:rFonts w:cs="Times New Roman"/>
          <w:color w:val="000000" w:themeColor="text1"/>
        </w:rPr>
      </w:pPr>
    </w:p>
    <w:p w14:paraId="284B0639" w14:textId="77777777" w:rsidR="00FB270A" w:rsidRPr="0003124D" w:rsidRDefault="00FB270A" w:rsidP="00FB270A">
      <w:pPr>
        <w:spacing w:after="0" w:line="360" w:lineRule="auto"/>
        <w:contextualSpacing/>
        <w:rPr>
          <w:rFonts w:cs="Times New Roman"/>
          <w:color w:val="000000" w:themeColor="text1"/>
        </w:rPr>
      </w:pPr>
    </w:p>
    <w:p w14:paraId="613A8954" w14:textId="77777777" w:rsidR="00FB270A" w:rsidRDefault="00FB270A" w:rsidP="00FB270A">
      <w:pPr>
        <w:spacing w:after="0" w:line="360" w:lineRule="auto"/>
        <w:contextualSpacing/>
        <w:rPr>
          <w:rFonts w:cs="Times New Roman"/>
          <w:b/>
          <w:bCs/>
          <w:color w:val="000000" w:themeColor="text1"/>
        </w:rPr>
      </w:pPr>
    </w:p>
    <w:p w14:paraId="1DB34671" w14:textId="77777777" w:rsidR="00FB270A" w:rsidRDefault="00FB270A" w:rsidP="00FB270A">
      <w:pPr>
        <w:spacing w:after="0" w:line="360" w:lineRule="auto"/>
        <w:contextualSpacing/>
        <w:rPr>
          <w:rFonts w:cs="Times New Roman"/>
          <w:b/>
          <w:bCs/>
          <w:color w:val="000000" w:themeColor="text1"/>
        </w:rPr>
      </w:pPr>
    </w:p>
    <w:p w14:paraId="01A21840" w14:textId="77777777" w:rsidR="00FB270A" w:rsidRPr="0003124D" w:rsidRDefault="00FB270A" w:rsidP="00FB270A">
      <w:pPr>
        <w:spacing w:after="0" w:line="360" w:lineRule="auto"/>
        <w:contextualSpacing/>
        <w:rPr>
          <w:rFonts w:cs="Times New Roman"/>
          <w:color w:val="000000" w:themeColor="text1"/>
        </w:rPr>
      </w:pPr>
      <w:r w:rsidRPr="0003124D">
        <w:rPr>
          <w:rFonts w:cs="Times New Roman"/>
          <w:b/>
          <w:bCs/>
          <w:color w:val="000000" w:themeColor="text1"/>
        </w:rPr>
        <w:lastRenderedPageBreak/>
        <w:t xml:space="preserve">3C. </w:t>
      </w:r>
      <w:r w:rsidRPr="0003124D">
        <w:rPr>
          <w:rFonts w:cs="Times New Roman"/>
          <w:color w:val="000000" w:themeColor="text1"/>
        </w:rPr>
        <w:t>Migues et al., (2005)</w:t>
      </w:r>
    </w:p>
    <w:tbl>
      <w:tblPr>
        <w:tblStyle w:val="TableGrid"/>
        <w:tblpPr w:leftFromText="180" w:rightFromText="180" w:vertAnchor="page" w:horzAnchor="margin" w:tblpY="1621"/>
        <w:tblW w:w="5000" w:type="pct"/>
        <w:tblLook w:val="04A0" w:firstRow="1" w:lastRow="0" w:firstColumn="1" w:lastColumn="0" w:noHBand="0" w:noVBand="1"/>
      </w:tblPr>
      <w:tblGrid>
        <w:gridCol w:w="1529"/>
        <w:gridCol w:w="971"/>
        <w:gridCol w:w="870"/>
        <w:gridCol w:w="971"/>
        <w:gridCol w:w="627"/>
        <w:gridCol w:w="1234"/>
        <w:gridCol w:w="1098"/>
        <w:gridCol w:w="1306"/>
        <w:gridCol w:w="1173"/>
        <w:gridCol w:w="1063"/>
        <w:gridCol w:w="1112"/>
        <w:gridCol w:w="777"/>
        <w:gridCol w:w="1716"/>
      </w:tblGrid>
      <w:tr w:rsidR="00FB270A" w:rsidRPr="0003124D" w14:paraId="44C5573C" w14:textId="77777777" w:rsidTr="00E20111">
        <w:trPr>
          <w:trHeight w:val="278"/>
        </w:trPr>
        <w:tc>
          <w:tcPr>
            <w:tcW w:w="529" w:type="pct"/>
            <w:vMerge w:val="restart"/>
          </w:tcPr>
          <w:p w14:paraId="4288EF65"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Ankle block</w:t>
            </w:r>
          </w:p>
          <w:p w14:paraId="1A54CC9D"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4 mL levobupivacaine (0.5%) and 4 mL lidocaine (non epi 2%)</w:t>
            </w:r>
          </w:p>
        </w:tc>
        <w:tc>
          <w:tcPr>
            <w:tcW w:w="336" w:type="pct"/>
            <w:vMerge w:val="restart"/>
            <w:vAlign w:val="center"/>
          </w:tcPr>
          <w:p w14:paraId="423A5696"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Age</w:t>
            </w:r>
          </w:p>
          <w:p w14:paraId="53189122"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(Average ± SD)</w:t>
            </w:r>
          </w:p>
        </w:tc>
        <w:tc>
          <w:tcPr>
            <w:tcW w:w="301" w:type="pct"/>
            <w:vMerge w:val="restart"/>
            <w:vAlign w:val="center"/>
          </w:tcPr>
          <w:p w14:paraId="70849A9E"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Female sex</w:t>
            </w:r>
          </w:p>
        </w:tc>
        <w:tc>
          <w:tcPr>
            <w:tcW w:w="336" w:type="pct"/>
            <w:vMerge w:val="restart"/>
            <w:vAlign w:val="center"/>
          </w:tcPr>
          <w:p w14:paraId="2A2C945D"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BMI</w:t>
            </w:r>
          </w:p>
          <w:p w14:paraId="0B447C18"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(Average ± SD)</w:t>
            </w:r>
          </w:p>
        </w:tc>
        <w:tc>
          <w:tcPr>
            <w:tcW w:w="644" w:type="pct"/>
            <w:gridSpan w:val="2"/>
            <w:vAlign w:val="center"/>
          </w:tcPr>
          <w:p w14:paraId="5D59630F"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GA</w:t>
            </w:r>
          </w:p>
        </w:tc>
        <w:tc>
          <w:tcPr>
            <w:tcW w:w="380" w:type="pct"/>
            <w:vMerge w:val="restart"/>
            <w:vAlign w:val="center"/>
          </w:tcPr>
          <w:p w14:paraId="493A1515"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Population size</w:t>
            </w:r>
          </w:p>
        </w:tc>
        <w:tc>
          <w:tcPr>
            <w:tcW w:w="452" w:type="pct"/>
            <w:vMerge w:val="restart"/>
            <w:vAlign w:val="center"/>
          </w:tcPr>
          <w:p w14:paraId="5447B047"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Type of procedure</w:t>
            </w:r>
          </w:p>
        </w:tc>
        <w:tc>
          <w:tcPr>
            <w:tcW w:w="406" w:type="pct"/>
            <w:vMerge w:val="restart"/>
            <w:vAlign w:val="center"/>
          </w:tcPr>
          <w:p w14:paraId="5D4271FA"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Duration of study (month)</w:t>
            </w:r>
          </w:p>
          <w:p w14:paraId="591B6A05"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68" w:type="pct"/>
            <w:vMerge w:val="restart"/>
            <w:vAlign w:val="center"/>
          </w:tcPr>
          <w:p w14:paraId="0BBF38BB"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Duration of measuring outcome (POH)</w:t>
            </w:r>
          </w:p>
        </w:tc>
        <w:tc>
          <w:tcPr>
            <w:tcW w:w="385" w:type="pct"/>
            <w:vMerge w:val="restart"/>
            <w:vAlign w:val="center"/>
          </w:tcPr>
          <w:p w14:paraId="41F01B86"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Outcomes</w:t>
            </w:r>
          </w:p>
        </w:tc>
        <w:tc>
          <w:tcPr>
            <w:tcW w:w="269" w:type="pct"/>
            <w:vMerge w:val="restart"/>
            <w:vAlign w:val="center"/>
          </w:tcPr>
          <w:p w14:paraId="335CC95C"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Fund</w:t>
            </w:r>
          </w:p>
          <w:p w14:paraId="09A5948F"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Source</w:t>
            </w:r>
          </w:p>
        </w:tc>
        <w:tc>
          <w:tcPr>
            <w:tcW w:w="594" w:type="pct"/>
            <w:vMerge w:val="restart"/>
            <w:vAlign w:val="center"/>
          </w:tcPr>
          <w:p w14:paraId="3040E607"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Declaration of interest</w:t>
            </w:r>
          </w:p>
        </w:tc>
      </w:tr>
      <w:tr w:rsidR="00FB270A" w:rsidRPr="0003124D" w14:paraId="3BC7BC60" w14:textId="77777777" w:rsidTr="00E20111">
        <w:trPr>
          <w:trHeight w:val="277"/>
        </w:trPr>
        <w:tc>
          <w:tcPr>
            <w:tcW w:w="529" w:type="pct"/>
            <w:vMerge/>
          </w:tcPr>
          <w:p w14:paraId="61B07794" w14:textId="77777777" w:rsidR="00FB270A" w:rsidRPr="0003124D" w:rsidRDefault="00FB270A" w:rsidP="00E20111">
            <w:pPr>
              <w:spacing w:line="360" w:lineRule="auto"/>
              <w:contextualSpacing/>
              <w:jc w:val="both"/>
              <w:rPr>
                <w:rFonts w:cs="Times New Roman"/>
                <w:color w:val="000000" w:themeColor="text1"/>
                <w:sz w:val="20"/>
                <w:szCs w:val="20"/>
              </w:rPr>
            </w:pPr>
          </w:p>
        </w:tc>
        <w:tc>
          <w:tcPr>
            <w:tcW w:w="336" w:type="pct"/>
            <w:vMerge/>
            <w:vAlign w:val="center"/>
          </w:tcPr>
          <w:p w14:paraId="49E8605A"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01" w:type="pct"/>
            <w:vMerge/>
            <w:vAlign w:val="center"/>
          </w:tcPr>
          <w:p w14:paraId="72C532A3"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36" w:type="pct"/>
            <w:vMerge/>
            <w:vAlign w:val="center"/>
          </w:tcPr>
          <w:p w14:paraId="12347E2B"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217" w:type="pct"/>
            <w:vAlign w:val="center"/>
          </w:tcPr>
          <w:p w14:paraId="02D90148"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Type</w:t>
            </w:r>
          </w:p>
        </w:tc>
        <w:tc>
          <w:tcPr>
            <w:tcW w:w="427" w:type="pct"/>
            <w:vAlign w:val="center"/>
          </w:tcPr>
          <w:p w14:paraId="5A12C979"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Medication/</w:t>
            </w:r>
          </w:p>
          <w:p w14:paraId="1DC80825"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dosage</w:t>
            </w:r>
          </w:p>
        </w:tc>
        <w:tc>
          <w:tcPr>
            <w:tcW w:w="380" w:type="pct"/>
            <w:vMerge/>
            <w:vAlign w:val="center"/>
          </w:tcPr>
          <w:p w14:paraId="1DED2E1D"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52" w:type="pct"/>
            <w:vMerge/>
            <w:vAlign w:val="center"/>
          </w:tcPr>
          <w:p w14:paraId="2F0ECAA1"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06" w:type="pct"/>
            <w:vMerge/>
            <w:vAlign w:val="center"/>
          </w:tcPr>
          <w:p w14:paraId="65804FE3"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68" w:type="pct"/>
            <w:vMerge/>
            <w:vAlign w:val="center"/>
          </w:tcPr>
          <w:p w14:paraId="0685A9A9"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85" w:type="pct"/>
            <w:vMerge/>
            <w:vAlign w:val="center"/>
          </w:tcPr>
          <w:p w14:paraId="50CA64FA"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269" w:type="pct"/>
            <w:vMerge/>
            <w:vAlign w:val="center"/>
          </w:tcPr>
          <w:p w14:paraId="7F90A794"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594" w:type="pct"/>
            <w:vMerge/>
            <w:vAlign w:val="center"/>
          </w:tcPr>
          <w:p w14:paraId="6B79D405" w14:textId="77777777" w:rsidR="00FB270A" w:rsidRPr="0003124D" w:rsidRDefault="00FB270A" w:rsidP="00E20111">
            <w:pPr>
              <w:spacing w:line="360" w:lineRule="auto"/>
              <w:contextualSpacing/>
              <w:jc w:val="center"/>
              <w:rPr>
                <w:rFonts w:cs="Times New Roman"/>
                <w:color w:val="000000" w:themeColor="text1"/>
                <w:sz w:val="20"/>
                <w:szCs w:val="20"/>
              </w:rPr>
            </w:pPr>
          </w:p>
        </w:tc>
      </w:tr>
      <w:tr w:rsidR="00FB270A" w:rsidRPr="0003124D" w14:paraId="6F175FC6" w14:textId="77777777" w:rsidTr="00E20111">
        <w:trPr>
          <w:trHeight w:val="739"/>
        </w:trPr>
        <w:tc>
          <w:tcPr>
            <w:tcW w:w="529" w:type="pct"/>
            <w:vMerge/>
          </w:tcPr>
          <w:p w14:paraId="789292C0" w14:textId="77777777" w:rsidR="00FB270A" w:rsidRPr="0003124D" w:rsidRDefault="00FB270A" w:rsidP="00E20111">
            <w:pPr>
              <w:spacing w:line="360" w:lineRule="auto"/>
              <w:contextualSpacing/>
              <w:jc w:val="both"/>
              <w:rPr>
                <w:rFonts w:cs="Times New Roman"/>
                <w:color w:val="000000" w:themeColor="text1"/>
                <w:sz w:val="20"/>
                <w:szCs w:val="20"/>
              </w:rPr>
            </w:pPr>
          </w:p>
        </w:tc>
        <w:tc>
          <w:tcPr>
            <w:tcW w:w="336" w:type="pct"/>
            <w:vAlign w:val="center"/>
          </w:tcPr>
          <w:p w14:paraId="2A14D4D3"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61 ± 11</w:t>
            </w:r>
          </w:p>
        </w:tc>
        <w:tc>
          <w:tcPr>
            <w:tcW w:w="301" w:type="pct"/>
            <w:vAlign w:val="center"/>
          </w:tcPr>
          <w:p w14:paraId="7C356CE7"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88.5%</w:t>
            </w:r>
          </w:p>
        </w:tc>
        <w:tc>
          <w:tcPr>
            <w:tcW w:w="336" w:type="pct"/>
            <w:vMerge w:val="restart"/>
            <w:vAlign w:val="center"/>
          </w:tcPr>
          <w:p w14:paraId="289FDA59"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NR</w:t>
            </w:r>
          </w:p>
          <w:p w14:paraId="178848B3"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644" w:type="pct"/>
            <w:gridSpan w:val="2"/>
            <w:vMerge w:val="restart"/>
            <w:vAlign w:val="center"/>
          </w:tcPr>
          <w:p w14:paraId="6259AFA0"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No GA</w:t>
            </w:r>
          </w:p>
        </w:tc>
        <w:tc>
          <w:tcPr>
            <w:tcW w:w="380" w:type="pct"/>
            <w:vAlign w:val="center"/>
          </w:tcPr>
          <w:p w14:paraId="25B37A99"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25</w:t>
            </w:r>
          </w:p>
        </w:tc>
        <w:tc>
          <w:tcPr>
            <w:tcW w:w="452" w:type="pct"/>
            <w:vMerge w:val="restart"/>
            <w:vAlign w:val="center"/>
          </w:tcPr>
          <w:p w14:paraId="71730184"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Unilateral forefoot procedures</w:t>
            </w:r>
          </w:p>
        </w:tc>
        <w:tc>
          <w:tcPr>
            <w:tcW w:w="406" w:type="pct"/>
            <w:vMerge w:val="restart"/>
            <w:vAlign w:val="center"/>
          </w:tcPr>
          <w:p w14:paraId="640E1F29"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4 to 8</w:t>
            </w:r>
          </w:p>
        </w:tc>
        <w:tc>
          <w:tcPr>
            <w:tcW w:w="368" w:type="pct"/>
            <w:vMerge w:val="restart"/>
            <w:vAlign w:val="center"/>
          </w:tcPr>
          <w:p w14:paraId="0CCE4BA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 xml:space="preserve">24 </w:t>
            </w:r>
          </w:p>
        </w:tc>
        <w:tc>
          <w:tcPr>
            <w:tcW w:w="385" w:type="pct"/>
            <w:vMerge w:val="restart"/>
            <w:vAlign w:val="center"/>
          </w:tcPr>
          <w:p w14:paraId="613809E5"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 xml:space="preserve">Percentage of </w:t>
            </w:r>
          </w:p>
          <w:p w14:paraId="3DE08F0D"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VAS = 0</w:t>
            </w:r>
          </w:p>
        </w:tc>
        <w:tc>
          <w:tcPr>
            <w:tcW w:w="269" w:type="pct"/>
            <w:vMerge w:val="restart"/>
            <w:vAlign w:val="center"/>
          </w:tcPr>
          <w:p w14:paraId="6ADCBF09"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No</w:t>
            </w:r>
          </w:p>
        </w:tc>
        <w:tc>
          <w:tcPr>
            <w:tcW w:w="594" w:type="pct"/>
            <w:vMerge w:val="restart"/>
            <w:vAlign w:val="center"/>
          </w:tcPr>
          <w:p w14:paraId="3199A9E4"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No</w:t>
            </w:r>
          </w:p>
        </w:tc>
      </w:tr>
      <w:tr w:rsidR="00FB270A" w:rsidRPr="0003124D" w14:paraId="7A6A9594" w14:textId="77777777" w:rsidTr="00E20111">
        <w:trPr>
          <w:trHeight w:val="1385"/>
        </w:trPr>
        <w:tc>
          <w:tcPr>
            <w:tcW w:w="529" w:type="pct"/>
          </w:tcPr>
          <w:p w14:paraId="6EC227DD"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Popliteal block</w:t>
            </w:r>
          </w:p>
          <w:p w14:paraId="298029B8"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2mL levobupivacaine (0.5%) and 2 mL lidocaine (Non epi 2%)</w:t>
            </w:r>
          </w:p>
        </w:tc>
        <w:tc>
          <w:tcPr>
            <w:tcW w:w="336" w:type="pct"/>
            <w:vAlign w:val="center"/>
          </w:tcPr>
          <w:p w14:paraId="34CD48FE"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56 ± 17</w:t>
            </w:r>
          </w:p>
        </w:tc>
        <w:tc>
          <w:tcPr>
            <w:tcW w:w="301" w:type="pct"/>
            <w:vAlign w:val="center"/>
          </w:tcPr>
          <w:p w14:paraId="4276073F"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92%</w:t>
            </w:r>
          </w:p>
        </w:tc>
        <w:tc>
          <w:tcPr>
            <w:tcW w:w="336" w:type="pct"/>
            <w:vMerge/>
            <w:vAlign w:val="center"/>
          </w:tcPr>
          <w:p w14:paraId="4500E6F6"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644" w:type="pct"/>
            <w:gridSpan w:val="2"/>
            <w:vMerge/>
            <w:vAlign w:val="center"/>
          </w:tcPr>
          <w:p w14:paraId="4EA9347F"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80" w:type="pct"/>
            <w:vAlign w:val="center"/>
          </w:tcPr>
          <w:p w14:paraId="4C4FD0C4"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26</w:t>
            </w:r>
          </w:p>
        </w:tc>
        <w:tc>
          <w:tcPr>
            <w:tcW w:w="452" w:type="pct"/>
            <w:vMerge/>
            <w:vAlign w:val="center"/>
          </w:tcPr>
          <w:p w14:paraId="2D08C6DF"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06" w:type="pct"/>
            <w:vMerge/>
            <w:vAlign w:val="center"/>
          </w:tcPr>
          <w:p w14:paraId="44C2206B"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68" w:type="pct"/>
            <w:vMerge/>
            <w:vAlign w:val="center"/>
          </w:tcPr>
          <w:p w14:paraId="666286AE"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85" w:type="pct"/>
            <w:vMerge/>
            <w:vAlign w:val="center"/>
          </w:tcPr>
          <w:p w14:paraId="6CD5AAEF"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269" w:type="pct"/>
            <w:vMerge/>
            <w:vAlign w:val="center"/>
          </w:tcPr>
          <w:p w14:paraId="5C0B77FA"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594" w:type="pct"/>
            <w:vMerge/>
            <w:vAlign w:val="center"/>
          </w:tcPr>
          <w:p w14:paraId="3F06940D" w14:textId="77777777" w:rsidR="00FB270A" w:rsidRPr="0003124D" w:rsidRDefault="00FB270A" w:rsidP="00E20111">
            <w:pPr>
              <w:spacing w:line="360" w:lineRule="auto"/>
              <w:contextualSpacing/>
              <w:jc w:val="center"/>
              <w:rPr>
                <w:rFonts w:cs="Times New Roman"/>
                <w:color w:val="000000" w:themeColor="text1"/>
                <w:sz w:val="20"/>
                <w:szCs w:val="20"/>
              </w:rPr>
            </w:pPr>
          </w:p>
        </w:tc>
      </w:tr>
    </w:tbl>
    <w:p w14:paraId="65F94D51" w14:textId="77777777" w:rsidR="00FB270A" w:rsidRPr="0003124D" w:rsidRDefault="00FB270A" w:rsidP="00FB270A">
      <w:pPr>
        <w:spacing w:after="0" w:line="360" w:lineRule="auto"/>
        <w:contextualSpacing/>
        <w:rPr>
          <w:rFonts w:cs="Times New Roman"/>
          <w:i/>
          <w:iCs/>
          <w:color w:val="000000" w:themeColor="text1"/>
          <w:szCs w:val="24"/>
        </w:rPr>
      </w:pPr>
      <w:r w:rsidRPr="0003124D">
        <w:rPr>
          <w:rFonts w:cs="Times New Roman"/>
          <w:i/>
          <w:iCs/>
          <w:color w:val="000000" w:themeColor="text1"/>
          <w:szCs w:val="24"/>
        </w:rPr>
        <w:t>BMI: Body mass index; GA: General anaesthesia; POH: Postoperative hours; mL: millilitre; NR: Not reported; SD: Standard deviation; VAS: Visual analogue scale.</w:t>
      </w:r>
    </w:p>
    <w:p w14:paraId="281814B0" w14:textId="77777777" w:rsidR="00FB270A" w:rsidRPr="0003124D" w:rsidRDefault="00FB270A" w:rsidP="00FB270A">
      <w:pPr>
        <w:spacing w:after="0" w:line="360" w:lineRule="auto"/>
        <w:contextualSpacing/>
        <w:rPr>
          <w:rFonts w:cs="Times New Roman"/>
          <w:color w:val="000000" w:themeColor="text1"/>
        </w:rPr>
      </w:pPr>
    </w:p>
    <w:p w14:paraId="3EDE6BDE" w14:textId="77777777" w:rsidR="00FB270A" w:rsidRPr="0003124D" w:rsidRDefault="00FB270A" w:rsidP="00FB270A">
      <w:pPr>
        <w:spacing w:after="0" w:line="360" w:lineRule="auto"/>
        <w:contextualSpacing/>
        <w:rPr>
          <w:rFonts w:cs="Times New Roman"/>
          <w:color w:val="000000" w:themeColor="text1"/>
        </w:rPr>
      </w:pPr>
    </w:p>
    <w:p w14:paraId="75DD0BDF" w14:textId="77777777" w:rsidR="00FB270A" w:rsidRPr="0003124D" w:rsidRDefault="00FB270A" w:rsidP="00FB270A">
      <w:pPr>
        <w:spacing w:after="0" w:line="360" w:lineRule="auto"/>
        <w:contextualSpacing/>
        <w:rPr>
          <w:rFonts w:cs="Times New Roman"/>
          <w:color w:val="000000" w:themeColor="text1"/>
        </w:rPr>
      </w:pPr>
    </w:p>
    <w:p w14:paraId="3C1D5D41" w14:textId="77777777" w:rsidR="00FB270A" w:rsidRPr="0003124D" w:rsidRDefault="00FB270A" w:rsidP="00FB270A">
      <w:pPr>
        <w:spacing w:after="0" w:line="360" w:lineRule="auto"/>
        <w:contextualSpacing/>
        <w:rPr>
          <w:rFonts w:cs="Times New Roman"/>
          <w:color w:val="000000" w:themeColor="text1"/>
        </w:rPr>
      </w:pPr>
    </w:p>
    <w:p w14:paraId="4D8F482D" w14:textId="77777777" w:rsidR="00FB270A" w:rsidRPr="0003124D" w:rsidRDefault="00FB270A" w:rsidP="00FB270A">
      <w:pPr>
        <w:spacing w:after="0" w:line="360" w:lineRule="auto"/>
        <w:contextualSpacing/>
        <w:rPr>
          <w:rFonts w:cs="Times New Roman"/>
          <w:color w:val="000000" w:themeColor="text1"/>
        </w:rPr>
      </w:pPr>
    </w:p>
    <w:p w14:paraId="0CD0BDB8" w14:textId="77777777" w:rsidR="00FB270A" w:rsidRPr="0003124D" w:rsidRDefault="00FB270A" w:rsidP="00FB270A">
      <w:pPr>
        <w:spacing w:after="0" w:line="360" w:lineRule="auto"/>
        <w:contextualSpacing/>
        <w:rPr>
          <w:rFonts w:cs="Times New Roman"/>
          <w:color w:val="000000" w:themeColor="text1"/>
        </w:rPr>
      </w:pPr>
    </w:p>
    <w:p w14:paraId="3F0AE761" w14:textId="77777777" w:rsidR="00FB270A" w:rsidRPr="0003124D" w:rsidRDefault="00FB270A" w:rsidP="00FB270A">
      <w:pPr>
        <w:spacing w:after="0" w:line="360" w:lineRule="auto"/>
        <w:contextualSpacing/>
        <w:rPr>
          <w:rFonts w:cs="Times New Roman"/>
          <w:color w:val="000000" w:themeColor="text1"/>
        </w:rPr>
      </w:pPr>
    </w:p>
    <w:p w14:paraId="205B3C2C" w14:textId="77777777" w:rsidR="00FB270A" w:rsidRPr="0003124D" w:rsidRDefault="00FB270A" w:rsidP="00FB270A">
      <w:pPr>
        <w:spacing w:after="0" w:line="360" w:lineRule="auto"/>
        <w:contextualSpacing/>
        <w:rPr>
          <w:rFonts w:cs="Times New Roman"/>
          <w:color w:val="000000" w:themeColor="text1"/>
        </w:rPr>
      </w:pPr>
    </w:p>
    <w:tbl>
      <w:tblPr>
        <w:tblStyle w:val="TableGrid"/>
        <w:tblpPr w:leftFromText="180" w:rightFromText="180" w:vertAnchor="page" w:horzAnchor="margin" w:tblpY="1651"/>
        <w:tblW w:w="5000" w:type="pct"/>
        <w:tblLook w:val="04A0" w:firstRow="1" w:lastRow="0" w:firstColumn="1" w:lastColumn="0" w:noHBand="0" w:noVBand="1"/>
      </w:tblPr>
      <w:tblGrid>
        <w:gridCol w:w="1528"/>
        <w:gridCol w:w="969"/>
        <w:gridCol w:w="810"/>
        <w:gridCol w:w="969"/>
        <w:gridCol w:w="813"/>
        <w:gridCol w:w="1255"/>
        <w:gridCol w:w="1096"/>
        <w:gridCol w:w="1185"/>
        <w:gridCol w:w="1092"/>
        <w:gridCol w:w="1060"/>
        <w:gridCol w:w="1078"/>
        <w:gridCol w:w="1003"/>
        <w:gridCol w:w="1589"/>
      </w:tblGrid>
      <w:tr w:rsidR="00FB270A" w:rsidRPr="0003124D" w14:paraId="351E1F0D" w14:textId="77777777" w:rsidTr="00E20111">
        <w:trPr>
          <w:trHeight w:val="278"/>
        </w:trPr>
        <w:tc>
          <w:tcPr>
            <w:tcW w:w="528" w:type="pct"/>
            <w:vMerge w:val="restart"/>
          </w:tcPr>
          <w:p w14:paraId="672025D8"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lastRenderedPageBreak/>
              <w:t>Ankle block</w:t>
            </w:r>
          </w:p>
          <w:p w14:paraId="5758C2B5"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levobupivacaine 2.5 mg/mL 15 cc</w:t>
            </w:r>
          </w:p>
        </w:tc>
        <w:tc>
          <w:tcPr>
            <w:tcW w:w="335" w:type="pct"/>
            <w:vMerge w:val="restart"/>
            <w:vAlign w:val="center"/>
          </w:tcPr>
          <w:p w14:paraId="03328189"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Age</w:t>
            </w:r>
          </w:p>
          <w:p w14:paraId="43A007D6"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(Average ± SD)</w:t>
            </w:r>
          </w:p>
        </w:tc>
        <w:tc>
          <w:tcPr>
            <w:tcW w:w="280" w:type="pct"/>
            <w:vMerge w:val="restart"/>
            <w:vAlign w:val="center"/>
          </w:tcPr>
          <w:p w14:paraId="6D5976E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Female sex</w:t>
            </w:r>
          </w:p>
        </w:tc>
        <w:tc>
          <w:tcPr>
            <w:tcW w:w="335" w:type="pct"/>
            <w:vMerge w:val="restart"/>
            <w:vAlign w:val="center"/>
          </w:tcPr>
          <w:p w14:paraId="1C329A4A"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BMI</w:t>
            </w:r>
          </w:p>
          <w:p w14:paraId="5C55C8CC"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(Average ± SD)</w:t>
            </w:r>
          </w:p>
        </w:tc>
        <w:tc>
          <w:tcPr>
            <w:tcW w:w="715" w:type="pct"/>
            <w:gridSpan w:val="2"/>
            <w:vAlign w:val="center"/>
          </w:tcPr>
          <w:p w14:paraId="620511A0"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GA</w:t>
            </w:r>
          </w:p>
        </w:tc>
        <w:tc>
          <w:tcPr>
            <w:tcW w:w="379" w:type="pct"/>
            <w:vMerge w:val="restart"/>
            <w:vAlign w:val="center"/>
          </w:tcPr>
          <w:p w14:paraId="778206F5"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Population size</w:t>
            </w:r>
          </w:p>
        </w:tc>
        <w:tc>
          <w:tcPr>
            <w:tcW w:w="410" w:type="pct"/>
            <w:vMerge w:val="restart"/>
            <w:vAlign w:val="center"/>
          </w:tcPr>
          <w:p w14:paraId="5251CB0E"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Type of procedure</w:t>
            </w:r>
          </w:p>
        </w:tc>
        <w:tc>
          <w:tcPr>
            <w:tcW w:w="378" w:type="pct"/>
            <w:vMerge w:val="restart"/>
            <w:vAlign w:val="center"/>
          </w:tcPr>
          <w:p w14:paraId="26E7C136"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Duration of study (month)</w:t>
            </w:r>
          </w:p>
          <w:p w14:paraId="23EC0864"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67" w:type="pct"/>
            <w:vMerge w:val="restart"/>
            <w:vAlign w:val="center"/>
          </w:tcPr>
          <w:p w14:paraId="310A9AA7"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Duration of measuring outcome (POH)</w:t>
            </w:r>
          </w:p>
        </w:tc>
        <w:tc>
          <w:tcPr>
            <w:tcW w:w="373" w:type="pct"/>
            <w:vMerge w:val="restart"/>
            <w:vAlign w:val="center"/>
          </w:tcPr>
          <w:p w14:paraId="7EDBC697"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Outcomes</w:t>
            </w:r>
          </w:p>
        </w:tc>
        <w:tc>
          <w:tcPr>
            <w:tcW w:w="347" w:type="pct"/>
            <w:vMerge w:val="restart"/>
            <w:vAlign w:val="center"/>
          </w:tcPr>
          <w:p w14:paraId="505E8B76"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Fund</w:t>
            </w:r>
          </w:p>
          <w:p w14:paraId="56190A67"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Source</w:t>
            </w:r>
          </w:p>
        </w:tc>
        <w:tc>
          <w:tcPr>
            <w:tcW w:w="550" w:type="pct"/>
            <w:vMerge w:val="restart"/>
            <w:vAlign w:val="center"/>
          </w:tcPr>
          <w:p w14:paraId="19B0F7C6"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Declaration of interest</w:t>
            </w:r>
          </w:p>
        </w:tc>
      </w:tr>
      <w:tr w:rsidR="00FB270A" w:rsidRPr="0003124D" w14:paraId="751377DB" w14:textId="77777777" w:rsidTr="00E20111">
        <w:trPr>
          <w:trHeight w:val="277"/>
        </w:trPr>
        <w:tc>
          <w:tcPr>
            <w:tcW w:w="528" w:type="pct"/>
            <w:vMerge/>
          </w:tcPr>
          <w:p w14:paraId="5F9A116F" w14:textId="77777777" w:rsidR="00FB270A" w:rsidRPr="0003124D" w:rsidRDefault="00FB270A" w:rsidP="00E20111">
            <w:pPr>
              <w:spacing w:line="360" w:lineRule="auto"/>
              <w:contextualSpacing/>
              <w:jc w:val="both"/>
              <w:rPr>
                <w:rFonts w:cs="Times New Roman"/>
                <w:color w:val="000000" w:themeColor="text1"/>
                <w:sz w:val="20"/>
                <w:szCs w:val="20"/>
              </w:rPr>
            </w:pPr>
          </w:p>
        </w:tc>
        <w:tc>
          <w:tcPr>
            <w:tcW w:w="335" w:type="pct"/>
            <w:vMerge/>
            <w:vAlign w:val="center"/>
          </w:tcPr>
          <w:p w14:paraId="349BB5C1"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280" w:type="pct"/>
            <w:vMerge/>
            <w:vAlign w:val="center"/>
          </w:tcPr>
          <w:p w14:paraId="54986C34"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35" w:type="pct"/>
            <w:vMerge/>
            <w:vAlign w:val="center"/>
          </w:tcPr>
          <w:p w14:paraId="767BDE7B"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281" w:type="pct"/>
            <w:vAlign w:val="center"/>
          </w:tcPr>
          <w:p w14:paraId="0912FB7D"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Type</w:t>
            </w:r>
          </w:p>
        </w:tc>
        <w:tc>
          <w:tcPr>
            <w:tcW w:w="433" w:type="pct"/>
            <w:vAlign w:val="center"/>
          </w:tcPr>
          <w:p w14:paraId="3846A5FB"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Medication/</w:t>
            </w:r>
          </w:p>
          <w:p w14:paraId="095A512C"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dosage</w:t>
            </w:r>
          </w:p>
        </w:tc>
        <w:tc>
          <w:tcPr>
            <w:tcW w:w="379" w:type="pct"/>
            <w:vMerge/>
            <w:vAlign w:val="center"/>
          </w:tcPr>
          <w:p w14:paraId="68E8C74B"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10" w:type="pct"/>
            <w:vMerge/>
            <w:vAlign w:val="center"/>
          </w:tcPr>
          <w:p w14:paraId="45327EEF"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78" w:type="pct"/>
            <w:vMerge/>
            <w:vAlign w:val="center"/>
          </w:tcPr>
          <w:p w14:paraId="3D3C65E0"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67" w:type="pct"/>
            <w:vMerge/>
            <w:vAlign w:val="center"/>
          </w:tcPr>
          <w:p w14:paraId="511D0E0D"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73" w:type="pct"/>
            <w:vMerge/>
            <w:vAlign w:val="center"/>
          </w:tcPr>
          <w:p w14:paraId="62B0F418"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47" w:type="pct"/>
            <w:vMerge/>
            <w:vAlign w:val="center"/>
          </w:tcPr>
          <w:p w14:paraId="399121B9"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550" w:type="pct"/>
            <w:vMerge/>
            <w:vAlign w:val="center"/>
          </w:tcPr>
          <w:p w14:paraId="0FC78A5B" w14:textId="77777777" w:rsidR="00FB270A" w:rsidRPr="0003124D" w:rsidRDefault="00FB270A" w:rsidP="00E20111">
            <w:pPr>
              <w:spacing w:line="360" w:lineRule="auto"/>
              <w:contextualSpacing/>
              <w:jc w:val="center"/>
              <w:rPr>
                <w:rFonts w:cs="Times New Roman"/>
                <w:color w:val="000000" w:themeColor="text1"/>
                <w:sz w:val="20"/>
                <w:szCs w:val="20"/>
              </w:rPr>
            </w:pPr>
          </w:p>
        </w:tc>
      </w:tr>
      <w:tr w:rsidR="00FB270A" w:rsidRPr="0003124D" w14:paraId="55CF9C72" w14:textId="77777777" w:rsidTr="00E20111">
        <w:trPr>
          <w:trHeight w:val="739"/>
        </w:trPr>
        <w:tc>
          <w:tcPr>
            <w:tcW w:w="528" w:type="pct"/>
            <w:vMerge/>
          </w:tcPr>
          <w:p w14:paraId="06EA129C" w14:textId="77777777" w:rsidR="00FB270A" w:rsidRPr="0003124D" w:rsidRDefault="00FB270A" w:rsidP="00E20111">
            <w:pPr>
              <w:spacing w:line="360" w:lineRule="auto"/>
              <w:contextualSpacing/>
              <w:jc w:val="both"/>
              <w:rPr>
                <w:rFonts w:cs="Times New Roman"/>
                <w:color w:val="000000" w:themeColor="text1"/>
                <w:sz w:val="20"/>
                <w:szCs w:val="20"/>
              </w:rPr>
            </w:pPr>
          </w:p>
        </w:tc>
        <w:tc>
          <w:tcPr>
            <w:tcW w:w="335" w:type="pct"/>
            <w:vAlign w:val="center"/>
          </w:tcPr>
          <w:p w14:paraId="5CD89C7F"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45 ± 15</w:t>
            </w:r>
          </w:p>
        </w:tc>
        <w:tc>
          <w:tcPr>
            <w:tcW w:w="280" w:type="pct"/>
            <w:vAlign w:val="center"/>
          </w:tcPr>
          <w:p w14:paraId="7CF8AC5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24 on 6</w:t>
            </w:r>
          </w:p>
        </w:tc>
        <w:tc>
          <w:tcPr>
            <w:tcW w:w="335" w:type="pct"/>
            <w:vMerge w:val="restart"/>
            <w:vAlign w:val="center"/>
          </w:tcPr>
          <w:p w14:paraId="6AF7AD1D"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NR</w:t>
            </w:r>
          </w:p>
        </w:tc>
        <w:tc>
          <w:tcPr>
            <w:tcW w:w="281" w:type="pct"/>
            <w:vMerge w:val="restart"/>
            <w:vAlign w:val="center"/>
          </w:tcPr>
          <w:p w14:paraId="3AB91DF5"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Oral</w:t>
            </w:r>
          </w:p>
          <w:p w14:paraId="6ABF138C"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33" w:type="pct"/>
            <w:vAlign w:val="center"/>
          </w:tcPr>
          <w:p w14:paraId="3F5DD00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Sevoflurane,</w:t>
            </w:r>
          </w:p>
          <w:p w14:paraId="0D0190A8"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1.03 ± 0.26</w:t>
            </w:r>
          </w:p>
        </w:tc>
        <w:tc>
          <w:tcPr>
            <w:tcW w:w="379" w:type="pct"/>
            <w:vAlign w:val="center"/>
          </w:tcPr>
          <w:p w14:paraId="10172BCA"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30</w:t>
            </w:r>
          </w:p>
        </w:tc>
        <w:tc>
          <w:tcPr>
            <w:tcW w:w="410" w:type="pct"/>
            <w:vMerge w:val="restart"/>
            <w:vAlign w:val="center"/>
          </w:tcPr>
          <w:p w14:paraId="63F7A50B"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HV     ad modum Turan and hammertoe procedure</w:t>
            </w:r>
          </w:p>
        </w:tc>
        <w:tc>
          <w:tcPr>
            <w:tcW w:w="378" w:type="pct"/>
            <w:vMerge w:val="restart"/>
            <w:vAlign w:val="center"/>
          </w:tcPr>
          <w:p w14:paraId="2E838DD5"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NR</w:t>
            </w:r>
          </w:p>
        </w:tc>
        <w:tc>
          <w:tcPr>
            <w:tcW w:w="367" w:type="pct"/>
            <w:vMerge w:val="restart"/>
            <w:vAlign w:val="center"/>
          </w:tcPr>
          <w:p w14:paraId="07E5015E"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48</w:t>
            </w:r>
          </w:p>
        </w:tc>
        <w:tc>
          <w:tcPr>
            <w:tcW w:w="373" w:type="pct"/>
            <w:vMerge w:val="restart"/>
            <w:vAlign w:val="center"/>
          </w:tcPr>
          <w:p w14:paraId="77723695"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Need for rescue Analgesia.</w:t>
            </w:r>
          </w:p>
          <w:p w14:paraId="73A4DE3F"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Pain ratings (severity of pain)</w:t>
            </w:r>
          </w:p>
        </w:tc>
        <w:tc>
          <w:tcPr>
            <w:tcW w:w="347" w:type="pct"/>
            <w:vMerge w:val="restart"/>
            <w:vAlign w:val="center"/>
          </w:tcPr>
          <w:p w14:paraId="16EF1B4A"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 xml:space="preserve">Associate Professor </w:t>
            </w:r>
          </w:p>
          <w:p w14:paraId="6DF697DC"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Ibrahim Turan</w:t>
            </w:r>
          </w:p>
        </w:tc>
        <w:tc>
          <w:tcPr>
            <w:tcW w:w="550" w:type="pct"/>
            <w:vMerge w:val="restart"/>
            <w:vAlign w:val="center"/>
          </w:tcPr>
          <w:p w14:paraId="282CB2AF"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Yes</w:t>
            </w:r>
          </w:p>
        </w:tc>
      </w:tr>
      <w:tr w:rsidR="00FB270A" w:rsidRPr="0003124D" w14:paraId="41D37087" w14:textId="77777777" w:rsidTr="00E20111">
        <w:trPr>
          <w:trHeight w:val="1385"/>
        </w:trPr>
        <w:tc>
          <w:tcPr>
            <w:tcW w:w="528" w:type="pct"/>
          </w:tcPr>
          <w:p w14:paraId="18B19616"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Ankle block</w:t>
            </w:r>
          </w:p>
          <w:p w14:paraId="6FD78735"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Lidocaine 10 mg/mL 15 mL</w:t>
            </w:r>
          </w:p>
        </w:tc>
        <w:tc>
          <w:tcPr>
            <w:tcW w:w="335" w:type="pct"/>
            <w:vAlign w:val="center"/>
          </w:tcPr>
          <w:p w14:paraId="3A6AE574"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50 ± 12</w:t>
            </w:r>
          </w:p>
        </w:tc>
        <w:tc>
          <w:tcPr>
            <w:tcW w:w="280" w:type="pct"/>
            <w:vAlign w:val="center"/>
          </w:tcPr>
          <w:p w14:paraId="31F16DE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29 on 1</w:t>
            </w:r>
          </w:p>
        </w:tc>
        <w:tc>
          <w:tcPr>
            <w:tcW w:w="335" w:type="pct"/>
            <w:vMerge/>
            <w:vAlign w:val="center"/>
          </w:tcPr>
          <w:p w14:paraId="1611294E"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281" w:type="pct"/>
            <w:vMerge/>
            <w:vAlign w:val="center"/>
          </w:tcPr>
          <w:p w14:paraId="2B6A63A3"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33" w:type="pct"/>
            <w:vAlign w:val="center"/>
          </w:tcPr>
          <w:p w14:paraId="2B7D36F0"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 xml:space="preserve">Sevoflurane </w:t>
            </w:r>
          </w:p>
          <w:p w14:paraId="7DB15D0A"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0.99 ± 0.35</w:t>
            </w:r>
          </w:p>
        </w:tc>
        <w:tc>
          <w:tcPr>
            <w:tcW w:w="379" w:type="pct"/>
            <w:vAlign w:val="center"/>
          </w:tcPr>
          <w:p w14:paraId="184B504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30</w:t>
            </w:r>
          </w:p>
        </w:tc>
        <w:tc>
          <w:tcPr>
            <w:tcW w:w="410" w:type="pct"/>
            <w:vMerge/>
            <w:vAlign w:val="center"/>
          </w:tcPr>
          <w:p w14:paraId="1C529EC3"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78" w:type="pct"/>
            <w:vMerge/>
            <w:vAlign w:val="center"/>
          </w:tcPr>
          <w:p w14:paraId="28A16DD1"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67" w:type="pct"/>
            <w:vMerge/>
            <w:vAlign w:val="center"/>
          </w:tcPr>
          <w:p w14:paraId="53FEAFA2"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73" w:type="pct"/>
            <w:vMerge/>
            <w:vAlign w:val="center"/>
          </w:tcPr>
          <w:p w14:paraId="6CA4C958"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47" w:type="pct"/>
            <w:vMerge/>
            <w:vAlign w:val="center"/>
          </w:tcPr>
          <w:p w14:paraId="08CD199A"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550" w:type="pct"/>
            <w:vMerge/>
            <w:vAlign w:val="center"/>
          </w:tcPr>
          <w:p w14:paraId="3F5BDA53" w14:textId="77777777" w:rsidR="00FB270A" w:rsidRPr="0003124D" w:rsidRDefault="00FB270A" w:rsidP="00E20111">
            <w:pPr>
              <w:spacing w:line="360" w:lineRule="auto"/>
              <w:contextualSpacing/>
              <w:jc w:val="center"/>
              <w:rPr>
                <w:rFonts w:cs="Times New Roman"/>
                <w:color w:val="000000" w:themeColor="text1"/>
                <w:sz w:val="20"/>
                <w:szCs w:val="20"/>
              </w:rPr>
            </w:pPr>
          </w:p>
        </w:tc>
      </w:tr>
      <w:tr w:rsidR="00FB270A" w:rsidRPr="0003124D" w14:paraId="04EAAD9D" w14:textId="77777777" w:rsidTr="00E20111">
        <w:trPr>
          <w:trHeight w:val="1550"/>
        </w:trPr>
        <w:tc>
          <w:tcPr>
            <w:tcW w:w="528" w:type="pct"/>
          </w:tcPr>
          <w:p w14:paraId="6790C4BB"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 xml:space="preserve">Control </w:t>
            </w:r>
          </w:p>
          <w:p w14:paraId="37D82408"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(15 mL saline)</w:t>
            </w:r>
          </w:p>
          <w:p w14:paraId="79EB2889" w14:textId="77777777" w:rsidR="00FB270A" w:rsidRPr="0003124D" w:rsidRDefault="00FB270A" w:rsidP="00E20111">
            <w:pPr>
              <w:spacing w:line="360" w:lineRule="auto"/>
              <w:contextualSpacing/>
              <w:rPr>
                <w:rFonts w:cs="Times New Roman"/>
                <w:color w:val="000000" w:themeColor="text1"/>
                <w:sz w:val="20"/>
                <w:szCs w:val="20"/>
              </w:rPr>
            </w:pPr>
          </w:p>
          <w:p w14:paraId="4D7F039C" w14:textId="77777777" w:rsidR="00FB270A" w:rsidRPr="0003124D" w:rsidRDefault="00FB270A" w:rsidP="00E20111">
            <w:pPr>
              <w:spacing w:line="360" w:lineRule="auto"/>
              <w:contextualSpacing/>
              <w:rPr>
                <w:rFonts w:cs="Times New Roman"/>
                <w:color w:val="000000" w:themeColor="text1"/>
                <w:sz w:val="20"/>
                <w:szCs w:val="20"/>
              </w:rPr>
            </w:pPr>
          </w:p>
        </w:tc>
        <w:tc>
          <w:tcPr>
            <w:tcW w:w="335" w:type="pct"/>
            <w:vAlign w:val="center"/>
          </w:tcPr>
          <w:p w14:paraId="1CBA4A9F"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46 ± 13</w:t>
            </w:r>
          </w:p>
        </w:tc>
        <w:tc>
          <w:tcPr>
            <w:tcW w:w="280" w:type="pct"/>
            <w:vAlign w:val="center"/>
          </w:tcPr>
          <w:p w14:paraId="31CD6C29"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26 on 4</w:t>
            </w:r>
          </w:p>
        </w:tc>
        <w:tc>
          <w:tcPr>
            <w:tcW w:w="335" w:type="pct"/>
            <w:vMerge/>
            <w:vAlign w:val="center"/>
          </w:tcPr>
          <w:p w14:paraId="30BB35CA"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281" w:type="pct"/>
            <w:vMerge/>
            <w:vAlign w:val="center"/>
          </w:tcPr>
          <w:p w14:paraId="190B5882"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33" w:type="pct"/>
            <w:vAlign w:val="center"/>
          </w:tcPr>
          <w:p w14:paraId="634F29B3"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 xml:space="preserve">Sevoflurane, </w:t>
            </w:r>
          </w:p>
          <w:p w14:paraId="6EFF93E3"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1.43 ± 0.45</w:t>
            </w:r>
          </w:p>
        </w:tc>
        <w:tc>
          <w:tcPr>
            <w:tcW w:w="379" w:type="pct"/>
            <w:vAlign w:val="center"/>
          </w:tcPr>
          <w:p w14:paraId="5DD95FD4"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30</w:t>
            </w:r>
          </w:p>
        </w:tc>
        <w:tc>
          <w:tcPr>
            <w:tcW w:w="410" w:type="pct"/>
            <w:vMerge/>
            <w:vAlign w:val="center"/>
          </w:tcPr>
          <w:p w14:paraId="773E254C"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78" w:type="pct"/>
            <w:vMerge/>
            <w:vAlign w:val="center"/>
          </w:tcPr>
          <w:p w14:paraId="2629DA49"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67" w:type="pct"/>
            <w:vMerge/>
            <w:vAlign w:val="center"/>
          </w:tcPr>
          <w:p w14:paraId="2EA7D7CC"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73" w:type="pct"/>
            <w:vMerge/>
            <w:vAlign w:val="center"/>
          </w:tcPr>
          <w:p w14:paraId="780E6634"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47" w:type="pct"/>
            <w:vMerge/>
            <w:vAlign w:val="center"/>
          </w:tcPr>
          <w:p w14:paraId="5B73C277"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550" w:type="pct"/>
            <w:vMerge/>
            <w:vAlign w:val="center"/>
          </w:tcPr>
          <w:p w14:paraId="02F82687" w14:textId="77777777" w:rsidR="00FB270A" w:rsidRPr="0003124D" w:rsidRDefault="00FB270A" w:rsidP="00E20111">
            <w:pPr>
              <w:spacing w:line="360" w:lineRule="auto"/>
              <w:contextualSpacing/>
              <w:jc w:val="center"/>
              <w:rPr>
                <w:rFonts w:cs="Times New Roman"/>
                <w:color w:val="000000" w:themeColor="text1"/>
                <w:sz w:val="20"/>
                <w:szCs w:val="20"/>
              </w:rPr>
            </w:pPr>
          </w:p>
        </w:tc>
      </w:tr>
    </w:tbl>
    <w:p w14:paraId="3A1305BA" w14:textId="77777777" w:rsidR="00FB270A" w:rsidRPr="0003124D" w:rsidRDefault="00FB270A" w:rsidP="00FB270A">
      <w:pPr>
        <w:spacing w:after="0" w:line="360" w:lineRule="auto"/>
        <w:contextualSpacing/>
        <w:rPr>
          <w:rFonts w:cs="Times New Roman"/>
          <w:color w:val="000000" w:themeColor="text1"/>
        </w:rPr>
      </w:pPr>
      <w:r w:rsidRPr="0003124D">
        <w:rPr>
          <w:rFonts w:cs="Times New Roman"/>
          <w:b/>
          <w:bCs/>
          <w:color w:val="000000" w:themeColor="text1"/>
        </w:rPr>
        <w:t xml:space="preserve"> 3D. </w:t>
      </w:r>
      <w:r w:rsidRPr="0003124D">
        <w:rPr>
          <w:rFonts w:cs="Times New Roman"/>
          <w:color w:val="000000" w:themeColor="text1"/>
        </w:rPr>
        <w:t>Turan et al., (2007)</w:t>
      </w:r>
    </w:p>
    <w:p w14:paraId="06CF890E" w14:textId="77777777" w:rsidR="00FB270A" w:rsidRPr="0003124D" w:rsidRDefault="00FB270A" w:rsidP="00FB270A">
      <w:pPr>
        <w:spacing w:after="0" w:line="360" w:lineRule="auto"/>
        <w:contextualSpacing/>
        <w:rPr>
          <w:rFonts w:cs="Times New Roman"/>
          <w:i/>
          <w:iCs/>
          <w:color w:val="000000" w:themeColor="text1"/>
          <w:szCs w:val="24"/>
        </w:rPr>
      </w:pPr>
      <w:r w:rsidRPr="0003124D">
        <w:rPr>
          <w:rFonts w:cs="Times New Roman"/>
          <w:i/>
          <w:iCs/>
          <w:color w:val="000000" w:themeColor="text1"/>
          <w:szCs w:val="24"/>
        </w:rPr>
        <w:t>BMI: Body mass index; GA: General anaesthesia; POH: Postoperative hours; mL: millilitre; mg/mL: milligrams to millilitres; NR: Not reported; SD: Standard deviation; VAS: Visual analogue scale.</w:t>
      </w:r>
    </w:p>
    <w:p w14:paraId="62C99621" w14:textId="77777777" w:rsidR="00FB270A" w:rsidRPr="0003124D" w:rsidRDefault="00FB270A" w:rsidP="00FB270A">
      <w:pPr>
        <w:spacing w:after="0" w:line="360" w:lineRule="auto"/>
        <w:contextualSpacing/>
        <w:rPr>
          <w:rFonts w:cs="Times New Roman"/>
          <w:color w:val="000000" w:themeColor="text1"/>
        </w:rPr>
      </w:pPr>
    </w:p>
    <w:p w14:paraId="6A916B18" w14:textId="77777777" w:rsidR="00FB270A" w:rsidRPr="0003124D" w:rsidRDefault="00FB270A" w:rsidP="00FB270A">
      <w:pPr>
        <w:spacing w:after="0" w:line="360" w:lineRule="auto"/>
        <w:contextualSpacing/>
        <w:rPr>
          <w:rFonts w:cs="Times New Roman"/>
          <w:color w:val="000000" w:themeColor="text1"/>
        </w:rPr>
      </w:pPr>
    </w:p>
    <w:p w14:paraId="67C66244" w14:textId="77777777" w:rsidR="00FB270A" w:rsidRPr="0003124D" w:rsidRDefault="00FB270A" w:rsidP="00FB270A">
      <w:pPr>
        <w:spacing w:after="0" w:line="360" w:lineRule="auto"/>
        <w:contextualSpacing/>
        <w:rPr>
          <w:rFonts w:cs="Times New Roman"/>
          <w:color w:val="000000" w:themeColor="text1"/>
        </w:rPr>
      </w:pPr>
    </w:p>
    <w:p w14:paraId="40B4AFC8" w14:textId="77777777" w:rsidR="00FB270A" w:rsidRPr="0003124D" w:rsidRDefault="00FB270A" w:rsidP="00FB270A">
      <w:pPr>
        <w:spacing w:after="0" w:line="360" w:lineRule="auto"/>
        <w:contextualSpacing/>
        <w:rPr>
          <w:rFonts w:cs="Times New Roman"/>
          <w:color w:val="000000" w:themeColor="text1"/>
        </w:rPr>
      </w:pPr>
    </w:p>
    <w:p w14:paraId="6EC866C4" w14:textId="77777777" w:rsidR="00FB270A" w:rsidRPr="0003124D" w:rsidRDefault="00FB270A" w:rsidP="00FB270A">
      <w:pPr>
        <w:spacing w:after="0" w:line="360" w:lineRule="auto"/>
        <w:contextualSpacing/>
        <w:rPr>
          <w:rFonts w:cs="Times New Roman"/>
          <w:color w:val="000000" w:themeColor="text1"/>
        </w:rPr>
      </w:pPr>
    </w:p>
    <w:p w14:paraId="191B689D" w14:textId="77777777" w:rsidR="00FB270A" w:rsidRPr="0003124D" w:rsidRDefault="00FB270A" w:rsidP="00FB270A">
      <w:pPr>
        <w:spacing w:after="0" w:line="360" w:lineRule="auto"/>
        <w:contextualSpacing/>
        <w:rPr>
          <w:rFonts w:cs="Times New Roman"/>
          <w:b/>
          <w:bCs/>
          <w:color w:val="000000" w:themeColor="text1"/>
        </w:rPr>
      </w:pPr>
    </w:p>
    <w:p w14:paraId="4B8908CE" w14:textId="77777777" w:rsidR="00FB270A" w:rsidRPr="0003124D" w:rsidRDefault="00FB270A" w:rsidP="00FB270A">
      <w:pPr>
        <w:spacing w:after="0" w:line="360" w:lineRule="auto"/>
        <w:contextualSpacing/>
        <w:rPr>
          <w:rFonts w:cs="Times New Roman"/>
          <w:color w:val="000000" w:themeColor="text1"/>
        </w:rPr>
      </w:pPr>
      <w:r w:rsidRPr="0003124D">
        <w:rPr>
          <w:rFonts w:cs="Times New Roman"/>
          <w:b/>
          <w:bCs/>
          <w:color w:val="000000" w:themeColor="text1"/>
        </w:rPr>
        <w:lastRenderedPageBreak/>
        <w:t xml:space="preserve">3E. </w:t>
      </w:r>
      <w:r w:rsidRPr="0003124D">
        <w:rPr>
          <w:rFonts w:cs="Times New Roman"/>
          <w:color w:val="000000" w:themeColor="text1"/>
        </w:rPr>
        <w:t>Özhan et al., (2020)</w:t>
      </w:r>
    </w:p>
    <w:tbl>
      <w:tblPr>
        <w:tblStyle w:val="TableGrid"/>
        <w:tblpPr w:leftFromText="180" w:rightFromText="180" w:vertAnchor="page" w:horzAnchor="margin" w:tblpY="1531"/>
        <w:tblW w:w="4628" w:type="pct"/>
        <w:tblLook w:val="04A0" w:firstRow="1" w:lastRow="0" w:firstColumn="1" w:lastColumn="0" w:noHBand="0" w:noVBand="1"/>
      </w:tblPr>
      <w:tblGrid>
        <w:gridCol w:w="1135"/>
        <w:gridCol w:w="964"/>
        <w:gridCol w:w="806"/>
        <w:gridCol w:w="1087"/>
        <w:gridCol w:w="964"/>
        <w:gridCol w:w="627"/>
        <w:gridCol w:w="1682"/>
        <w:gridCol w:w="1016"/>
        <w:gridCol w:w="928"/>
        <w:gridCol w:w="1056"/>
        <w:gridCol w:w="1032"/>
        <w:gridCol w:w="917"/>
        <w:gridCol w:w="1158"/>
      </w:tblGrid>
      <w:tr w:rsidR="00FB270A" w:rsidRPr="0003124D" w14:paraId="68E90EA6" w14:textId="77777777" w:rsidTr="00E20111">
        <w:trPr>
          <w:trHeight w:val="278"/>
        </w:trPr>
        <w:tc>
          <w:tcPr>
            <w:tcW w:w="424" w:type="pct"/>
            <w:vMerge w:val="restart"/>
          </w:tcPr>
          <w:p w14:paraId="6323A266"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Ankle block</w:t>
            </w:r>
          </w:p>
          <w:p w14:paraId="6919FB8B" w14:textId="77777777" w:rsidR="00FB270A" w:rsidRPr="0003124D" w:rsidRDefault="00FB270A" w:rsidP="00E20111">
            <w:pPr>
              <w:spacing w:line="360" w:lineRule="auto"/>
              <w:contextualSpacing/>
              <w:rPr>
                <w:rFonts w:cs="Times New Roman"/>
                <w:color w:val="000000" w:themeColor="text1"/>
                <w:sz w:val="20"/>
                <w:szCs w:val="20"/>
              </w:rPr>
            </w:pPr>
          </w:p>
        </w:tc>
        <w:tc>
          <w:tcPr>
            <w:tcW w:w="360" w:type="pct"/>
            <w:vMerge w:val="restart"/>
            <w:vAlign w:val="center"/>
          </w:tcPr>
          <w:p w14:paraId="24D3F13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Age</w:t>
            </w:r>
          </w:p>
          <w:p w14:paraId="71D8BBA4"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(Average ± SD)</w:t>
            </w:r>
          </w:p>
        </w:tc>
        <w:tc>
          <w:tcPr>
            <w:tcW w:w="301" w:type="pct"/>
            <w:vMerge w:val="restart"/>
            <w:vAlign w:val="center"/>
          </w:tcPr>
          <w:p w14:paraId="22A3706D"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Female sex</w:t>
            </w:r>
          </w:p>
        </w:tc>
        <w:tc>
          <w:tcPr>
            <w:tcW w:w="406" w:type="pct"/>
            <w:vMerge w:val="restart"/>
          </w:tcPr>
          <w:p w14:paraId="731CC429"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Population size</w:t>
            </w:r>
          </w:p>
        </w:tc>
        <w:tc>
          <w:tcPr>
            <w:tcW w:w="360" w:type="pct"/>
            <w:vMerge w:val="restart"/>
            <w:vAlign w:val="center"/>
          </w:tcPr>
          <w:p w14:paraId="319E4C6F"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BMI</w:t>
            </w:r>
          </w:p>
          <w:p w14:paraId="20E71BC3"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(Average ± SD)</w:t>
            </w:r>
          </w:p>
        </w:tc>
        <w:tc>
          <w:tcPr>
            <w:tcW w:w="863" w:type="pct"/>
            <w:gridSpan w:val="2"/>
            <w:vAlign w:val="center"/>
          </w:tcPr>
          <w:p w14:paraId="5D20CEB8"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GA</w:t>
            </w:r>
          </w:p>
        </w:tc>
        <w:tc>
          <w:tcPr>
            <w:tcW w:w="380" w:type="pct"/>
            <w:vMerge w:val="restart"/>
            <w:vAlign w:val="center"/>
          </w:tcPr>
          <w:p w14:paraId="4EA7629A"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Type of procedure</w:t>
            </w:r>
          </w:p>
        </w:tc>
        <w:tc>
          <w:tcPr>
            <w:tcW w:w="347" w:type="pct"/>
            <w:vMerge w:val="restart"/>
            <w:vAlign w:val="center"/>
          </w:tcPr>
          <w:p w14:paraId="067E8E28"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Duration of study (month)</w:t>
            </w:r>
          </w:p>
          <w:p w14:paraId="402050B3"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95" w:type="pct"/>
            <w:vMerge w:val="restart"/>
            <w:vAlign w:val="center"/>
          </w:tcPr>
          <w:p w14:paraId="32C4B766"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Duration of measuring outcome</w:t>
            </w:r>
          </w:p>
          <w:p w14:paraId="3FBC8BC3"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(POH)</w:t>
            </w:r>
          </w:p>
        </w:tc>
        <w:tc>
          <w:tcPr>
            <w:tcW w:w="386" w:type="pct"/>
            <w:vMerge w:val="restart"/>
            <w:vAlign w:val="center"/>
          </w:tcPr>
          <w:p w14:paraId="3F4A8B29"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Outcomes</w:t>
            </w:r>
          </w:p>
        </w:tc>
        <w:tc>
          <w:tcPr>
            <w:tcW w:w="343" w:type="pct"/>
            <w:vMerge w:val="restart"/>
            <w:vAlign w:val="center"/>
          </w:tcPr>
          <w:p w14:paraId="29C97D23"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Fund</w:t>
            </w:r>
          </w:p>
          <w:p w14:paraId="31D26801"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Source</w:t>
            </w:r>
          </w:p>
        </w:tc>
        <w:tc>
          <w:tcPr>
            <w:tcW w:w="433" w:type="pct"/>
            <w:vMerge w:val="restart"/>
            <w:vAlign w:val="center"/>
          </w:tcPr>
          <w:p w14:paraId="6FECC25B"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Declaration of interest</w:t>
            </w:r>
          </w:p>
        </w:tc>
      </w:tr>
      <w:tr w:rsidR="00FB270A" w:rsidRPr="0003124D" w14:paraId="14BD16A6" w14:textId="77777777" w:rsidTr="00E20111">
        <w:trPr>
          <w:trHeight w:val="277"/>
        </w:trPr>
        <w:tc>
          <w:tcPr>
            <w:tcW w:w="424" w:type="pct"/>
            <w:vMerge/>
          </w:tcPr>
          <w:p w14:paraId="4FE3DE3B" w14:textId="77777777" w:rsidR="00FB270A" w:rsidRPr="0003124D" w:rsidRDefault="00FB270A" w:rsidP="00E20111">
            <w:pPr>
              <w:spacing w:line="360" w:lineRule="auto"/>
              <w:contextualSpacing/>
              <w:jc w:val="both"/>
              <w:rPr>
                <w:rFonts w:cs="Times New Roman"/>
                <w:color w:val="000000" w:themeColor="text1"/>
                <w:sz w:val="20"/>
                <w:szCs w:val="20"/>
              </w:rPr>
            </w:pPr>
          </w:p>
        </w:tc>
        <w:tc>
          <w:tcPr>
            <w:tcW w:w="360" w:type="pct"/>
            <w:vMerge/>
            <w:vAlign w:val="center"/>
          </w:tcPr>
          <w:p w14:paraId="73D154CC"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01" w:type="pct"/>
            <w:vMerge/>
            <w:vAlign w:val="center"/>
          </w:tcPr>
          <w:p w14:paraId="40AF0E5F"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06" w:type="pct"/>
            <w:vMerge/>
          </w:tcPr>
          <w:p w14:paraId="16C71A85"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60" w:type="pct"/>
            <w:vMerge/>
            <w:vAlign w:val="center"/>
          </w:tcPr>
          <w:p w14:paraId="6F512925"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234" w:type="pct"/>
            <w:vAlign w:val="center"/>
          </w:tcPr>
          <w:p w14:paraId="17A45F90"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Type</w:t>
            </w:r>
          </w:p>
        </w:tc>
        <w:tc>
          <w:tcPr>
            <w:tcW w:w="629" w:type="pct"/>
            <w:vAlign w:val="center"/>
          </w:tcPr>
          <w:p w14:paraId="17F2D92D"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Medication/</w:t>
            </w:r>
          </w:p>
          <w:p w14:paraId="5A826039"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dosage</w:t>
            </w:r>
          </w:p>
        </w:tc>
        <w:tc>
          <w:tcPr>
            <w:tcW w:w="380" w:type="pct"/>
            <w:vMerge/>
            <w:vAlign w:val="center"/>
          </w:tcPr>
          <w:p w14:paraId="56B2527B"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47" w:type="pct"/>
            <w:vMerge/>
            <w:vAlign w:val="center"/>
          </w:tcPr>
          <w:p w14:paraId="1213287B"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95" w:type="pct"/>
            <w:vMerge/>
            <w:vAlign w:val="center"/>
          </w:tcPr>
          <w:p w14:paraId="0404AA77"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86" w:type="pct"/>
            <w:vMerge/>
            <w:vAlign w:val="center"/>
          </w:tcPr>
          <w:p w14:paraId="420C380D"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43" w:type="pct"/>
            <w:vMerge/>
            <w:vAlign w:val="center"/>
          </w:tcPr>
          <w:p w14:paraId="69CF13A0"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33" w:type="pct"/>
            <w:vMerge/>
            <w:vAlign w:val="center"/>
          </w:tcPr>
          <w:p w14:paraId="4830D736" w14:textId="77777777" w:rsidR="00FB270A" w:rsidRPr="0003124D" w:rsidRDefault="00FB270A" w:rsidP="00E20111">
            <w:pPr>
              <w:spacing w:line="360" w:lineRule="auto"/>
              <w:contextualSpacing/>
              <w:jc w:val="center"/>
              <w:rPr>
                <w:rFonts w:cs="Times New Roman"/>
                <w:color w:val="000000" w:themeColor="text1"/>
                <w:sz w:val="20"/>
                <w:szCs w:val="20"/>
              </w:rPr>
            </w:pPr>
          </w:p>
        </w:tc>
      </w:tr>
      <w:tr w:rsidR="00FB270A" w:rsidRPr="0003124D" w14:paraId="1A8641F2" w14:textId="77777777" w:rsidTr="00E20111">
        <w:trPr>
          <w:trHeight w:val="739"/>
        </w:trPr>
        <w:tc>
          <w:tcPr>
            <w:tcW w:w="424" w:type="pct"/>
            <w:vMerge/>
          </w:tcPr>
          <w:p w14:paraId="351AA497" w14:textId="77777777" w:rsidR="00FB270A" w:rsidRPr="0003124D" w:rsidRDefault="00FB270A" w:rsidP="00E20111">
            <w:pPr>
              <w:spacing w:line="360" w:lineRule="auto"/>
              <w:contextualSpacing/>
              <w:jc w:val="both"/>
              <w:rPr>
                <w:rFonts w:cs="Times New Roman"/>
                <w:color w:val="000000" w:themeColor="text1"/>
                <w:sz w:val="20"/>
                <w:szCs w:val="20"/>
              </w:rPr>
            </w:pPr>
          </w:p>
        </w:tc>
        <w:tc>
          <w:tcPr>
            <w:tcW w:w="360" w:type="pct"/>
            <w:vAlign w:val="center"/>
          </w:tcPr>
          <w:p w14:paraId="5A28F6DE"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60.5 ± 9.4</w:t>
            </w:r>
          </w:p>
        </w:tc>
        <w:tc>
          <w:tcPr>
            <w:tcW w:w="301" w:type="pct"/>
            <w:vAlign w:val="center"/>
          </w:tcPr>
          <w:p w14:paraId="70937D75"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94.5%</w:t>
            </w:r>
          </w:p>
        </w:tc>
        <w:tc>
          <w:tcPr>
            <w:tcW w:w="406" w:type="pct"/>
          </w:tcPr>
          <w:p w14:paraId="6540F766"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55</w:t>
            </w:r>
          </w:p>
        </w:tc>
        <w:tc>
          <w:tcPr>
            <w:tcW w:w="360" w:type="pct"/>
            <w:vMerge w:val="restart"/>
            <w:vAlign w:val="center"/>
          </w:tcPr>
          <w:p w14:paraId="085FF4AD"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NR</w:t>
            </w:r>
          </w:p>
        </w:tc>
        <w:tc>
          <w:tcPr>
            <w:tcW w:w="234" w:type="pct"/>
            <w:vMerge w:val="restart"/>
            <w:vAlign w:val="center"/>
          </w:tcPr>
          <w:p w14:paraId="643A448C"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Oral</w:t>
            </w:r>
          </w:p>
        </w:tc>
        <w:tc>
          <w:tcPr>
            <w:tcW w:w="629" w:type="pct"/>
            <w:vMerge w:val="restart"/>
            <w:vAlign w:val="center"/>
          </w:tcPr>
          <w:p w14:paraId="2A649570" w14:textId="77777777" w:rsidR="00FB270A"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 xml:space="preserve">Propofol (2-2.5 mg/kg); Remifentanil (1mg/kg); Rocuronium (10–20mg); Fentanyl  </w:t>
            </w:r>
          </w:p>
          <w:p w14:paraId="6FC5B6B6"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 xml:space="preserve">(50 </w:t>
            </w:r>
            <w:bookmarkStart w:id="4" w:name="_Hlk104577283"/>
            <w:r w:rsidRPr="0003124D">
              <w:rPr>
                <w:rFonts w:cs="Times New Roman"/>
                <w:color w:val="000000" w:themeColor="text1"/>
                <w:sz w:val="20"/>
                <w:szCs w:val="20"/>
              </w:rPr>
              <w:t>μg/kg</w:t>
            </w:r>
            <w:bookmarkEnd w:id="4"/>
            <w:r w:rsidRPr="0003124D">
              <w:rPr>
                <w:rFonts w:cs="Times New Roman"/>
                <w:color w:val="000000" w:themeColor="text1"/>
                <w:sz w:val="20"/>
                <w:szCs w:val="20"/>
              </w:rPr>
              <w:t>); Midazolam   (3 mg)</w:t>
            </w:r>
          </w:p>
        </w:tc>
        <w:tc>
          <w:tcPr>
            <w:tcW w:w="380" w:type="pct"/>
            <w:vMerge w:val="restart"/>
            <w:vAlign w:val="center"/>
          </w:tcPr>
          <w:p w14:paraId="0EFF59D5"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NR</w:t>
            </w:r>
          </w:p>
        </w:tc>
        <w:tc>
          <w:tcPr>
            <w:tcW w:w="347" w:type="pct"/>
            <w:vMerge w:val="restart"/>
            <w:vAlign w:val="center"/>
          </w:tcPr>
          <w:p w14:paraId="752601A3"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93.10 ± 18.74</w:t>
            </w:r>
          </w:p>
        </w:tc>
        <w:tc>
          <w:tcPr>
            <w:tcW w:w="395" w:type="pct"/>
            <w:vMerge w:val="restart"/>
            <w:vAlign w:val="center"/>
          </w:tcPr>
          <w:p w14:paraId="4E19D26F"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12</w:t>
            </w:r>
          </w:p>
        </w:tc>
        <w:tc>
          <w:tcPr>
            <w:tcW w:w="386" w:type="pct"/>
            <w:vMerge w:val="restart"/>
            <w:vAlign w:val="center"/>
          </w:tcPr>
          <w:p w14:paraId="4FAACEDB"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VAS average</w:t>
            </w:r>
          </w:p>
        </w:tc>
        <w:tc>
          <w:tcPr>
            <w:tcW w:w="343" w:type="pct"/>
            <w:vMerge w:val="restart"/>
            <w:vAlign w:val="center"/>
          </w:tcPr>
          <w:p w14:paraId="66CE7BED"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Private Çankaya Hospital</w:t>
            </w:r>
          </w:p>
        </w:tc>
        <w:tc>
          <w:tcPr>
            <w:tcW w:w="433" w:type="pct"/>
            <w:vMerge w:val="restart"/>
            <w:vAlign w:val="center"/>
          </w:tcPr>
          <w:p w14:paraId="1A75212C"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Yes</w:t>
            </w:r>
          </w:p>
        </w:tc>
      </w:tr>
      <w:tr w:rsidR="00FB270A" w:rsidRPr="0003124D" w14:paraId="6C439D92" w14:textId="77777777" w:rsidTr="00E20111">
        <w:trPr>
          <w:trHeight w:val="1385"/>
        </w:trPr>
        <w:tc>
          <w:tcPr>
            <w:tcW w:w="424" w:type="pct"/>
          </w:tcPr>
          <w:p w14:paraId="2B9C93CB"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Control</w:t>
            </w:r>
          </w:p>
          <w:p w14:paraId="30DE9309" w14:textId="77777777" w:rsidR="00FB270A" w:rsidRPr="0003124D" w:rsidRDefault="00FB270A" w:rsidP="00E20111">
            <w:pPr>
              <w:spacing w:line="360" w:lineRule="auto"/>
              <w:contextualSpacing/>
              <w:rPr>
                <w:rFonts w:cs="Times New Roman"/>
                <w:color w:val="000000" w:themeColor="text1"/>
                <w:sz w:val="20"/>
                <w:szCs w:val="20"/>
              </w:rPr>
            </w:pPr>
            <w:r w:rsidRPr="0003124D">
              <w:rPr>
                <w:rFonts w:cs="Times New Roman"/>
                <w:color w:val="000000" w:themeColor="text1"/>
                <w:sz w:val="20"/>
                <w:szCs w:val="20"/>
              </w:rPr>
              <w:t xml:space="preserve"> (7 mL saline)</w:t>
            </w:r>
          </w:p>
        </w:tc>
        <w:tc>
          <w:tcPr>
            <w:tcW w:w="360" w:type="pct"/>
            <w:vAlign w:val="center"/>
          </w:tcPr>
          <w:p w14:paraId="65BB9443"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59.76 ± 8.63</w:t>
            </w:r>
          </w:p>
        </w:tc>
        <w:tc>
          <w:tcPr>
            <w:tcW w:w="301" w:type="pct"/>
            <w:vAlign w:val="center"/>
          </w:tcPr>
          <w:p w14:paraId="6833BFEE"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90.9%</w:t>
            </w:r>
          </w:p>
        </w:tc>
        <w:tc>
          <w:tcPr>
            <w:tcW w:w="406" w:type="pct"/>
          </w:tcPr>
          <w:p w14:paraId="2456F563" w14:textId="77777777" w:rsidR="00FB270A" w:rsidRPr="0003124D" w:rsidRDefault="00FB270A" w:rsidP="00E20111">
            <w:pPr>
              <w:spacing w:line="360" w:lineRule="auto"/>
              <w:contextualSpacing/>
              <w:jc w:val="center"/>
              <w:rPr>
                <w:rFonts w:cs="Times New Roman"/>
                <w:color w:val="000000" w:themeColor="text1"/>
                <w:sz w:val="20"/>
                <w:szCs w:val="20"/>
              </w:rPr>
            </w:pPr>
            <w:r w:rsidRPr="0003124D">
              <w:rPr>
                <w:rFonts w:cs="Times New Roman"/>
                <w:color w:val="000000" w:themeColor="text1"/>
                <w:sz w:val="20"/>
                <w:szCs w:val="20"/>
              </w:rPr>
              <w:t>55</w:t>
            </w:r>
          </w:p>
        </w:tc>
        <w:tc>
          <w:tcPr>
            <w:tcW w:w="360" w:type="pct"/>
            <w:vMerge/>
            <w:vAlign w:val="center"/>
          </w:tcPr>
          <w:p w14:paraId="3710AE55"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234" w:type="pct"/>
            <w:vMerge/>
            <w:vAlign w:val="center"/>
          </w:tcPr>
          <w:p w14:paraId="15FCC4C7"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629" w:type="pct"/>
            <w:vMerge/>
            <w:vAlign w:val="center"/>
          </w:tcPr>
          <w:p w14:paraId="1D15CE3A"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80" w:type="pct"/>
            <w:vMerge/>
            <w:vAlign w:val="center"/>
          </w:tcPr>
          <w:p w14:paraId="689548EE"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47" w:type="pct"/>
            <w:vMerge/>
            <w:vAlign w:val="center"/>
          </w:tcPr>
          <w:p w14:paraId="421BC5B3"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95" w:type="pct"/>
            <w:vMerge/>
            <w:vAlign w:val="center"/>
          </w:tcPr>
          <w:p w14:paraId="3E7C4BCE"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86" w:type="pct"/>
            <w:vMerge/>
            <w:vAlign w:val="center"/>
          </w:tcPr>
          <w:p w14:paraId="4174E744"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343" w:type="pct"/>
            <w:vMerge/>
            <w:vAlign w:val="center"/>
          </w:tcPr>
          <w:p w14:paraId="3CD8F5D8" w14:textId="77777777" w:rsidR="00FB270A" w:rsidRPr="0003124D" w:rsidRDefault="00FB270A" w:rsidP="00E20111">
            <w:pPr>
              <w:spacing w:line="360" w:lineRule="auto"/>
              <w:contextualSpacing/>
              <w:jc w:val="center"/>
              <w:rPr>
                <w:rFonts w:cs="Times New Roman"/>
                <w:color w:val="000000" w:themeColor="text1"/>
                <w:sz w:val="20"/>
                <w:szCs w:val="20"/>
              </w:rPr>
            </w:pPr>
          </w:p>
        </w:tc>
        <w:tc>
          <w:tcPr>
            <w:tcW w:w="433" w:type="pct"/>
            <w:vMerge/>
            <w:vAlign w:val="center"/>
          </w:tcPr>
          <w:p w14:paraId="6A5C26A6" w14:textId="77777777" w:rsidR="00FB270A" w:rsidRPr="0003124D" w:rsidRDefault="00FB270A" w:rsidP="00E20111">
            <w:pPr>
              <w:spacing w:line="360" w:lineRule="auto"/>
              <w:contextualSpacing/>
              <w:jc w:val="center"/>
              <w:rPr>
                <w:rFonts w:cs="Times New Roman"/>
                <w:color w:val="000000" w:themeColor="text1"/>
                <w:sz w:val="20"/>
                <w:szCs w:val="20"/>
              </w:rPr>
            </w:pPr>
          </w:p>
        </w:tc>
      </w:tr>
    </w:tbl>
    <w:p w14:paraId="7900E01F" w14:textId="77777777" w:rsidR="00FB270A" w:rsidRPr="0003124D" w:rsidRDefault="00FB270A" w:rsidP="00FB270A">
      <w:pPr>
        <w:spacing w:after="0" w:line="360" w:lineRule="auto"/>
        <w:contextualSpacing/>
        <w:rPr>
          <w:rFonts w:cs="Times New Roman"/>
          <w:color w:val="000000" w:themeColor="text1"/>
        </w:rPr>
      </w:pPr>
    </w:p>
    <w:p w14:paraId="31A30FA8" w14:textId="77777777" w:rsidR="00FB270A" w:rsidRPr="0003124D" w:rsidRDefault="00FB270A" w:rsidP="00FB270A">
      <w:pPr>
        <w:spacing w:after="0" w:line="360" w:lineRule="auto"/>
        <w:contextualSpacing/>
        <w:rPr>
          <w:rFonts w:cs="Times New Roman"/>
          <w:color w:val="000000" w:themeColor="text1"/>
        </w:rPr>
      </w:pPr>
    </w:p>
    <w:p w14:paraId="579C6663" w14:textId="77777777" w:rsidR="00FB270A" w:rsidRPr="0003124D" w:rsidRDefault="00FB270A" w:rsidP="00FB270A">
      <w:pPr>
        <w:spacing w:after="0" w:line="360" w:lineRule="auto"/>
        <w:contextualSpacing/>
        <w:rPr>
          <w:rFonts w:cs="Times New Roman"/>
          <w:color w:val="000000" w:themeColor="text1"/>
        </w:rPr>
      </w:pPr>
    </w:p>
    <w:p w14:paraId="2610D34F" w14:textId="77777777" w:rsidR="00FB270A" w:rsidRPr="0003124D" w:rsidRDefault="00FB270A" w:rsidP="00FB270A">
      <w:pPr>
        <w:spacing w:after="0" w:line="360" w:lineRule="auto"/>
        <w:contextualSpacing/>
        <w:rPr>
          <w:rFonts w:cs="Times New Roman"/>
          <w:i/>
          <w:iCs/>
          <w:color w:val="000000" w:themeColor="text1"/>
          <w:szCs w:val="24"/>
        </w:rPr>
      </w:pPr>
    </w:p>
    <w:p w14:paraId="6E875464" w14:textId="77777777" w:rsidR="00FB270A" w:rsidRPr="0003124D" w:rsidRDefault="00FB270A" w:rsidP="00FB270A">
      <w:pPr>
        <w:spacing w:after="0" w:line="360" w:lineRule="auto"/>
        <w:contextualSpacing/>
        <w:rPr>
          <w:rFonts w:cs="Times New Roman"/>
          <w:i/>
          <w:iCs/>
          <w:color w:val="000000" w:themeColor="text1"/>
          <w:szCs w:val="24"/>
        </w:rPr>
      </w:pPr>
    </w:p>
    <w:p w14:paraId="58BD603C" w14:textId="77777777" w:rsidR="00FB270A" w:rsidRPr="0003124D" w:rsidRDefault="00FB270A" w:rsidP="00FB270A">
      <w:pPr>
        <w:spacing w:after="0" w:line="360" w:lineRule="auto"/>
        <w:contextualSpacing/>
        <w:rPr>
          <w:rFonts w:cs="Times New Roman"/>
          <w:i/>
          <w:iCs/>
          <w:color w:val="000000" w:themeColor="text1"/>
          <w:szCs w:val="24"/>
        </w:rPr>
      </w:pPr>
    </w:p>
    <w:p w14:paraId="7421CAD1" w14:textId="77777777" w:rsidR="00FB270A" w:rsidRPr="0003124D" w:rsidRDefault="00FB270A" w:rsidP="00FB270A">
      <w:pPr>
        <w:spacing w:after="0" w:line="360" w:lineRule="auto"/>
        <w:contextualSpacing/>
        <w:rPr>
          <w:rFonts w:cs="Times New Roman"/>
          <w:i/>
          <w:iCs/>
          <w:color w:val="000000" w:themeColor="text1"/>
          <w:szCs w:val="24"/>
        </w:rPr>
      </w:pPr>
    </w:p>
    <w:p w14:paraId="4F6E98C7" w14:textId="77777777" w:rsidR="00FB270A" w:rsidRPr="0003124D" w:rsidRDefault="00FB270A" w:rsidP="00FB270A">
      <w:pPr>
        <w:spacing w:after="0" w:line="360" w:lineRule="auto"/>
        <w:contextualSpacing/>
        <w:rPr>
          <w:rFonts w:cs="Times New Roman"/>
          <w:i/>
          <w:iCs/>
          <w:color w:val="000000" w:themeColor="text1"/>
          <w:szCs w:val="24"/>
        </w:rPr>
      </w:pPr>
    </w:p>
    <w:p w14:paraId="60E7F703" w14:textId="77777777" w:rsidR="00FB270A" w:rsidRDefault="00FB270A" w:rsidP="00FB270A">
      <w:pPr>
        <w:spacing w:after="0" w:line="360" w:lineRule="auto"/>
        <w:contextualSpacing/>
        <w:rPr>
          <w:rFonts w:cs="Times New Roman"/>
          <w:i/>
          <w:iCs/>
          <w:color w:val="000000" w:themeColor="text1"/>
          <w:szCs w:val="24"/>
        </w:rPr>
      </w:pPr>
    </w:p>
    <w:p w14:paraId="3DFC1D6F" w14:textId="77777777" w:rsidR="00FB270A" w:rsidRDefault="00FB270A" w:rsidP="00FB270A">
      <w:pPr>
        <w:spacing w:after="0" w:line="360" w:lineRule="auto"/>
        <w:contextualSpacing/>
        <w:rPr>
          <w:rFonts w:cs="Times New Roman"/>
          <w:i/>
          <w:iCs/>
          <w:color w:val="000000" w:themeColor="text1"/>
          <w:szCs w:val="24"/>
        </w:rPr>
      </w:pPr>
    </w:p>
    <w:p w14:paraId="0C020205" w14:textId="77777777" w:rsidR="00FB270A" w:rsidRDefault="00FB270A" w:rsidP="00FB270A">
      <w:pPr>
        <w:spacing w:after="0" w:line="360" w:lineRule="auto"/>
        <w:contextualSpacing/>
        <w:rPr>
          <w:rFonts w:cs="Times New Roman"/>
          <w:i/>
          <w:iCs/>
          <w:color w:val="000000" w:themeColor="text1"/>
          <w:szCs w:val="24"/>
        </w:rPr>
      </w:pPr>
    </w:p>
    <w:p w14:paraId="4414335D" w14:textId="77777777" w:rsidR="00FB270A" w:rsidRPr="0003124D" w:rsidRDefault="00FB270A" w:rsidP="00FB270A">
      <w:pPr>
        <w:spacing w:after="0" w:line="360" w:lineRule="auto"/>
        <w:contextualSpacing/>
        <w:rPr>
          <w:rFonts w:cs="Times New Roman"/>
          <w:i/>
          <w:iCs/>
          <w:color w:val="000000" w:themeColor="text1"/>
          <w:szCs w:val="24"/>
        </w:rPr>
      </w:pPr>
    </w:p>
    <w:p w14:paraId="56033D71" w14:textId="77777777" w:rsidR="00FB270A" w:rsidRPr="0003124D" w:rsidRDefault="00FB270A" w:rsidP="00FB270A">
      <w:pPr>
        <w:spacing w:after="0" w:line="360" w:lineRule="auto"/>
        <w:contextualSpacing/>
        <w:rPr>
          <w:rFonts w:cs="Times New Roman"/>
          <w:i/>
          <w:iCs/>
          <w:color w:val="000000" w:themeColor="text1"/>
          <w:szCs w:val="24"/>
        </w:rPr>
      </w:pPr>
      <w:r w:rsidRPr="0003124D">
        <w:rPr>
          <w:rFonts w:cs="Times New Roman"/>
          <w:i/>
          <w:iCs/>
          <w:color w:val="000000" w:themeColor="text1"/>
          <w:szCs w:val="24"/>
        </w:rPr>
        <w:t>BMI: Body mass index; GA: General anaesthesia; POH: Postoperative hours; mL: millilitre; NR: Not reported;</w:t>
      </w:r>
      <w:r w:rsidRPr="0003124D">
        <w:rPr>
          <w:rFonts w:cs="Times New Roman"/>
          <w:color w:val="000000" w:themeColor="text1"/>
        </w:rPr>
        <w:t xml:space="preserve"> </w:t>
      </w:r>
      <w:r w:rsidRPr="0003124D">
        <w:rPr>
          <w:rFonts w:cs="Times New Roman"/>
          <w:i/>
          <w:iCs/>
          <w:color w:val="000000" w:themeColor="text1"/>
          <w:szCs w:val="24"/>
        </w:rPr>
        <w:t xml:space="preserve">μg/kg: </w:t>
      </w:r>
      <w:bookmarkStart w:id="5" w:name="_Hlk104577364"/>
      <w:r w:rsidRPr="0003124D">
        <w:rPr>
          <w:rFonts w:cs="Times New Roman"/>
          <w:i/>
          <w:iCs/>
          <w:color w:val="000000" w:themeColor="text1"/>
          <w:szCs w:val="24"/>
        </w:rPr>
        <w:t>Microgram to</w:t>
      </w:r>
    </w:p>
    <w:p w14:paraId="5558FCE7" w14:textId="77777777" w:rsidR="00FB270A" w:rsidRPr="0003124D" w:rsidRDefault="00FB270A" w:rsidP="00FB270A">
      <w:pPr>
        <w:spacing w:after="0" w:line="360" w:lineRule="auto"/>
        <w:contextualSpacing/>
        <w:rPr>
          <w:rFonts w:cs="Times New Roman"/>
          <w:i/>
          <w:iCs/>
          <w:color w:val="000000" w:themeColor="text1"/>
          <w:szCs w:val="24"/>
        </w:rPr>
      </w:pPr>
      <w:r w:rsidRPr="0003124D">
        <w:rPr>
          <w:rFonts w:cs="Times New Roman"/>
          <w:i/>
          <w:iCs/>
          <w:color w:val="000000" w:themeColor="text1"/>
          <w:szCs w:val="24"/>
        </w:rPr>
        <w:t xml:space="preserve"> kilogram</w:t>
      </w:r>
      <w:bookmarkEnd w:id="5"/>
      <w:r w:rsidRPr="0003124D">
        <w:rPr>
          <w:rFonts w:cs="Times New Roman"/>
          <w:i/>
          <w:iCs/>
          <w:color w:val="000000" w:themeColor="text1"/>
          <w:szCs w:val="24"/>
        </w:rPr>
        <w:t>; mg/kg: milligram to kilogram; SD: Standard deviation; VAS: Visual analogue scale.</w:t>
      </w:r>
    </w:p>
    <w:p w14:paraId="51EB167D" w14:textId="77777777" w:rsidR="00FB270A" w:rsidRPr="0003124D" w:rsidRDefault="00FB270A" w:rsidP="00FB270A">
      <w:pPr>
        <w:tabs>
          <w:tab w:val="left" w:pos="4080"/>
        </w:tabs>
        <w:spacing w:after="0" w:line="360" w:lineRule="auto"/>
        <w:contextualSpacing/>
        <w:rPr>
          <w:rFonts w:cs="Times New Roman"/>
          <w:color w:val="000000" w:themeColor="text1"/>
          <w:lang w:val="en-US"/>
        </w:rPr>
      </w:pPr>
    </w:p>
    <w:p w14:paraId="42CA9AD1" w14:textId="77777777" w:rsidR="00FB270A" w:rsidRDefault="00FB270A" w:rsidP="00FB270A">
      <w:pPr>
        <w:rPr>
          <w:rFonts w:cs="Times New Roman"/>
          <w:color w:val="000000" w:themeColor="text1"/>
          <w:lang w:val="en-US"/>
        </w:rPr>
        <w:sectPr w:rsidR="00FB270A" w:rsidSect="00A64D0C">
          <w:pgSz w:w="16838" w:h="11906" w:orient="landscape"/>
          <w:pgMar w:top="1134" w:right="1247" w:bottom="1276" w:left="1134" w:header="708" w:footer="708" w:gutter="0"/>
          <w:cols w:space="708"/>
          <w:docGrid w:linePitch="360"/>
        </w:sectPr>
      </w:pPr>
    </w:p>
    <w:p w14:paraId="71A222DB" w14:textId="77777777" w:rsidR="00FB270A" w:rsidRPr="0003124D" w:rsidRDefault="00FB270A" w:rsidP="00FB270A">
      <w:pPr>
        <w:tabs>
          <w:tab w:val="left" w:pos="4080"/>
        </w:tabs>
        <w:spacing w:after="0" w:line="360" w:lineRule="auto"/>
        <w:contextualSpacing/>
        <w:rPr>
          <w:rFonts w:cs="Times New Roman"/>
          <w:b/>
          <w:bCs/>
          <w:color w:val="000000" w:themeColor="text1"/>
          <w:lang w:val="en-US"/>
        </w:rPr>
      </w:pPr>
      <w:r w:rsidRPr="0003124D">
        <w:rPr>
          <w:rFonts w:cs="Times New Roman"/>
          <w:b/>
          <w:bCs/>
          <w:color w:val="000000" w:themeColor="text1"/>
          <w:lang w:val="en-US"/>
        </w:rPr>
        <w:lastRenderedPageBreak/>
        <w:t>Appendix 4</w:t>
      </w:r>
      <w:r w:rsidRPr="00710648">
        <w:rPr>
          <w:rFonts w:cs="Times New Roman"/>
          <w:b/>
          <w:bCs/>
          <w:color w:val="000000" w:themeColor="text1"/>
          <w:lang w:val="en-US"/>
        </w:rPr>
        <w:t xml:space="preserve"> Reasons for exclusion of full-text reports</w:t>
      </w:r>
    </w:p>
    <w:p w14:paraId="74203114" w14:textId="77777777" w:rsidR="00FB270A" w:rsidRPr="0003124D" w:rsidRDefault="00FB270A" w:rsidP="00FB270A">
      <w:pPr>
        <w:spacing w:after="0" w:line="360" w:lineRule="auto"/>
        <w:ind w:left="142" w:hanging="142"/>
        <w:contextualSpacing/>
        <w:rPr>
          <w:rFonts w:cs="Times New Roman"/>
          <w:b/>
          <w:bCs/>
          <w:color w:val="000000" w:themeColor="text1"/>
          <w:szCs w:val="24"/>
        </w:rPr>
      </w:pPr>
    </w:p>
    <w:p w14:paraId="1207C07C" w14:textId="77777777" w:rsidR="00FB270A" w:rsidRPr="0003124D" w:rsidRDefault="00FB270A" w:rsidP="00FB270A">
      <w:pPr>
        <w:spacing w:after="0" w:line="360" w:lineRule="auto"/>
        <w:contextualSpacing/>
        <w:jc w:val="both"/>
        <w:rPr>
          <w:rFonts w:cs="Times New Roman"/>
          <w:b/>
          <w:bCs/>
          <w:color w:val="000000" w:themeColor="text1"/>
          <w:sz w:val="20"/>
          <w:szCs w:val="20"/>
        </w:rPr>
      </w:pPr>
      <w:r w:rsidRPr="0003124D">
        <w:rPr>
          <w:rFonts w:cs="Times New Roman"/>
          <w:b/>
          <w:bCs/>
          <w:color w:val="000000" w:themeColor="text1"/>
          <w:sz w:val="20"/>
          <w:szCs w:val="20"/>
        </w:rPr>
        <w:t xml:space="preserve">Reason 1 (n = 3) Intervention not quite a match </w:t>
      </w:r>
    </w:p>
    <w:p w14:paraId="4E6FFE08" w14:textId="77777777" w:rsidR="00FB270A" w:rsidRPr="0003124D" w:rsidRDefault="00FB270A" w:rsidP="00FB270A">
      <w:pPr>
        <w:spacing w:after="0" w:line="360" w:lineRule="auto"/>
        <w:contextualSpacing/>
        <w:jc w:val="both"/>
        <w:rPr>
          <w:rFonts w:cs="Times New Roman"/>
          <w:color w:val="000000" w:themeColor="text1"/>
          <w:sz w:val="20"/>
          <w:szCs w:val="20"/>
        </w:rPr>
      </w:pPr>
    </w:p>
    <w:p w14:paraId="39716075" w14:textId="77777777" w:rsidR="00FB270A" w:rsidRPr="00BC6C60" w:rsidRDefault="00FB270A" w:rsidP="00FB270A">
      <w:pPr>
        <w:spacing w:after="0"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 xml:space="preserve">1- </w:t>
      </w:r>
      <w:r w:rsidRPr="00BC6C60">
        <w:rPr>
          <w:rFonts w:eastAsia="Times New Roman" w:cs="Times New Roman"/>
          <w:color w:val="000000" w:themeColor="text1"/>
          <w:sz w:val="20"/>
          <w:szCs w:val="20"/>
          <w:lang w:eastAsia="en-AU"/>
        </w:rPr>
        <w:t>Wylde V, Gooberman-Hill R, Horwood J, Beswick A, Noble S, Brookes S, et al. The effect of local anaesthetic wound infiltration on chronic pain after lower limb joint replacement: A protocol for a double-blind randomised controlled trial. BMC Musculoskelet Disord. 2011 Dec;12(1):53.</w:t>
      </w:r>
    </w:p>
    <w:p w14:paraId="4D8E4364" w14:textId="77777777" w:rsidR="00FB270A" w:rsidRPr="001D4593" w:rsidRDefault="00FB270A" w:rsidP="00FB270A">
      <w:pPr>
        <w:spacing w:after="0"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 xml:space="preserve">2- </w:t>
      </w:r>
      <w:r w:rsidRPr="001D4593">
        <w:rPr>
          <w:rFonts w:eastAsia="Times New Roman" w:cs="Times New Roman"/>
          <w:color w:val="000000" w:themeColor="text1"/>
          <w:sz w:val="20"/>
          <w:szCs w:val="20"/>
          <w:lang w:eastAsia="en-AU"/>
        </w:rPr>
        <w:t>J. EDMONDS-SEAL, M.B., B.S., F.F.A.R.C.S., GM.C. PATERSON, M.B., C.H.B., F.F.A.R.C.S. and, A.B. LOACH, M.A., M.B., B. C.H.I.R., F.F.A.C.S. Local nerve blocks for post-operative pain. Nuffield Department of Anaesthetics, Radcliffe Infirmary Oxford. 1979.</w:t>
      </w:r>
    </w:p>
    <w:p w14:paraId="65BC39D4" w14:textId="77777777" w:rsidR="00FB270A" w:rsidRPr="0003124D" w:rsidRDefault="00FB270A" w:rsidP="00FB270A">
      <w:pPr>
        <w:spacing w:after="0" w:line="360" w:lineRule="auto"/>
        <w:contextualSpacing/>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3- Casati A, Fanelli G, Koscielniak-Nielsen Z, Cappelleri G, Aldegheri G, Danelli G, et al. Using Stimulating Catheters for Continuous Sciatic Nerve Block Shortens Onset Time of Surgical Block and Minimizes Postoperative Consumption of Pain Medication After Halux Valgus Repair as Compared with Conventional Nonstimulating Catheters: Anesthesia &amp; Analgesia. 2005 Oct;101(4):1192–7.</w:t>
      </w:r>
    </w:p>
    <w:p w14:paraId="01036671" w14:textId="77777777" w:rsidR="00FB270A" w:rsidRPr="0003124D" w:rsidRDefault="00FB270A" w:rsidP="00FB270A">
      <w:pPr>
        <w:spacing w:after="0" w:line="360" w:lineRule="auto"/>
        <w:contextualSpacing/>
        <w:jc w:val="both"/>
        <w:rPr>
          <w:rFonts w:eastAsia="Times New Roman" w:cs="Times New Roman"/>
          <w:color w:val="000000" w:themeColor="text1"/>
          <w:sz w:val="20"/>
          <w:szCs w:val="20"/>
          <w:lang w:eastAsia="en-AU"/>
        </w:rPr>
      </w:pPr>
    </w:p>
    <w:p w14:paraId="7A7DAA28" w14:textId="77777777" w:rsidR="00FB270A" w:rsidRPr="0003124D" w:rsidRDefault="00FB270A" w:rsidP="00FB270A">
      <w:pPr>
        <w:spacing w:after="0" w:line="360" w:lineRule="auto"/>
        <w:contextualSpacing/>
        <w:jc w:val="both"/>
        <w:rPr>
          <w:rFonts w:cs="Times New Roman"/>
          <w:b/>
          <w:bCs/>
          <w:color w:val="000000" w:themeColor="text1"/>
          <w:sz w:val="20"/>
          <w:szCs w:val="20"/>
        </w:rPr>
      </w:pPr>
      <w:r w:rsidRPr="0003124D">
        <w:rPr>
          <w:rFonts w:cs="Times New Roman"/>
          <w:b/>
          <w:bCs/>
          <w:color w:val="000000" w:themeColor="text1"/>
          <w:sz w:val="20"/>
          <w:szCs w:val="20"/>
        </w:rPr>
        <w:t>Reason 2 (n = 43) Population not specified to bunionectomy</w:t>
      </w:r>
    </w:p>
    <w:p w14:paraId="41F5A7B5" w14:textId="77777777" w:rsidR="00FB270A" w:rsidRPr="0003124D" w:rsidRDefault="00FB270A" w:rsidP="00FB270A">
      <w:pPr>
        <w:spacing w:after="0" w:line="360" w:lineRule="auto"/>
        <w:contextualSpacing/>
        <w:jc w:val="both"/>
        <w:rPr>
          <w:rFonts w:cs="Times New Roman"/>
          <w:b/>
          <w:bCs/>
          <w:color w:val="000000" w:themeColor="text1"/>
          <w:sz w:val="20"/>
          <w:szCs w:val="20"/>
        </w:rPr>
      </w:pPr>
    </w:p>
    <w:p w14:paraId="082FB4C8"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Kamath P. A Novel Distraction Technique for Pain Management during Local Anesthesia Administration in Pediatric Patients. Journal of Clinical Pediatric Dentistry. 2013 Sep 1;38(1):45–7.</w:t>
      </w:r>
    </w:p>
    <w:p w14:paraId="293710F5"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BC6C60">
        <w:rPr>
          <w:rFonts w:eastAsia="Times New Roman" w:cs="Times New Roman"/>
          <w:color w:val="000000" w:themeColor="text1"/>
          <w:sz w:val="20"/>
          <w:szCs w:val="20"/>
          <w:lang w:eastAsia="en-AU"/>
        </w:rPr>
        <w:t>Remérand F, Godfroid HB, Brilhault J, Vourc’h R, Druon J, Laffon M, et al. Chronic pain 1year after foot surgery: Epidemiology and associated factors. Orthopaedics &amp; Traumatology: Surgery &amp; Research. 2014 Nov;100(7):767–73.</w:t>
      </w:r>
    </w:p>
    <w:p w14:paraId="4092589A"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Emerson RH, Barrington JW, Olugbode O, Lovald S, Watson H, Ong K. Comparison of Local Infiltration Analgesia to Bupivacaine Wound Infiltration as Part of a Multimodal Pain Program. J Surg Orthop Adv. 2015;24(4):235–41.</w:t>
      </w:r>
    </w:p>
    <w:p w14:paraId="495DDE5E"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Kang C, Lee GS, Kim SB, Won YG, Lee JK, Jung YS, et al. Comparison of postoperative pain control methods after bony surgery in the foot and ankle. Foot and Ankle Surgery. 2018 Dec;24(6):521–4.</w:t>
      </w:r>
    </w:p>
    <w:p w14:paraId="31288E7F"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Dang DY, McGarry SM, Melbihess EJ, Haytmanek CT, Stith AT, Griffin MJ, et al. Comparison of Single-Agent Versus 3-Additive Regional Anesthesia for Foot and Ankle Surgery. Foot Ankle Int. 2019 Oct;40(10):1195–202.</w:t>
      </w:r>
    </w:p>
    <w:p w14:paraId="7BEF6983"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Murauski JD, Gonzalez KR. Peripheral Nerve Blocks for Postoperative Analgesia. AORN Journal. 2002 Jan;75(1):134–47.</w:t>
      </w:r>
    </w:p>
    <w:p w14:paraId="2AAFBC74"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Ma HH, Chou TFA, Tsai SW, Chen CF, Wu PK, Chen WM. The efficacy and safety of continuous versus single-injection popliteal sciatic nerve block in outpatient foot and ankle surgery: a systematic review and meta-analysis. BMC Musculoskelet Disord. 2019 Dec;20(1):441.</w:t>
      </w:r>
    </w:p>
    <w:p w14:paraId="32DD7D57"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Carlock KD, Hildebrandt KR, Konda SR, Egol KA. The use of regional anaesthesia for surgical intervention has minimal effect on functional outcomes following fracture nonunion repair. Injury. 2019 Mar;50(3):671–5.</w:t>
      </w:r>
    </w:p>
    <w:p w14:paraId="761E4C37"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Li BL, Liu X, Cui L, Zhang W, Pang H, Wang M, et al. Local Infiltration Analgesia with Ropivacaine Improves Postoperative Pain Control in Ankle Fracture Patients: A Retrospective Cohort Study. Pain Research and Management. 2020 Mar 9; 2020:1–7.</w:t>
      </w:r>
    </w:p>
    <w:p w14:paraId="035EE37A"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Biddinger KR, Komenda GA, Schon LC, Myerson MS. A New Modified Technique for Harvest of Calcaneal Bone Grafts in Surgery on the Foot and Ankle. Foot Ankle Int. 1998 May;19(5):322–6.</w:t>
      </w:r>
    </w:p>
    <w:p w14:paraId="6A497EC8"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lastRenderedPageBreak/>
        <w:t>Bramlett K, Onel E, Viscusi ER, Jones K. A randomized, double-blind, dose-ranging study comparing wound infiltration of DepoFoam bupivacaine, an extended-release liposomal bupivacaine, to bupivacaine HCl for postsurgical analgesia in total knee arthroplasty. The Knee. 2012 Oct;19(5):530–6.</w:t>
      </w:r>
    </w:p>
    <w:p w14:paraId="2091B917"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Maher AJ, Metcalfe SA. A report of UK experience in 917 cases of day care foot surgery using a validated outcome tool. The Foot. 2009 Jun;19(2):101–6.</w:t>
      </w:r>
    </w:p>
    <w:p w14:paraId="1176798E"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Joe HB, Choo HS, Yoon JS, Oh SE, Cho JH, Park YU. Adductor canal block versus femoral nerve block combined with sciatic nerve block as an anesthetic technique for hindfoot and ankle surgery: A prospective, randomized noninferiority trial. Medicine (Baltimore). 2016 Dec;95(52): e5758–e5758.</w:t>
      </w:r>
    </w:p>
    <w:p w14:paraId="0921FA08"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 xml:space="preserve">YaDeau JT, Goytizolo EA, Padgett DE, Liu SS, Mayman DJ, Ranawat AS, et al. Analgesia after total knee replacement: local infiltration </w:t>
      </w:r>
      <w:r w:rsidRPr="0003124D">
        <w:rPr>
          <w:rFonts w:eastAsia="Times New Roman" w:cs="Times New Roman"/>
          <w:i/>
          <w:iCs/>
          <w:color w:val="000000" w:themeColor="text1"/>
          <w:sz w:val="20"/>
          <w:szCs w:val="20"/>
          <w:lang w:eastAsia="en-AU"/>
        </w:rPr>
        <w:t>versus</w:t>
      </w:r>
      <w:r w:rsidRPr="0003124D">
        <w:rPr>
          <w:rFonts w:eastAsia="Times New Roman" w:cs="Times New Roman"/>
          <w:color w:val="000000" w:themeColor="text1"/>
          <w:sz w:val="20"/>
          <w:szCs w:val="20"/>
          <w:lang w:eastAsia="en-AU"/>
        </w:rPr>
        <w:t xml:space="preserve"> epidural combined with a femoral nerve blockade: A prospective, randomised pragmatic trial. The Bone &amp; Joint Journal. 2013 May;95-B (5):629–35.</w:t>
      </w:r>
    </w:p>
    <w:p w14:paraId="7781B648"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Carli F, Clemente A, Asenjo JF, Kim DJ, Mistraletti G, Gomarasca M, et al. Analgesia and functional outcome after total knee arthroplasty: periarticular infiltration vs continuous femoral nerve block. British Journal of Anaesthesia. 2010 Aug;105(2):185–95.</w:t>
      </w:r>
    </w:p>
    <w:p w14:paraId="463ADCE5"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Andersen LØ, Husted H, Kristensen BB, Otte KS, Gaarn-Larsen L, Kehlet H. Analgesic efficacy of subcutaneous local anaesthetic wound infiltration in bilateral knee arthroplasty: a randomised, placebo-controlled, double-blind trial. Acta Anaesthesiologica Scandinavica. 2010 May;54(5):543–8.</w:t>
      </w:r>
    </w:p>
    <w:p w14:paraId="5B391707"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Martin F, Martinez V, Mazoit JX, Bouhassira D, Cherif K, Gentili ME, et al. Antiinflammatory Effect of Peripheral Nerve Blocks after Knee Surgery. Anesthesiology. 2008 Sep 1;109(3):484–90.</w:t>
      </w:r>
    </w:p>
    <w:p w14:paraId="38355F94"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Beswick AD, Dennis J, Gooberman-Hill R, Blom AW, Wylde V. Are perioperative interventions effective in preventing chronic pain after primary total knee replacement? A systematic review. BMJ Open. 2019 Sep;9(9): e028093.</w:t>
      </w:r>
    </w:p>
    <w:p w14:paraId="72A08A27"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Browne C, Copp S, Reden L, Pulido P, Colwell C. Bupivacaine bolus injection versus placebo for pain management following total knee arthroplasty. The Journal of Arthroplasty. 2004 Apr;19(3):377–80.</w:t>
      </w:r>
    </w:p>
    <w:p w14:paraId="13E0EEC2"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Kim YM, Joo YB, Kang C, Song JH. Can ultrasound-guided nerve block be a useful method of anesthesia for arthroscopic knee surgery? Knee Surg Sports Traumatol Arthrosc. 2015 Jul;23(7):2090–6.</w:t>
      </w:r>
    </w:p>
    <w:p w14:paraId="3734543B"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Adeyemo WL, Ladeinde AL, Ogunlewe MO. Clinical evaluation of post-extraction site wound healing. J Contemp Dent Pract. 2006 Jul 1;7(3):40–9.</w:t>
      </w:r>
    </w:p>
    <w:p w14:paraId="6D902769"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von Plato H, Peltoniemi M, Kauhanen P, Löyttyniemi E, Hamunen K, Kontinen V, et al. Combination of perineural and wound infusion after above knee amputation: A randomized, controlled multicenter study. Acta Anaesthesiol Scand. 2019 Nov;63(10):1406–12.</w:t>
      </w:r>
    </w:p>
    <w:p w14:paraId="4E44C807"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Butterfield NN, Schwarz SKW, Ries CR, Franciosi LG, Day B, MacLeod BA. Combined pre- and post-surgical bupivacaine would infiltrations decrease opioid requirements after knee ligament reconstruction. Can J Anesth/J Can Anesth. 2001 Mar;48(3):245–50.</w:t>
      </w:r>
    </w:p>
    <w:p w14:paraId="3FBA8923"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Cook P, Stevens J, Gaudron C. Comparing the effects of femoral nerve block versus femoral and sciatic nerve block on pain and opiate consumption after total knee arthroplasty. The Journal of Arthroplasty. 2003 Aug;18(5):583–6.</w:t>
      </w:r>
    </w:p>
    <w:p w14:paraId="722BE053"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Department of Anaesthesiology and Reanimation, Harran University, School of Medicine, Sanliurfa, Turkey, Altay N, Sarikaya B, Department of Orthopedics and Traumatology, Harran University, School of Medicine, Sanliurfa, Turkey, Karahan MA, Department of Anaesthesiology and Reanimation, Harran University, School of Medicine, Sanliurfa, Turkey, et al. Comparison of efficacy between combined periarticular and incisional injections versus periarticular injection alone of bupivacaine for pain control after total knee arthroplasty: A prospective randomized controlled trial. AOTT. 2020 Aug 13;54(4):402–7.</w:t>
      </w:r>
    </w:p>
    <w:p w14:paraId="1849BD7A"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lastRenderedPageBreak/>
        <w:t xml:space="preserve"> Kim NY, Lee KY, Bai SJ, Hong JH, Lee J, Park JM, et al. Comparison of the effects of remifentanil-based general anesthesia and popliteal nerve block on postoperative pain and hemodynamic stability in diabetic patients undergoing distal foot amputation: A retrospective observational study. Medicine. 2016 Jul;95(29): e4302.</w:t>
      </w:r>
    </w:p>
    <w:p w14:paraId="5FF6A565"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Ludot H, Berger J, Pichenot V, Belouadah M, Madi K, Malinovsky J. Continuous Peripheral Nerve Block for Postoperative Pain Control at Home: A Prospective Feasibility Study in Children. Regional Anesthesia and Pain Medicine. 2008 Jan;33(1):52–6.</w:t>
      </w:r>
    </w:p>
    <w:p w14:paraId="1433F6C0"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Ilfeld BM, Moeller LK, Mariano ER, Loland VJ, Stevens-Lapsley JE, Fleisher AS, et al. Continuous Peripheral Nerve Blocks. Anesthesiology. 2010 Feb 1;112(2):347–54.</w:t>
      </w:r>
    </w:p>
    <w:p w14:paraId="288DDC2C"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Monahan AM, Madison SJ, Loland VJ, Sztain JF, Bishop ML, Sandhu NS, et al. Continuous Popliteal Sciatic Blocks: Does Varying Perineural Catheter Location Relative to the Sciatic Bifurcation Influence Block Effects? A Dual-Center, Randomized, Subject-Masked, Controlled Clinical Trial. Anesthesia &amp; Analgesia. 2016 May;122(5):1689–95.</w:t>
      </w:r>
    </w:p>
    <w:p w14:paraId="65445534"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Lukács J. [Social Welfare Board: safety prescriptions in surgery proposed for Spring 1974]. Tidskr Sver Sjukskot. 1973 Nov 22;40(21):43–4.</w:t>
      </w:r>
    </w:p>
    <w:p w14:paraId="0985A833"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Grant A, Wood C. The Effect of Intra-Neural Local Anaesthetic Infusion on Pain Following Major Lower Limb Amputation. Scott Med J. 2008 Feb;53(1):4–6.</w:t>
      </w:r>
    </w:p>
    <w:p w14:paraId="67926D1D"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 xml:space="preserve"> Ilfeld BM, Loland VJ, Gerancher JC, Wadhwa AN, Renehan EM, Sessler DI, et al. The Effects of Varying Local Anesthetic Concentration and Volume on Continuous Popliteal Sciatic Nerve Blocks: A Dual-Center, Randomized, Controlled Study. Anesthesia &amp; Analgesia. 2008 Aug;107(2):701–7.</w:t>
      </w:r>
    </w:p>
    <w:p w14:paraId="7770E166"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Borgeat A, Blumenthal S, Lambert M, Theodorou P, Vienne P. The Feasibility and Complications of the Continuous Popliteal Nerve Block: A 1001-Case Survey. Anesthesia &amp; Analgesia. 2006 Jul;103(1):229–33.</w:t>
      </w:r>
    </w:p>
    <w:p w14:paraId="40840D86"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Lai HY, Foo LL, Lim SM, Yong CF, Loh PS, Chaw SH, et al. The hemodynamic and pain impact of peripheral nerve block versus spinal anesthesia in diabetic patients undergoing diabetic foot surgery. Clin Auton Res. 2020 Feb;30(1):53–60.</w:t>
      </w:r>
    </w:p>
    <w:p w14:paraId="2507B71B"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White PF, Issioui T, Skrivanek GD, Early JS, Wakefield C. The Use of a Continuous Popliteal Sciatic Nerve Block After Surgery Involving the Foot and Ankle: Does It Improve the Quality of Recovery? Anesthesia &amp; Analgesia. 2003 Nov;1303–9.</w:t>
      </w:r>
    </w:p>
    <w:p w14:paraId="34085017"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Finsen V, Kasseth AM. TOURNIQUETS IN FOREFOOT SURGERY: LESS PAIN WHEN PLACED AT THE ANKLE. The Journal of Bone and Joint Surgery British volume. 1997 Jan;79-B (1):99–101.</w:t>
      </w:r>
    </w:p>
    <w:p w14:paraId="3DF54E8F"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Li Y, Zhang Q, Wang Y, Yin C, Guo J, Qin S, et al. Ultrasound-guided single popliteal sciatic nerve block is an effective postoperative analgesia strategy for calcaneal fracture: a randomized clinical trial. BMC Musculoskelet Disord. 2021 Dec;22(1):735</w:t>
      </w:r>
    </w:p>
    <w:p w14:paraId="06D39361"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Rasmussen SB, Saied NN, Bowens C, Mercaldo ND, Schildcrout JS, Malchow RJ. Duration of Upper and Lower Extremity Peripheral Nerve Blockade Is Prolonged with Dexamethasone When Added to Ropivacaine: A Retrospective Database Analysis. Pain Med. 2013 Aug;14(8):1239–47.</w:t>
      </w:r>
    </w:p>
    <w:p w14:paraId="7DC99207"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Zhang AL. Editorial Commentary: The Truth about Peripheral Nerve Blocks and Hip Arthroscopy. Arthroscopy: The Journal of Arthroscopic &amp; Related Surgery. 2019 Sep;35(9):2617–8.</w:t>
      </w:r>
    </w:p>
    <w:p w14:paraId="38F413AD"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Wylde V, Lenguerrand E, Gooberman-Hill R, Beswick AD, Marques E, Noble S, et al. Effect of local anaesthetic infiltration on chronic postsurgical pain after total hip and knee replacement: the APEX randomised controlled trials. Pain. 2015 Jun;156(6):1161–70.</w:t>
      </w:r>
    </w:p>
    <w:p w14:paraId="06A39484"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Gartke K, Portner O, Taljaard M. Neuropathic Symptoms following Continuous Popliteal Block After Foot and Ankle Surgery. Foot Ankle Int. 2012 Apr;33(4):267–74.</w:t>
      </w:r>
    </w:p>
    <w:p w14:paraId="4C853610"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lastRenderedPageBreak/>
        <w:t xml:space="preserve"> Sadoun M, Hardy A, Cladière V, Guichard L, Bauer T, Stiglitz Y. Outpatient total ankle replacement. International Orthopaedics (SICOT). 2021 Sep;45(9):2429–33.</w:t>
      </w:r>
    </w:p>
    <w:p w14:paraId="2D77E0CD" w14:textId="77777777" w:rsidR="00FB270A" w:rsidRPr="0003124D" w:rsidRDefault="00FB270A" w:rsidP="00FB270A">
      <w:pPr>
        <w:pStyle w:val="ListParagraph"/>
        <w:numPr>
          <w:ilvl w:val="0"/>
          <w:numId w:val="2"/>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Knezevic MM, Stojkovic MZ, Vlajkovic GP, Jovanovic MB, Rasic DM. Pain during external dacryocystorhinostomy with local anesthesia. Med Sci Monit. 2011;17(6):CR341–6.</w:t>
      </w:r>
    </w:p>
    <w:p w14:paraId="6AF7DBE8" w14:textId="77777777" w:rsidR="00FB270A" w:rsidRPr="0003124D" w:rsidRDefault="00FB270A" w:rsidP="00FB270A">
      <w:pPr>
        <w:tabs>
          <w:tab w:val="left" w:pos="142"/>
        </w:tabs>
        <w:spacing w:after="0" w:line="360" w:lineRule="auto"/>
        <w:contextualSpacing/>
        <w:jc w:val="both"/>
        <w:rPr>
          <w:rFonts w:cs="Times New Roman"/>
          <w:b/>
          <w:bCs/>
          <w:color w:val="000000" w:themeColor="text1"/>
          <w:sz w:val="20"/>
          <w:szCs w:val="20"/>
        </w:rPr>
      </w:pPr>
    </w:p>
    <w:p w14:paraId="41BC3F67" w14:textId="77777777" w:rsidR="00FB270A" w:rsidRPr="0003124D" w:rsidRDefault="00FB270A" w:rsidP="00FB270A">
      <w:pPr>
        <w:tabs>
          <w:tab w:val="left" w:pos="142"/>
        </w:tabs>
        <w:spacing w:after="0" w:line="360" w:lineRule="auto"/>
        <w:contextualSpacing/>
        <w:jc w:val="both"/>
        <w:rPr>
          <w:rFonts w:cs="Times New Roman"/>
          <w:b/>
          <w:bCs/>
          <w:color w:val="000000" w:themeColor="text1"/>
          <w:sz w:val="20"/>
          <w:szCs w:val="20"/>
        </w:rPr>
      </w:pPr>
      <w:r w:rsidRPr="0003124D">
        <w:rPr>
          <w:rFonts w:cs="Times New Roman"/>
          <w:b/>
          <w:bCs/>
          <w:color w:val="000000" w:themeColor="text1"/>
          <w:sz w:val="20"/>
          <w:szCs w:val="20"/>
        </w:rPr>
        <w:t>Reason 3 (n=11) Comparing different types of medication to use for local anaesthetic</w:t>
      </w:r>
    </w:p>
    <w:p w14:paraId="6DD93073" w14:textId="77777777" w:rsidR="00FB270A" w:rsidRPr="0003124D" w:rsidRDefault="00FB270A" w:rsidP="00FB270A">
      <w:pPr>
        <w:tabs>
          <w:tab w:val="left" w:pos="142"/>
          <w:tab w:val="left" w:pos="284"/>
        </w:tabs>
        <w:spacing w:after="0" w:line="360" w:lineRule="auto"/>
        <w:contextualSpacing/>
        <w:jc w:val="both"/>
        <w:rPr>
          <w:rFonts w:cs="Times New Roman"/>
          <w:b/>
          <w:bCs/>
          <w:color w:val="000000" w:themeColor="text1"/>
          <w:sz w:val="20"/>
          <w:szCs w:val="20"/>
        </w:rPr>
      </w:pPr>
    </w:p>
    <w:p w14:paraId="4024AA68" w14:textId="77777777" w:rsidR="00FB270A" w:rsidRPr="0003124D" w:rsidRDefault="00FB270A" w:rsidP="00FB270A">
      <w:pPr>
        <w:pStyle w:val="ListParagraph"/>
        <w:numPr>
          <w:ilvl w:val="0"/>
          <w:numId w:val="3"/>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Spruce MC, Bowling FL, Metcalfe SA. A longitudinal study of hallux valgus surgical outcomes using a validated patient centred outcome measure. The Foot. 2011 Sep;21(3):133–7.</w:t>
      </w:r>
    </w:p>
    <w:p w14:paraId="59AA30B8" w14:textId="77777777" w:rsidR="00FB270A" w:rsidRPr="0003124D" w:rsidRDefault="00FB270A" w:rsidP="00FB270A">
      <w:pPr>
        <w:pStyle w:val="ListParagraph"/>
        <w:numPr>
          <w:ilvl w:val="0"/>
          <w:numId w:val="3"/>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Bilgetekin YG, Kuzucu Y, Öztürk A, Yüksel S, Atilla HA, Ersan Ö. The use of the wide-awake local anesthesia no tourniquet technique in foot and ankle injuries. Foot and Ankle Surgery. 2021 Jul;27(5):535–8.</w:t>
      </w:r>
    </w:p>
    <w:p w14:paraId="711BF3FC" w14:textId="77777777" w:rsidR="00FB270A" w:rsidRPr="0003124D" w:rsidRDefault="00FB270A" w:rsidP="00FB270A">
      <w:pPr>
        <w:pStyle w:val="ListParagraph"/>
        <w:numPr>
          <w:ilvl w:val="0"/>
          <w:numId w:val="3"/>
        </w:numPr>
        <w:tabs>
          <w:tab w:val="left" w:pos="142"/>
          <w:tab w:val="left" w:pos="284"/>
        </w:tabs>
        <w:spacing w:after="0" w:line="360" w:lineRule="auto"/>
        <w:ind w:left="0" w:firstLine="0"/>
        <w:jc w:val="both"/>
        <w:rPr>
          <w:rFonts w:cs="Times New Roman"/>
          <w:color w:val="000000" w:themeColor="text1"/>
          <w:sz w:val="20"/>
          <w:szCs w:val="20"/>
        </w:rPr>
      </w:pPr>
      <w:r w:rsidRPr="0003124D">
        <w:rPr>
          <w:rFonts w:eastAsia="Times New Roman" w:cs="Times New Roman"/>
          <w:color w:val="000000" w:themeColor="text1"/>
          <w:sz w:val="20"/>
          <w:szCs w:val="20"/>
          <w:lang w:eastAsia="en-AU"/>
        </w:rPr>
        <w:t>Miller SL, Wertheimer SJ. A comparison of the efficacy of injectable dexamethasone sodium phosphate versus placebo in postoperative podiatric analgesia. The Journal of Foot and Ankle Surgery. 1998 May;37(3):223–6.</w:t>
      </w:r>
    </w:p>
    <w:p w14:paraId="586BEF06" w14:textId="77777777" w:rsidR="00FB270A" w:rsidRPr="0003124D" w:rsidRDefault="00FB270A" w:rsidP="00FB270A">
      <w:pPr>
        <w:pStyle w:val="ListParagraph"/>
        <w:numPr>
          <w:ilvl w:val="0"/>
          <w:numId w:val="3"/>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Goldstein RY, Montero N, Jain SK, Egol KA, Tejwani NC. Efficacy of Popliteal Block in Postoperative Pain Control After Ankle Fracture Fixation: A Prospective Randomized Study. Journal of Orthopaedic Trauma. 2012 Oct;26(10):557–61.</w:t>
      </w:r>
    </w:p>
    <w:p w14:paraId="3FBDA959" w14:textId="77777777" w:rsidR="00FB270A" w:rsidRPr="0003124D" w:rsidRDefault="00FB270A" w:rsidP="00FB270A">
      <w:pPr>
        <w:pStyle w:val="ListParagraph"/>
        <w:numPr>
          <w:ilvl w:val="0"/>
          <w:numId w:val="3"/>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Zamora FJ, Madduri RP, Philips AA, Miller N, Varghese M. Evaluation of the Efficacy of Liposomal Bupivacaine in Total Joint Arthroplasty. Journal of Pharmacy Practice. 2021 Jun;34(3):403–6.</w:t>
      </w:r>
    </w:p>
    <w:p w14:paraId="6A1691F2" w14:textId="77777777" w:rsidR="00FB270A" w:rsidRPr="0003124D" w:rsidRDefault="00FB270A" w:rsidP="00FB270A">
      <w:pPr>
        <w:pStyle w:val="ListParagraph"/>
        <w:numPr>
          <w:ilvl w:val="0"/>
          <w:numId w:val="3"/>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 xml:space="preserve"> Atanassoff PG, Ocampo CA, Castro Bande M, Hartmannsgruber MWB, Halaszynski TM. Ropivacaine 0.2% and Lidocaine 0.5% for Intravenous Regional Anesthesia in Outpatient Surgery. Anesthesiology. 2001 Sep 1;95(3):627–31.</w:t>
      </w:r>
    </w:p>
    <w:p w14:paraId="7EE9F037" w14:textId="77777777" w:rsidR="00FB270A" w:rsidRPr="0003124D" w:rsidRDefault="00FB270A" w:rsidP="00FB270A">
      <w:pPr>
        <w:pStyle w:val="ListParagraph"/>
        <w:numPr>
          <w:ilvl w:val="0"/>
          <w:numId w:val="3"/>
        </w:numPr>
        <w:tabs>
          <w:tab w:val="left" w:pos="142"/>
          <w:tab w:val="left" w:pos="284"/>
        </w:tabs>
        <w:spacing w:after="0" w:line="360" w:lineRule="auto"/>
        <w:ind w:left="0" w:firstLine="0"/>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 xml:space="preserve">Chan EY, Fransen M, Parker DA, Assam PN, Chua N. Femoral nerve blocks for acute postoperative pain after knee replacement surgery. Cochrane Anaesthesia Group, editor. Cochrane Database of Systematic Reviews [Internet]. 2014 May 13 [cited 2022 May 30]; Available from: </w:t>
      </w:r>
      <w:hyperlink r:id="rId5" w:history="1">
        <w:r w:rsidRPr="0003124D">
          <w:rPr>
            <w:rFonts w:eastAsia="Times New Roman" w:cs="Times New Roman"/>
            <w:color w:val="000000" w:themeColor="text1"/>
            <w:sz w:val="20"/>
            <w:szCs w:val="20"/>
            <w:u w:val="single"/>
            <w:lang w:eastAsia="en-AU"/>
          </w:rPr>
          <w:t>https://doi.wiley.com/10.1002/14651858.CD009941.pub2</w:t>
        </w:r>
      </w:hyperlink>
    </w:p>
    <w:p w14:paraId="6FB15F1F" w14:textId="77777777" w:rsidR="00FB270A" w:rsidRPr="0003124D" w:rsidRDefault="00FB270A" w:rsidP="00FB270A">
      <w:pPr>
        <w:pStyle w:val="ListParagraph"/>
        <w:numPr>
          <w:ilvl w:val="0"/>
          <w:numId w:val="3"/>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Blichfeldt-Eckhardt MR. From acute to chronic postsurgical pain: the significance of the acute pain response. Dan Med J. 2018 Mar;65(3): B5326.</w:t>
      </w:r>
    </w:p>
    <w:p w14:paraId="029B0CE5" w14:textId="77777777" w:rsidR="00FB270A" w:rsidRPr="0003124D" w:rsidRDefault="00FB270A" w:rsidP="00FB270A">
      <w:pPr>
        <w:pStyle w:val="ListParagraph"/>
        <w:numPr>
          <w:ilvl w:val="0"/>
          <w:numId w:val="3"/>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Van Der Zwaard BC, Roerdink RL, Van Hove RP. Increase in early wound leakage in total knee arthroplasty with local infiltrative analgesia (LIA) that includes epinephrine: a retrospective cohort study. Acta Orthopaedica. 2020 Nov 1;91(6):756–60.</w:t>
      </w:r>
    </w:p>
    <w:p w14:paraId="114A5E93" w14:textId="77777777" w:rsidR="00FB270A" w:rsidRPr="0003124D" w:rsidRDefault="00FB270A" w:rsidP="00FB270A">
      <w:pPr>
        <w:pStyle w:val="ListParagraph"/>
        <w:numPr>
          <w:ilvl w:val="0"/>
          <w:numId w:val="3"/>
        </w:numPr>
        <w:tabs>
          <w:tab w:val="left" w:pos="142"/>
          <w:tab w:val="left" w:pos="284"/>
        </w:tabs>
        <w:spacing w:after="0" w:line="360" w:lineRule="auto"/>
        <w:ind w:left="0" w:firstLine="0"/>
        <w:jc w:val="both"/>
        <w:rPr>
          <w:rFonts w:cs="Times New Roman"/>
          <w:color w:val="000000" w:themeColor="text1"/>
          <w:sz w:val="20"/>
          <w:szCs w:val="20"/>
        </w:rPr>
      </w:pPr>
      <w:r w:rsidRPr="0003124D">
        <w:rPr>
          <w:rFonts w:eastAsia="Times New Roman" w:cs="Times New Roman"/>
          <w:color w:val="000000" w:themeColor="text1"/>
          <w:sz w:val="20"/>
          <w:szCs w:val="20"/>
          <w:lang w:eastAsia="en-AU"/>
        </w:rPr>
        <w:t xml:space="preserve"> Horlocker TT, Wedel DJ. Infectious complications of regional anesthesia. Best Practice &amp; Research Clinical Anaesthesiology. 2008 Sep;22(3):451–75.</w:t>
      </w:r>
    </w:p>
    <w:p w14:paraId="6D1AD56A" w14:textId="77777777" w:rsidR="00FB270A" w:rsidRPr="0003124D" w:rsidRDefault="00FB270A" w:rsidP="00FB270A">
      <w:pPr>
        <w:pStyle w:val="ListParagraph"/>
        <w:numPr>
          <w:ilvl w:val="0"/>
          <w:numId w:val="3"/>
        </w:numPr>
        <w:tabs>
          <w:tab w:val="left" w:pos="142"/>
          <w:tab w:val="left" w:pos="284"/>
        </w:tabs>
        <w:spacing w:after="0" w:line="360" w:lineRule="auto"/>
        <w:ind w:left="0" w:firstLine="0"/>
        <w:jc w:val="both"/>
        <w:rPr>
          <w:rFonts w:cs="Times New Roman"/>
          <w:color w:val="000000" w:themeColor="text1"/>
          <w:sz w:val="20"/>
          <w:szCs w:val="20"/>
        </w:rPr>
      </w:pPr>
      <w:r w:rsidRPr="0003124D">
        <w:rPr>
          <w:rFonts w:cs="Times New Roman"/>
          <w:color w:val="000000" w:themeColor="text1"/>
          <w:sz w:val="20"/>
          <w:szCs w:val="20"/>
        </w:rPr>
        <w:t xml:space="preserve"> </w:t>
      </w:r>
      <w:r w:rsidRPr="0003124D">
        <w:rPr>
          <w:rFonts w:eastAsia="Times New Roman" w:cs="Times New Roman"/>
          <w:color w:val="000000" w:themeColor="text1"/>
          <w:sz w:val="20"/>
          <w:szCs w:val="20"/>
          <w:lang w:eastAsia="en-AU"/>
        </w:rPr>
        <w:t>Brattwall M, Turan I, Jakobsson J. Pain Management After Elective Hallux Valgus Surgery: A Prospective Randomized Double-Blind Study Comparing Etoricoxib and Tramadol. Anesthesia &amp; Analgesia. 2010 Aug;111(2):544–9.</w:t>
      </w:r>
    </w:p>
    <w:p w14:paraId="397A3433" w14:textId="77777777" w:rsidR="00FB270A" w:rsidRPr="0003124D" w:rsidRDefault="00FB270A" w:rsidP="00FB270A">
      <w:pPr>
        <w:tabs>
          <w:tab w:val="left" w:pos="142"/>
          <w:tab w:val="left" w:pos="284"/>
        </w:tabs>
        <w:spacing w:after="0" w:line="360" w:lineRule="auto"/>
        <w:contextualSpacing/>
        <w:jc w:val="both"/>
        <w:rPr>
          <w:rFonts w:cs="Times New Roman"/>
          <w:b/>
          <w:bCs/>
          <w:color w:val="000000" w:themeColor="text1"/>
          <w:sz w:val="20"/>
          <w:szCs w:val="20"/>
        </w:rPr>
      </w:pPr>
    </w:p>
    <w:p w14:paraId="20316990" w14:textId="77777777" w:rsidR="00FB270A" w:rsidRPr="0003124D" w:rsidRDefault="00FB270A" w:rsidP="00FB270A">
      <w:pPr>
        <w:tabs>
          <w:tab w:val="left" w:pos="142"/>
          <w:tab w:val="left" w:pos="284"/>
        </w:tabs>
        <w:spacing w:after="0" w:line="360" w:lineRule="auto"/>
        <w:contextualSpacing/>
        <w:jc w:val="both"/>
        <w:rPr>
          <w:rFonts w:cs="Times New Roman"/>
          <w:b/>
          <w:bCs/>
          <w:color w:val="000000" w:themeColor="text1"/>
          <w:sz w:val="20"/>
          <w:szCs w:val="20"/>
        </w:rPr>
      </w:pPr>
      <w:r w:rsidRPr="0003124D">
        <w:rPr>
          <w:rFonts w:cs="Times New Roman"/>
          <w:b/>
          <w:bCs/>
          <w:color w:val="000000" w:themeColor="text1"/>
          <w:sz w:val="20"/>
          <w:szCs w:val="20"/>
        </w:rPr>
        <w:t>Reason 4 (n=12) Assessing outcomes other than pain</w:t>
      </w:r>
    </w:p>
    <w:p w14:paraId="22AB7568" w14:textId="77777777" w:rsidR="00FB270A" w:rsidRPr="0003124D" w:rsidRDefault="00FB270A" w:rsidP="00FB270A">
      <w:pPr>
        <w:tabs>
          <w:tab w:val="left" w:pos="142"/>
          <w:tab w:val="left" w:pos="284"/>
        </w:tabs>
        <w:spacing w:after="0" w:line="360" w:lineRule="auto"/>
        <w:contextualSpacing/>
        <w:jc w:val="both"/>
        <w:rPr>
          <w:rFonts w:cs="Times New Roman"/>
          <w:b/>
          <w:bCs/>
          <w:color w:val="000000" w:themeColor="text1"/>
          <w:sz w:val="20"/>
          <w:szCs w:val="20"/>
        </w:rPr>
      </w:pPr>
    </w:p>
    <w:p w14:paraId="26C3E42F" w14:textId="77777777" w:rsidR="00FB270A" w:rsidRPr="0003124D" w:rsidRDefault="00FB270A" w:rsidP="00FB270A">
      <w:pPr>
        <w:pStyle w:val="ListParagraph"/>
        <w:numPr>
          <w:ilvl w:val="0"/>
          <w:numId w:val="4"/>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Anderson JG, Bohay DR, Maskill JD, Gadkari KP, Hearty TM, Braaksma W, et al. Complications After Popliteal Block for Foot and Ankle Surgery. Foot Ankle Int. 2015 Oct;36(10):1138–43.</w:t>
      </w:r>
    </w:p>
    <w:p w14:paraId="4415AAE7" w14:textId="77777777" w:rsidR="00FB270A" w:rsidRPr="0003124D" w:rsidRDefault="00FB270A" w:rsidP="00FB270A">
      <w:pPr>
        <w:pStyle w:val="ListParagraph"/>
        <w:numPr>
          <w:ilvl w:val="0"/>
          <w:numId w:val="4"/>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Jeng CL, Torrillo TM, Rosenblatt MA. Complications of peripheral nerve blocks. British Journal of Anaesthesia. 2010 Dec;105: i97–107.</w:t>
      </w:r>
    </w:p>
    <w:p w14:paraId="0E4A32DE" w14:textId="77777777" w:rsidR="00FB270A" w:rsidRPr="0003124D" w:rsidRDefault="00FB270A" w:rsidP="00FB270A">
      <w:pPr>
        <w:pStyle w:val="ListParagraph"/>
        <w:numPr>
          <w:ilvl w:val="0"/>
          <w:numId w:val="4"/>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Andreae MH, Andreae DA. Regional anaesthesia to prevent chronic pain after surgery: a Cochrane systematic review and meta-analysis †. British Journal of Anaesthesia. 2013 Nov;111(5):711–20.</w:t>
      </w:r>
    </w:p>
    <w:p w14:paraId="4F8E250C" w14:textId="77777777" w:rsidR="00FB270A" w:rsidRPr="0003124D" w:rsidRDefault="00FB270A" w:rsidP="00FB270A">
      <w:pPr>
        <w:pStyle w:val="ListParagraph"/>
        <w:numPr>
          <w:ilvl w:val="0"/>
          <w:numId w:val="4"/>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lastRenderedPageBreak/>
        <w:t>Singelyn FJ. Single-injection applications for foot and ankle surgery. Best Practice &amp; Research Clinical Anaesthesiology. 2002 Jun;16(2):247–54.</w:t>
      </w:r>
    </w:p>
    <w:p w14:paraId="1B301241" w14:textId="77777777" w:rsidR="00FB270A" w:rsidRPr="0003124D" w:rsidRDefault="00FB270A" w:rsidP="00FB270A">
      <w:pPr>
        <w:pStyle w:val="ListParagraph"/>
        <w:numPr>
          <w:ilvl w:val="0"/>
          <w:numId w:val="4"/>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Saba R, Brovman EY, Kang D, Greenberg P, Kaye AD, Urman RD. A Contemporary Medicolegal Analysis of Injury Related to Peripheral Nerve Blocks. Pain Physician. 2019 Jul;22(4):389–400.</w:t>
      </w:r>
    </w:p>
    <w:p w14:paraId="1E3919BD" w14:textId="77777777" w:rsidR="00FB270A" w:rsidRPr="0003124D" w:rsidRDefault="00FB270A" w:rsidP="00FB270A">
      <w:pPr>
        <w:pStyle w:val="ListParagraph"/>
        <w:numPr>
          <w:ilvl w:val="0"/>
          <w:numId w:val="4"/>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Good RP, Snedden MH, Schieber FC, Polachek A. Effects of a preoperative femoral nerve block on pain management and rehabilitation after total knee arthroplasty. Am J Orthop (Belle Mead NJ). 2007 Oct;36(10):554–7.</w:t>
      </w:r>
    </w:p>
    <w:p w14:paraId="0F9D1E23" w14:textId="77777777" w:rsidR="00FB270A" w:rsidRPr="0003124D" w:rsidRDefault="00FB270A" w:rsidP="00FB270A">
      <w:pPr>
        <w:pStyle w:val="ListParagraph"/>
        <w:numPr>
          <w:ilvl w:val="0"/>
          <w:numId w:val="4"/>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Bugada D, Allegri M, Gemma M, Ambrosoli AL, Gazzerro G, Chiumiento F, et al. Effects of anaesthesia and analgesia on long-term outcome after total knee replacement: A prospective, observational, multicentre study. European Journal of Anaesthesiology. 2017 Oct;34(10):665–72.</w:t>
      </w:r>
    </w:p>
    <w:p w14:paraId="1999DA37" w14:textId="77777777" w:rsidR="00FB270A" w:rsidRPr="0003124D" w:rsidRDefault="00FB270A" w:rsidP="00FB270A">
      <w:pPr>
        <w:pStyle w:val="ListParagraph"/>
        <w:numPr>
          <w:ilvl w:val="0"/>
          <w:numId w:val="4"/>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Womble TN, Comadoll SM, Dugan AJ, Davenport DL, Ali SZ, Srinath A, et al. Is supplemental regional anesthesia associated with more complications and readmissions after ankle fracture surgery in the inpatient and outpatient setting? Foot and Ankle Surgery. 2021 Jul;27(5):581–7.</w:t>
      </w:r>
    </w:p>
    <w:p w14:paraId="3E553DFB" w14:textId="77777777" w:rsidR="00FB270A" w:rsidRPr="0003124D" w:rsidRDefault="00FB270A" w:rsidP="00FB270A">
      <w:pPr>
        <w:pStyle w:val="ListParagraph"/>
        <w:numPr>
          <w:ilvl w:val="0"/>
          <w:numId w:val="4"/>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Puljak L, Kojundzic SL, Hogan QH, Sapunar D. Lidocaine Injection into the Rat Dorsal Root Ganglion Causes Neuroinflammation. Anesthesia &amp; Analgesia. 2009 Mar;108(3):1021–6.</w:t>
      </w:r>
    </w:p>
    <w:p w14:paraId="6737A364" w14:textId="77777777" w:rsidR="00FB270A" w:rsidRPr="0003124D" w:rsidRDefault="00FB270A" w:rsidP="00FB270A">
      <w:pPr>
        <w:pStyle w:val="ListParagraph"/>
        <w:numPr>
          <w:ilvl w:val="0"/>
          <w:numId w:val="4"/>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Sala-Blanch X, López AM, Pomés J, Valls-Sole J, García AI, Hadzic A. No Clinical or Electrophysiologic Evidence of Nerve Injury after Intraneural Injection during Sciatic Popliteal Block. Anesthesiology. 2011 Sep 1;115(3):589–95.</w:t>
      </w:r>
    </w:p>
    <w:p w14:paraId="5C843208" w14:textId="77777777" w:rsidR="00FB270A" w:rsidRPr="0003124D" w:rsidRDefault="00FB270A" w:rsidP="00FB270A">
      <w:pPr>
        <w:pStyle w:val="ListParagraph"/>
        <w:numPr>
          <w:ilvl w:val="0"/>
          <w:numId w:val="4"/>
        </w:numPr>
        <w:tabs>
          <w:tab w:val="left" w:pos="142"/>
          <w:tab w:val="left" w:pos="284"/>
        </w:tabs>
        <w:spacing w:after="0" w:line="360" w:lineRule="auto"/>
        <w:ind w:left="0" w:firstLine="0"/>
        <w:jc w:val="both"/>
        <w:rPr>
          <w:rFonts w:eastAsia="Times New Roman" w:cs="Times New Roman"/>
          <w:color w:val="000000" w:themeColor="text1"/>
          <w:sz w:val="20"/>
          <w:szCs w:val="20"/>
          <w:lang w:eastAsia="en-AU"/>
        </w:rPr>
      </w:pPr>
      <w:r w:rsidRPr="0003124D">
        <w:rPr>
          <w:rFonts w:eastAsia="Times New Roman" w:cs="Times New Roman"/>
          <w:color w:val="000000" w:themeColor="text1"/>
          <w:sz w:val="20"/>
          <w:szCs w:val="20"/>
          <w:lang w:eastAsia="en-AU"/>
        </w:rPr>
        <w:t>Sala-Blanch X, López AM, Pomés J, Valls-Sole J, García AI, Hadzic A. No Clinical or Electrophysiologic Evidence of Nerve Injury after Intraneural Injection during Sciatic Popliteal Block. Anesthesiology. 2011 Sep 1;115(3):589–95.</w:t>
      </w:r>
    </w:p>
    <w:p w14:paraId="56803CAA" w14:textId="77777777" w:rsidR="00FB270A" w:rsidRPr="000526ED" w:rsidRDefault="00FB270A" w:rsidP="00FB270A">
      <w:pPr>
        <w:pStyle w:val="ListParagraph"/>
        <w:numPr>
          <w:ilvl w:val="0"/>
          <w:numId w:val="4"/>
        </w:numPr>
        <w:tabs>
          <w:tab w:val="left" w:pos="142"/>
          <w:tab w:val="left" w:pos="284"/>
          <w:tab w:val="left" w:pos="426"/>
        </w:tabs>
        <w:spacing w:after="0" w:line="360" w:lineRule="auto"/>
        <w:ind w:left="0" w:firstLine="0"/>
        <w:jc w:val="both"/>
        <w:rPr>
          <w:rFonts w:cs="Times New Roman"/>
          <w:b/>
          <w:bCs/>
          <w:color w:val="000000" w:themeColor="text1"/>
          <w:szCs w:val="24"/>
        </w:rPr>
      </w:pPr>
      <w:r w:rsidRPr="000526ED">
        <w:rPr>
          <w:rFonts w:eastAsia="Times New Roman" w:cs="Times New Roman"/>
          <w:color w:val="000000" w:themeColor="text1"/>
          <w:sz w:val="20"/>
          <w:szCs w:val="20"/>
          <w:lang w:eastAsia="en-AU"/>
        </w:rPr>
        <w:t>Chelly JE, Delaunay L, Williams B, Borghi B. Outpatient lower extremity infusions. Best Practice &amp; Research Clinical Anaesthesiology. 2002 Jun;16(2):311–20.</w:t>
      </w:r>
    </w:p>
    <w:p w14:paraId="790E676A" w14:textId="77777777" w:rsidR="00E30156" w:rsidRDefault="00E30156"/>
    <w:sectPr w:rsidR="00E30156" w:rsidSect="00A64D0C">
      <w:pgSz w:w="11906" w:h="16838"/>
      <w:pgMar w:top="1134" w:right="1247" w:bottom="127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142B7"/>
    <w:multiLevelType w:val="multilevel"/>
    <w:tmpl w:val="72B4D7A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9C62947"/>
    <w:multiLevelType w:val="hybridMultilevel"/>
    <w:tmpl w:val="DE52753A"/>
    <w:lvl w:ilvl="0" w:tplc="D372332C">
      <w:numFmt w:val="bullet"/>
      <w:pStyle w:val="Listbulletpoint"/>
      <w:lvlText w:val=""/>
      <w:lvlJc w:val="left"/>
      <w:pPr>
        <w:ind w:left="1287" w:hanging="360"/>
      </w:pPr>
      <w:rPr>
        <w:rFonts w:ascii="Symbol" w:eastAsiaTheme="minorHAnsi" w:hAnsi="Symbol" w:cstheme="minorBidi"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 w15:restartNumberingAfterBreak="0">
    <w:nsid w:val="177E5F68"/>
    <w:multiLevelType w:val="multilevel"/>
    <w:tmpl w:val="E194A44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0C766A"/>
    <w:multiLevelType w:val="hybridMultilevel"/>
    <w:tmpl w:val="A3CC4AC6"/>
    <w:lvl w:ilvl="0" w:tplc="21866DF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43096A0F"/>
    <w:multiLevelType w:val="hybridMultilevel"/>
    <w:tmpl w:val="4A16B292"/>
    <w:lvl w:ilvl="0" w:tplc="B96623F8">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48151418"/>
    <w:multiLevelType w:val="hybridMultilevel"/>
    <w:tmpl w:val="34ECB88C"/>
    <w:lvl w:ilvl="0" w:tplc="669A8516">
      <w:start w:val="1"/>
      <w:numFmt w:val="decimal"/>
      <w:lvlText w:val="%1-"/>
      <w:lvlJc w:val="left"/>
      <w:pPr>
        <w:ind w:left="720" w:hanging="360"/>
      </w:pPr>
      <w:rPr>
        <w:rFonts w:hint="default"/>
        <w:b w:val="0"/>
        <w:bCs w:val="0"/>
        <w:sz w:val="20"/>
        <w:szCs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73DF0DEA"/>
    <w:multiLevelType w:val="multilevel"/>
    <w:tmpl w:val="E380372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1D6166"/>
    <w:multiLevelType w:val="multilevel"/>
    <w:tmpl w:val="93F2286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922331896">
    <w:abstractNumId w:val="1"/>
  </w:num>
  <w:num w:numId="2" w16cid:durableId="226108896">
    <w:abstractNumId w:val="4"/>
  </w:num>
  <w:num w:numId="3" w16cid:durableId="1267886269">
    <w:abstractNumId w:val="3"/>
  </w:num>
  <w:num w:numId="4" w16cid:durableId="1545487712">
    <w:abstractNumId w:val="5"/>
  </w:num>
  <w:num w:numId="5" w16cid:durableId="989332244">
    <w:abstractNumId w:val="0"/>
  </w:num>
  <w:num w:numId="6" w16cid:durableId="932905633">
    <w:abstractNumId w:val="6"/>
  </w:num>
  <w:num w:numId="7" w16cid:durableId="65031172">
    <w:abstractNumId w:val="2"/>
  </w:num>
  <w:num w:numId="8" w16cid:durableId="20414678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70A"/>
    <w:rsid w:val="00E30156"/>
    <w:rsid w:val="00FB2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C8D3E"/>
  <w15:chartTrackingRefBased/>
  <w15:docId w15:val="{B0847700-2AB6-4DD8-9B26-53923A4B2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270A"/>
    <w:rPr>
      <w:rFonts w:ascii="Times New Roman" w:hAnsi="Times New Roman"/>
      <w:sz w:val="24"/>
    </w:rPr>
  </w:style>
  <w:style w:type="paragraph" w:styleId="Heading1">
    <w:name w:val="heading 1"/>
    <w:basedOn w:val="FigureLegend"/>
    <w:next w:val="Normal"/>
    <w:link w:val="Heading1Char"/>
    <w:uiPriority w:val="9"/>
    <w:qFormat/>
    <w:rsid w:val="00FB270A"/>
    <w:pPr>
      <w:outlineLvl w:val="0"/>
    </w:pPr>
    <w:rPr>
      <w:b/>
      <w:i w:val="0"/>
      <w:sz w:val="32"/>
      <w:lang w:eastAsia="en-AU"/>
    </w:rPr>
  </w:style>
  <w:style w:type="paragraph" w:styleId="Heading2">
    <w:name w:val="heading 2"/>
    <w:basedOn w:val="Normal"/>
    <w:next w:val="Normal"/>
    <w:link w:val="Heading2Char"/>
    <w:uiPriority w:val="9"/>
    <w:unhideWhenUsed/>
    <w:qFormat/>
    <w:rsid w:val="00FB270A"/>
    <w:pPr>
      <w:keepNext/>
      <w:keepLines/>
      <w:spacing w:before="120" w:after="120" w:line="360" w:lineRule="auto"/>
      <w:contextualSpacing/>
      <w:jc w:val="both"/>
      <w:outlineLvl w:val="1"/>
    </w:pPr>
    <w:rPr>
      <w:rFonts w:eastAsiaTheme="majorEastAsia" w:cs="Times New Roman"/>
      <w:b/>
      <w:bCs/>
      <w:i/>
      <w:iCs/>
      <w:color w:val="000000" w:themeColor="text1"/>
      <w:szCs w:val="24"/>
    </w:rPr>
  </w:style>
  <w:style w:type="paragraph" w:styleId="Heading3">
    <w:name w:val="heading 3"/>
    <w:basedOn w:val="Heading4"/>
    <w:link w:val="Heading3Char"/>
    <w:uiPriority w:val="9"/>
    <w:qFormat/>
    <w:rsid w:val="00FB270A"/>
    <w:pPr>
      <w:spacing w:line="360" w:lineRule="auto"/>
      <w:outlineLvl w:val="2"/>
    </w:pPr>
    <w:rPr>
      <w:rFonts w:ascii="Times New Roman" w:hAnsi="Times New Roman" w:cs="Times New Roman"/>
      <w:szCs w:val="24"/>
    </w:rPr>
  </w:style>
  <w:style w:type="paragraph" w:styleId="Heading4">
    <w:name w:val="heading 4"/>
    <w:basedOn w:val="Normal"/>
    <w:next w:val="Normal"/>
    <w:link w:val="Heading4Char"/>
    <w:uiPriority w:val="9"/>
    <w:unhideWhenUsed/>
    <w:qFormat/>
    <w:rsid w:val="00FB270A"/>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FB270A"/>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270A"/>
    <w:rPr>
      <w:rFonts w:ascii="Times New Roman" w:hAnsi="Times New Roman"/>
      <w:b/>
      <w:sz w:val="32"/>
      <w:lang w:eastAsia="en-AU"/>
    </w:rPr>
  </w:style>
  <w:style w:type="character" w:customStyle="1" w:styleId="Heading2Char">
    <w:name w:val="Heading 2 Char"/>
    <w:basedOn w:val="DefaultParagraphFont"/>
    <w:link w:val="Heading2"/>
    <w:uiPriority w:val="9"/>
    <w:rsid w:val="00FB270A"/>
    <w:rPr>
      <w:rFonts w:ascii="Times New Roman" w:eastAsiaTheme="majorEastAsia" w:hAnsi="Times New Roman" w:cs="Times New Roman"/>
      <w:b/>
      <w:bCs/>
      <w:i/>
      <w:iCs/>
      <w:color w:val="000000" w:themeColor="text1"/>
      <w:sz w:val="24"/>
      <w:szCs w:val="24"/>
    </w:rPr>
  </w:style>
  <w:style w:type="character" w:customStyle="1" w:styleId="Heading3Char">
    <w:name w:val="Heading 3 Char"/>
    <w:basedOn w:val="DefaultParagraphFont"/>
    <w:link w:val="Heading3"/>
    <w:uiPriority w:val="9"/>
    <w:rsid w:val="00FB270A"/>
    <w:rPr>
      <w:rFonts w:ascii="Times New Roman" w:eastAsiaTheme="majorEastAsia" w:hAnsi="Times New Roman" w:cs="Times New Roman"/>
      <w:i/>
      <w:iCs/>
      <w:color w:val="2F5496" w:themeColor="accent1" w:themeShade="BF"/>
      <w:sz w:val="24"/>
      <w:szCs w:val="24"/>
    </w:rPr>
  </w:style>
  <w:style w:type="character" w:customStyle="1" w:styleId="Heading4Char">
    <w:name w:val="Heading 4 Char"/>
    <w:basedOn w:val="DefaultParagraphFont"/>
    <w:link w:val="Heading4"/>
    <w:uiPriority w:val="9"/>
    <w:rsid w:val="00FB270A"/>
    <w:rPr>
      <w:rFonts w:asciiTheme="majorHAnsi" w:eastAsiaTheme="majorEastAsia" w:hAnsiTheme="majorHAnsi" w:cstheme="majorBidi"/>
      <w:i/>
      <w:iCs/>
      <w:color w:val="2F5496" w:themeColor="accent1" w:themeShade="BF"/>
      <w:sz w:val="24"/>
    </w:rPr>
  </w:style>
  <w:style w:type="character" w:customStyle="1" w:styleId="Heading5Char">
    <w:name w:val="Heading 5 Char"/>
    <w:basedOn w:val="DefaultParagraphFont"/>
    <w:link w:val="Heading5"/>
    <w:uiPriority w:val="9"/>
    <w:rsid w:val="00FB270A"/>
    <w:rPr>
      <w:rFonts w:asciiTheme="majorHAnsi" w:eastAsiaTheme="majorEastAsia" w:hAnsiTheme="majorHAnsi" w:cstheme="majorBidi"/>
      <w:color w:val="2F5496" w:themeColor="accent1" w:themeShade="BF"/>
      <w:sz w:val="24"/>
    </w:rPr>
  </w:style>
  <w:style w:type="paragraph" w:styleId="NormalWeb">
    <w:name w:val="Normal (Web)"/>
    <w:basedOn w:val="Normal"/>
    <w:uiPriority w:val="99"/>
    <w:unhideWhenUsed/>
    <w:rsid w:val="00FB270A"/>
    <w:pPr>
      <w:spacing w:before="100" w:beforeAutospacing="1" w:after="100" w:afterAutospacing="1" w:line="240" w:lineRule="auto"/>
    </w:pPr>
    <w:rPr>
      <w:rFonts w:eastAsia="Times New Roman" w:cs="Times New Roman"/>
      <w:szCs w:val="24"/>
      <w:lang w:eastAsia="en-AU"/>
    </w:rPr>
  </w:style>
  <w:style w:type="character" w:styleId="Hyperlink">
    <w:name w:val="Hyperlink"/>
    <w:basedOn w:val="DefaultParagraphFont"/>
    <w:uiPriority w:val="99"/>
    <w:unhideWhenUsed/>
    <w:rsid w:val="00FB270A"/>
    <w:rPr>
      <w:color w:val="0000FF"/>
      <w:u w:val="single"/>
    </w:rPr>
  </w:style>
  <w:style w:type="character" w:customStyle="1" w:styleId="UnresolvedMention1">
    <w:name w:val="Unresolved Mention1"/>
    <w:basedOn w:val="DefaultParagraphFont"/>
    <w:uiPriority w:val="99"/>
    <w:semiHidden/>
    <w:unhideWhenUsed/>
    <w:rsid w:val="00FB270A"/>
    <w:rPr>
      <w:color w:val="605E5C"/>
      <w:shd w:val="clear" w:color="auto" w:fill="E1DFDD"/>
    </w:rPr>
  </w:style>
  <w:style w:type="paragraph" w:styleId="ListParagraph">
    <w:name w:val="List Paragraph"/>
    <w:basedOn w:val="Normal"/>
    <w:uiPriority w:val="34"/>
    <w:qFormat/>
    <w:rsid w:val="00FB270A"/>
    <w:pPr>
      <w:ind w:left="720"/>
      <w:contextualSpacing/>
    </w:pPr>
  </w:style>
  <w:style w:type="character" w:customStyle="1" w:styleId="hh">
    <w:name w:val="hh"/>
    <w:basedOn w:val="DefaultParagraphFont"/>
    <w:rsid w:val="00FB270A"/>
  </w:style>
  <w:style w:type="character" w:customStyle="1" w:styleId="ng-star-inserted">
    <w:name w:val="ng-star-inserted"/>
    <w:basedOn w:val="DefaultParagraphFont"/>
    <w:rsid w:val="00FB270A"/>
  </w:style>
  <w:style w:type="character" w:customStyle="1" w:styleId="value">
    <w:name w:val="value"/>
    <w:basedOn w:val="DefaultParagraphFont"/>
    <w:rsid w:val="00FB270A"/>
  </w:style>
  <w:style w:type="character" w:customStyle="1" w:styleId="show-more-wrapper">
    <w:name w:val="show-more-wrapper"/>
    <w:basedOn w:val="DefaultParagraphFont"/>
    <w:rsid w:val="00FB270A"/>
  </w:style>
  <w:style w:type="character" w:styleId="Emphasis">
    <w:name w:val="Emphasis"/>
    <w:basedOn w:val="DefaultParagraphFont"/>
    <w:uiPriority w:val="20"/>
    <w:qFormat/>
    <w:rsid w:val="00FB270A"/>
    <w:rPr>
      <w:i/>
      <w:iCs/>
    </w:rPr>
  </w:style>
  <w:style w:type="table" w:customStyle="1" w:styleId="PlainTable11">
    <w:name w:val="Plain Table 11"/>
    <w:basedOn w:val="TableNormal"/>
    <w:uiPriority w:val="41"/>
    <w:rsid w:val="00FB27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rsid w:val="00FB27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fm-vol-iss-date">
    <w:name w:val="fm-vol-iss-date"/>
    <w:basedOn w:val="DefaultParagraphFont"/>
    <w:rsid w:val="00FB270A"/>
  </w:style>
  <w:style w:type="character" w:customStyle="1" w:styleId="doi">
    <w:name w:val="doi"/>
    <w:basedOn w:val="DefaultParagraphFont"/>
    <w:rsid w:val="00FB270A"/>
  </w:style>
  <w:style w:type="character" w:customStyle="1" w:styleId="fm-citation-ids-label">
    <w:name w:val="fm-citation-ids-label"/>
    <w:basedOn w:val="DefaultParagraphFont"/>
    <w:rsid w:val="00FB270A"/>
  </w:style>
  <w:style w:type="character" w:customStyle="1" w:styleId="authors-list-item">
    <w:name w:val="authors-list-item"/>
    <w:basedOn w:val="DefaultParagraphFont"/>
    <w:rsid w:val="00FB270A"/>
  </w:style>
  <w:style w:type="character" w:customStyle="1" w:styleId="author-sup-separator">
    <w:name w:val="author-sup-separator"/>
    <w:basedOn w:val="DefaultParagraphFont"/>
    <w:rsid w:val="00FB270A"/>
  </w:style>
  <w:style w:type="character" w:customStyle="1" w:styleId="comma">
    <w:name w:val="comma"/>
    <w:basedOn w:val="DefaultParagraphFont"/>
    <w:rsid w:val="00FB270A"/>
  </w:style>
  <w:style w:type="character" w:customStyle="1" w:styleId="Title1">
    <w:name w:val="Title1"/>
    <w:basedOn w:val="DefaultParagraphFont"/>
    <w:rsid w:val="00FB270A"/>
  </w:style>
  <w:style w:type="character" w:customStyle="1" w:styleId="identifier">
    <w:name w:val="identifier"/>
    <w:basedOn w:val="DefaultParagraphFont"/>
    <w:rsid w:val="00FB270A"/>
  </w:style>
  <w:style w:type="character" w:customStyle="1" w:styleId="id-label">
    <w:name w:val="id-label"/>
    <w:basedOn w:val="DefaultParagraphFont"/>
    <w:rsid w:val="00FB270A"/>
  </w:style>
  <w:style w:type="character" w:styleId="Strong">
    <w:name w:val="Strong"/>
    <w:basedOn w:val="DefaultParagraphFont"/>
    <w:uiPriority w:val="22"/>
    <w:qFormat/>
    <w:rsid w:val="00FB270A"/>
    <w:rPr>
      <w:b/>
      <w:bCs/>
    </w:rPr>
  </w:style>
  <w:style w:type="character" w:styleId="FollowedHyperlink">
    <w:name w:val="FollowedHyperlink"/>
    <w:basedOn w:val="DefaultParagraphFont"/>
    <w:uiPriority w:val="99"/>
    <w:semiHidden/>
    <w:unhideWhenUsed/>
    <w:rsid w:val="00FB270A"/>
    <w:rPr>
      <w:color w:val="954F72" w:themeColor="followedHyperlink"/>
      <w:u w:val="single"/>
    </w:rPr>
  </w:style>
  <w:style w:type="paragraph" w:styleId="Bibliography">
    <w:name w:val="Bibliography"/>
    <w:basedOn w:val="Normal"/>
    <w:next w:val="Normal"/>
    <w:link w:val="BibliographyChar"/>
    <w:uiPriority w:val="37"/>
    <w:unhideWhenUsed/>
    <w:rsid w:val="00FB270A"/>
    <w:pPr>
      <w:tabs>
        <w:tab w:val="left" w:pos="504"/>
      </w:tabs>
      <w:spacing w:after="240" w:line="240" w:lineRule="auto"/>
      <w:ind w:left="504" w:hanging="504"/>
    </w:pPr>
  </w:style>
  <w:style w:type="paragraph" w:styleId="Header">
    <w:name w:val="header"/>
    <w:basedOn w:val="Normal"/>
    <w:link w:val="HeaderChar"/>
    <w:uiPriority w:val="99"/>
    <w:unhideWhenUsed/>
    <w:rsid w:val="00FB27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270A"/>
    <w:rPr>
      <w:rFonts w:ascii="Times New Roman" w:hAnsi="Times New Roman"/>
      <w:sz w:val="24"/>
    </w:rPr>
  </w:style>
  <w:style w:type="paragraph" w:styleId="Footer">
    <w:name w:val="footer"/>
    <w:basedOn w:val="Normal"/>
    <w:link w:val="FooterChar"/>
    <w:uiPriority w:val="99"/>
    <w:unhideWhenUsed/>
    <w:rsid w:val="00FB27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270A"/>
    <w:rPr>
      <w:rFonts w:ascii="Times New Roman" w:hAnsi="Times New Roman"/>
      <w:sz w:val="24"/>
    </w:rPr>
  </w:style>
  <w:style w:type="paragraph" w:styleId="TOCHeading">
    <w:name w:val="TOC Heading"/>
    <w:basedOn w:val="Heading1"/>
    <w:next w:val="Normal"/>
    <w:uiPriority w:val="39"/>
    <w:unhideWhenUsed/>
    <w:qFormat/>
    <w:rsid w:val="00FB270A"/>
    <w:pPr>
      <w:outlineLvl w:val="9"/>
    </w:pPr>
    <w:rPr>
      <w:lang w:val="en-US"/>
    </w:rPr>
  </w:style>
  <w:style w:type="paragraph" w:styleId="TOC1">
    <w:name w:val="toc 1"/>
    <w:basedOn w:val="Normal"/>
    <w:next w:val="Normal"/>
    <w:autoRedefine/>
    <w:uiPriority w:val="39"/>
    <w:unhideWhenUsed/>
    <w:rsid w:val="00FB270A"/>
    <w:pPr>
      <w:spacing w:before="240" w:after="120"/>
    </w:pPr>
    <w:rPr>
      <w:rFonts w:asciiTheme="minorHAnsi" w:hAnsiTheme="minorHAnsi" w:cstheme="minorHAnsi"/>
      <w:b/>
      <w:bCs/>
      <w:sz w:val="20"/>
      <w:szCs w:val="20"/>
    </w:rPr>
  </w:style>
  <w:style w:type="paragraph" w:styleId="TOC2">
    <w:name w:val="toc 2"/>
    <w:basedOn w:val="Normal"/>
    <w:next w:val="Normal"/>
    <w:autoRedefine/>
    <w:uiPriority w:val="39"/>
    <w:unhideWhenUsed/>
    <w:rsid w:val="00FB270A"/>
    <w:pPr>
      <w:spacing w:before="120" w:after="0"/>
      <w:ind w:left="240"/>
    </w:pPr>
    <w:rPr>
      <w:rFonts w:asciiTheme="minorHAnsi" w:hAnsiTheme="minorHAnsi" w:cstheme="minorHAnsi"/>
      <w:i/>
      <w:iCs/>
      <w:sz w:val="20"/>
      <w:szCs w:val="20"/>
    </w:rPr>
  </w:style>
  <w:style w:type="paragraph" w:styleId="NoSpacing">
    <w:name w:val="No Spacing"/>
    <w:aliases w:val="1.5 Spacing"/>
    <w:link w:val="NoSpacingChar"/>
    <w:uiPriority w:val="1"/>
    <w:qFormat/>
    <w:rsid w:val="00FB270A"/>
    <w:pPr>
      <w:spacing w:after="0" w:line="240" w:lineRule="auto"/>
    </w:pPr>
    <w:rPr>
      <w:rFonts w:eastAsiaTheme="minorEastAsia"/>
      <w:lang w:val="en-US"/>
    </w:rPr>
  </w:style>
  <w:style w:type="character" w:customStyle="1" w:styleId="NoSpacingChar">
    <w:name w:val="No Spacing Char"/>
    <w:aliases w:val="1.5 Spacing Char"/>
    <w:basedOn w:val="DefaultParagraphFont"/>
    <w:link w:val="NoSpacing"/>
    <w:uiPriority w:val="1"/>
    <w:rsid w:val="00FB270A"/>
    <w:rPr>
      <w:rFonts w:eastAsiaTheme="minorEastAsia"/>
      <w:lang w:val="en-US"/>
    </w:rPr>
  </w:style>
  <w:style w:type="paragraph" w:styleId="Revision">
    <w:name w:val="Revision"/>
    <w:hidden/>
    <w:uiPriority w:val="99"/>
    <w:semiHidden/>
    <w:rsid w:val="00FB270A"/>
    <w:pPr>
      <w:spacing w:after="0" w:line="240" w:lineRule="auto"/>
    </w:pPr>
  </w:style>
  <w:style w:type="character" w:styleId="CommentReference">
    <w:name w:val="annotation reference"/>
    <w:basedOn w:val="DefaultParagraphFont"/>
    <w:uiPriority w:val="99"/>
    <w:semiHidden/>
    <w:unhideWhenUsed/>
    <w:rsid w:val="00FB270A"/>
    <w:rPr>
      <w:sz w:val="16"/>
      <w:szCs w:val="16"/>
    </w:rPr>
  </w:style>
  <w:style w:type="paragraph" w:styleId="CommentText">
    <w:name w:val="annotation text"/>
    <w:basedOn w:val="Normal"/>
    <w:link w:val="CommentTextChar"/>
    <w:uiPriority w:val="99"/>
    <w:unhideWhenUsed/>
    <w:rsid w:val="00FB270A"/>
    <w:pPr>
      <w:spacing w:line="240" w:lineRule="auto"/>
    </w:pPr>
    <w:rPr>
      <w:sz w:val="20"/>
      <w:szCs w:val="20"/>
    </w:rPr>
  </w:style>
  <w:style w:type="character" w:customStyle="1" w:styleId="CommentTextChar">
    <w:name w:val="Comment Text Char"/>
    <w:basedOn w:val="DefaultParagraphFont"/>
    <w:link w:val="CommentText"/>
    <w:uiPriority w:val="99"/>
    <w:rsid w:val="00FB270A"/>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B270A"/>
    <w:rPr>
      <w:b/>
      <w:bCs/>
    </w:rPr>
  </w:style>
  <w:style w:type="character" w:customStyle="1" w:styleId="CommentSubjectChar">
    <w:name w:val="Comment Subject Char"/>
    <w:basedOn w:val="CommentTextChar"/>
    <w:link w:val="CommentSubject"/>
    <w:uiPriority w:val="99"/>
    <w:semiHidden/>
    <w:rsid w:val="00FB270A"/>
    <w:rPr>
      <w:rFonts w:ascii="Times New Roman" w:hAnsi="Times New Roman"/>
      <w:b/>
      <w:bCs/>
      <w:sz w:val="20"/>
      <w:szCs w:val="20"/>
    </w:rPr>
  </w:style>
  <w:style w:type="character" w:customStyle="1" w:styleId="pg-2fc4">
    <w:name w:val="pg-2fc4"/>
    <w:basedOn w:val="DefaultParagraphFont"/>
    <w:rsid w:val="00FB270A"/>
  </w:style>
  <w:style w:type="paragraph" w:styleId="BalloonText">
    <w:name w:val="Balloon Text"/>
    <w:basedOn w:val="Normal"/>
    <w:link w:val="BalloonTextChar"/>
    <w:uiPriority w:val="99"/>
    <w:semiHidden/>
    <w:unhideWhenUsed/>
    <w:rsid w:val="00FB27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270A"/>
    <w:rPr>
      <w:rFonts w:ascii="Tahoma" w:hAnsi="Tahoma" w:cs="Tahoma"/>
      <w:sz w:val="16"/>
      <w:szCs w:val="16"/>
    </w:rPr>
  </w:style>
  <w:style w:type="paragraph" w:customStyle="1" w:styleId="pf0">
    <w:name w:val="pf0"/>
    <w:basedOn w:val="Normal"/>
    <w:link w:val="pf0Char"/>
    <w:rsid w:val="00FB270A"/>
    <w:pPr>
      <w:spacing w:before="100" w:beforeAutospacing="1" w:after="100" w:afterAutospacing="1" w:line="240" w:lineRule="auto"/>
    </w:pPr>
    <w:rPr>
      <w:rFonts w:eastAsia="Times New Roman" w:cs="Times New Roman"/>
      <w:szCs w:val="24"/>
      <w:lang w:eastAsia="en-AU"/>
    </w:rPr>
  </w:style>
  <w:style w:type="character" w:customStyle="1" w:styleId="cf01">
    <w:name w:val="cf01"/>
    <w:basedOn w:val="DefaultParagraphFont"/>
    <w:rsid w:val="00FB270A"/>
    <w:rPr>
      <w:rFonts w:ascii="Segoe UI" w:hAnsi="Segoe UI" w:cs="Segoe UI" w:hint="default"/>
      <w:sz w:val="18"/>
      <w:szCs w:val="18"/>
    </w:rPr>
  </w:style>
  <w:style w:type="table" w:styleId="TableGrid">
    <w:name w:val="Table Grid"/>
    <w:basedOn w:val="TableNormal"/>
    <w:uiPriority w:val="39"/>
    <w:rsid w:val="00FB27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FB27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FB27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FB27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5Dark">
    <w:name w:val="Grid Table 5 Dark"/>
    <w:basedOn w:val="TableNormal"/>
    <w:uiPriority w:val="50"/>
    <w:rsid w:val="00FB270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customStyle="1" w:styleId="p">
    <w:name w:val="p"/>
    <w:basedOn w:val="Normal"/>
    <w:rsid w:val="00FB270A"/>
    <w:pPr>
      <w:spacing w:before="100" w:beforeAutospacing="1" w:after="100" w:afterAutospacing="1" w:line="240" w:lineRule="auto"/>
    </w:pPr>
    <w:rPr>
      <w:rFonts w:eastAsia="Times New Roman" w:cs="Times New Roman"/>
      <w:szCs w:val="24"/>
      <w:lang w:eastAsia="en-AU"/>
    </w:rPr>
  </w:style>
  <w:style w:type="character" w:customStyle="1" w:styleId="UnresolvedMention2">
    <w:name w:val="Unresolved Mention2"/>
    <w:basedOn w:val="DefaultParagraphFont"/>
    <w:uiPriority w:val="99"/>
    <w:semiHidden/>
    <w:unhideWhenUsed/>
    <w:rsid w:val="00FB270A"/>
    <w:rPr>
      <w:color w:val="605E5C"/>
      <w:shd w:val="clear" w:color="auto" w:fill="E1DFDD"/>
    </w:rPr>
  </w:style>
  <w:style w:type="paragraph" w:styleId="TOC3">
    <w:name w:val="toc 3"/>
    <w:basedOn w:val="Normal"/>
    <w:next w:val="Normal"/>
    <w:autoRedefine/>
    <w:uiPriority w:val="39"/>
    <w:unhideWhenUsed/>
    <w:rsid w:val="00FB270A"/>
    <w:pPr>
      <w:spacing w:after="0"/>
      <w:ind w:left="480"/>
    </w:pPr>
    <w:rPr>
      <w:rFonts w:asciiTheme="minorHAnsi" w:hAnsiTheme="minorHAnsi" w:cstheme="minorHAnsi"/>
      <w:sz w:val="20"/>
      <w:szCs w:val="20"/>
    </w:rPr>
  </w:style>
  <w:style w:type="paragraph" w:styleId="TOC4">
    <w:name w:val="toc 4"/>
    <w:basedOn w:val="Normal"/>
    <w:next w:val="Normal"/>
    <w:autoRedefine/>
    <w:uiPriority w:val="39"/>
    <w:unhideWhenUsed/>
    <w:rsid w:val="00FB270A"/>
    <w:pPr>
      <w:spacing w:after="0"/>
      <w:ind w:left="720"/>
    </w:pPr>
    <w:rPr>
      <w:rFonts w:asciiTheme="minorHAnsi" w:hAnsiTheme="minorHAnsi" w:cstheme="minorHAnsi"/>
      <w:sz w:val="20"/>
      <w:szCs w:val="20"/>
    </w:rPr>
  </w:style>
  <w:style w:type="paragraph" w:styleId="TOC5">
    <w:name w:val="toc 5"/>
    <w:basedOn w:val="Normal"/>
    <w:next w:val="Normal"/>
    <w:autoRedefine/>
    <w:uiPriority w:val="39"/>
    <w:unhideWhenUsed/>
    <w:rsid w:val="00FB270A"/>
    <w:pPr>
      <w:spacing w:after="0"/>
      <w:ind w:left="960"/>
    </w:pPr>
    <w:rPr>
      <w:rFonts w:asciiTheme="minorHAnsi" w:hAnsiTheme="minorHAnsi" w:cstheme="minorHAnsi"/>
      <w:sz w:val="20"/>
      <w:szCs w:val="20"/>
    </w:rPr>
  </w:style>
  <w:style w:type="paragraph" w:styleId="TOC6">
    <w:name w:val="toc 6"/>
    <w:basedOn w:val="Normal"/>
    <w:next w:val="Normal"/>
    <w:autoRedefine/>
    <w:uiPriority w:val="39"/>
    <w:unhideWhenUsed/>
    <w:rsid w:val="00FB270A"/>
    <w:pPr>
      <w:spacing w:after="0"/>
      <w:ind w:left="1200"/>
    </w:pPr>
    <w:rPr>
      <w:rFonts w:asciiTheme="minorHAnsi" w:hAnsiTheme="minorHAnsi" w:cstheme="minorHAnsi"/>
      <w:sz w:val="20"/>
      <w:szCs w:val="20"/>
    </w:rPr>
  </w:style>
  <w:style w:type="paragraph" w:styleId="TOC7">
    <w:name w:val="toc 7"/>
    <w:basedOn w:val="Normal"/>
    <w:next w:val="Normal"/>
    <w:autoRedefine/>
    <w:uiPriority w:val="39"/>
    <w:unhideWhenUsed/>
    <w:rsid w:val="00FB270A"/>
    <w:pPr>
      <w:spacing w:after="0"/>
      <w:ind w:left="1440"/>
    </w:pPr>
    <w:rPr>
      <w:rFonts w:asciiTheme="minorHAnsi" w:hAnsiTheme="minorHAnsi" w:cstheme="minorHAnsi"/>
      <w:sz w:val="20"/>
      <w:szCs w:val="20"/>
    </w:rPr>
  </w:style>
  <w:style w:type="paragraph" w:styleId="TOC8">
    <w:name w:val="toc 8"/>
    <w:basedOn w:val="Normal"/>
    <w:next w:val="Normal"/>
    <w:autoRedefine/>
    <w:uiPriority w:val="39"/>
    <w:unhideWhenUsed/>
    <w:rsid w:val="00FB270A"/>
    <w:pPr>
      <w:spacing w:after="0"/>
      <w:ind w:left="1680"/>
    </w:pPr>
    <w:rPr>
      <w:rFonts w:asciiTheme="minorHAnsi" w:hAnsiTheme="minorHAnsi" w:cstheme="minorHAnsi"/>
      <w:sz w:val="20"/>
      <w:szCs w:val="20"/>
    </w:rPr>
  </w:style>
  <w:style w:type="paragraph" w:styleId="TOC9">
    <w:name w:val="toc 9"/>
    <w:basedOn w:val="Normal"/>
    <w:next w:val="Normal"/>
    <w:autoRedefine/>
    <w:uiPriority w:val="39"/>
    <w:unhideWhenUsed/>
    <w:rsid w:val="00FB270A"/>
    <w:pPr>
      <w:spacing w:after="0"/>
      <w:ind w:left="1920"/>
    </w:pPr>
    <w:rPr>
      <w:rFonts w:asciiTheme="minorHAnsi" w:hAnsiTheme="minorHAnsi" w:cstheme="minorHAnsi"/>
      <w:sz w:val="20"/>
      <w:szCs w:val="20"/>
    </w:rPr>
  </w:style>
  <w:style w:type="paragraph" w:customStyle="1" w:styleId="BodyTextVancouver">
    <w:name w:val="Body Text Vancouver"/>
    <w:basedOn w:val="pf0"/>
    <w:link w:val="BodyTextVancouverChar"/>
    <w:qFormat/>
    <w:rsid w:val="00FB270A"/>
    <w:pPr>
      <w:spacing w:before="0" w:beforeAutospacing="0" w:after="240" w:afterAutospacing="0" w:line="360" w:lineRule="auto"/>
    </w:pPr>
    <w:rPr>
      <w:color w:val="212121"/>
      <w:shd w:val="clear" w:color="auto" w:fill="FFFFFF"/>
    </w:rPr>
  </w:style>
  <w:style w:type="paragraph" w:customStyle="1" w:styleId="Listbulletpoint">
    <w:name w:val="List bullet point"/>
    <w:basedOn w:val="BodyTextVancouver"/>
    <w:link w:val="ListbulletpointChar"/>
    <w:qFormat/>
    <w:rsid w:val="00FB270A"/>
    <w:pPr>
      <w:numPr>
        <w:numId w:val="1"/>
      </w:numPr>
    </w:pPr>
  </w:style>
  <w:style w:type="character" w:customStyle="1" w:styleId="pf0Char">
    <w:name w:val="pf0 Char"/>
    <w:basedOn w:val="DefaultParagraphFont"/>
    <w:link w:val="pf0"/>
    <w:rsid w:val="00FB270A"/>
    <w:rPr>
      <w:rFonts w:ascii="Times New Roman" w:eastAsia="Times New Roman" w:hAnsi="Times New Roman" w:cs="Times New Roman"/>
      <w:sz w:val="24"/>
      <w:szCs w:val="24"/>
      <w:lang w:eastAsia="en-AU"/>
    </w:rPr>
  </w:style>
  <w:style w:type="character" w:customStyle="1" w:styleId="BodyTextVancouverChar">
    <w:name w:val="Body Text Vancouver Char"/>
    <w:basedOn w:val="pf0Char"/>
    <w:link w:val="BodyTextVancouver"/>
    <w:rsid w:val="00FB270A"/>
    <w:rPr>
      <w:rFonts w:ascii="Times New Roman" w:eastAsia="Times New Roman" w:hAnsi="Times New Roman" w:cs="Times New Roman"/>
      <w:color w:val="212121"/>
      <w:sz w:val="24"/>
      <w:szCs w:val="24"/>
      <w:lang w:eastAsia="en-AU"/>
    </w:rPr>
  </w:style>
  <w:style w:type="paragraph" w:customStyle="1" w:styleId="Referencelisttext">
    <w:name w:val="Reference list text"/>
    <w:basedOn w:val="Bibliography"/>
    <w:link w:val="ReferencelisttextChar"/>
    <w:qFormat/>
    <w:rsid w:val="00FB270A"/>
    <w:pPr>
      <w:ind w:left="567" w:hanging="567"/>
    </w:pPr>
  </w:style>
  <w:style w:type="character" w:customStyle="1" w:styleId="ListbulletpointChar">
    <w:name w:val="List bullet point Char"/>
    <w:basedOn w:val="BodyTextVancouverChar"/>
    <w:link w:val="Listbulletpoint"/>
    <w:rsid w:val="00FB270A"/>
    <w:rPr>
      <w:rFonts w:ascii="Times New Roman" w:eastAsia="Times New Roman" w:hAnsi="Times New Roman" w:cs="Times New Roman"/>
      <w:color w:val="212121"/>
      <w:sz w:val="24"/>
      <w:szCs w:val="24"/>
      <w:lang w:eastAsia="en-AU"/>
    </w:rPr>
  </w:style>
  <w:style w:type="paragraph" w:customStyle="1" w:styleId="FigureHeading">
    <w:name w:val="Figure Heading"/>
    <w:basedOn w:val="Normal"/>
    <w:link w:val="FigureHeadingChar"/>
    <w:qFormat/>
    <w:rsid w:val="00FB270A"/>
    <w:pPr>
      <w:spacing w:after="240" w:line="240" w:lineRule="auto"/>
    </w:pPr>
    <w:rPr>
      <w:rFonts w:cs="Times New Roman"/>
      <w:bCs/>
      <w:szCs w:val="24"/>
    </w:rPr>
  </w:style>
  <w:style w:type="character" w:customStyle="1" w:styleId="BibliographyChar">
    <w:name w:val="Bibliography Char"/>
    <w:basedOn w:val="DefaultParagraphFont"/>
    <w:link w:val="Bibliography"/>
    <w:uiPriority w:val="37"/>
    <w:rsid w:val="00FB270A"/>
    <w:rPr>
      <w:rFonts w:ascii="Times New Roman" w:hAnsi="Times New Roman"/>
      <w:sz w:val="24"/>
    </w:rPr>
  </w:style>
  <w:style w:type="character" w:customStyle="1" w:styleId="ReferencelisttextChar">
    <w:name w:val="Reference list text Char"/>
    <w:basedOn w:val="BibliographyChar"/>
    <w:link w:val="Referencelisttext"/>
    <w:rsid w:val="00FB270A"/>
    <w:rPr>
      <w:rFonts w:ascii="Times New Roman" w:hAnsi="Times New Roman"/>
      <w:sz w:val="24"/>
    </w:rPr>
  </w:style>
  <w:style w:type="paragraph" w:customStyle="1" w:styleId="TableHeading">
    <w:name w:val="Table Heading"/>
    <w:basedOn w:val="Heading3"/>
    <w:link w:val="TableHeadingChar"/>
    <w:qFormat/>
    <w:rsid w:val="00FB270A"/>
    <w:pPr>
      <w:spacing w:before="240" w:line="240" w:lineRule="auto"/>
    </w:pPr>
    <w:rPr>
      <w:b/>
      <w:bCs/>
      <w:i w:val="0"/>
    </w:rPr>
  </w:style>
  <w:style w:type="character" w:customStyle="1" w:styleId="FigureHeadingChar">
    <w:name w:val="Figure Heading Char"/>
    <w:basedOn w:val="DefaultParagraphFont"/>
    <w:link w:val="FigureHeading"/>
    <w:rsid w:val="00FB270A"/>
    <w:rPr>
      <w:rFonts w:ascii="Times New Roman" w:hAnsi="Times New Roman" w:cs="Times New Roman"/>
      <w:bCs/>
      <w:sz w:val="24"/>
      <w:szCs w:val="24"/>
    </w:rPr>
  </w:style>
  <w:style w:type="paragraph" w:customStyle="1" w:styleId="TableLegend">
    <w:name w:val="Table Legend"/>
    <w:basedOn w:val="Heading3"/>
    <w:link w:val="TableLegendChar"/>
    <w:qFormat/>
    <w:rsid w:val="00FB270A"/>
    <w:pPr>
      <w:spacing w:before="120"/>
    </w:pPr>
    <w:rPr>
      <w:bCs/>
    </w:rPr>
  </w:style>
  <w:style w:type="character" w:customStyle="1" w:styleId="TableHeadingChar">
    <w:name w:val="Table Heading Char"/>
    <w:basedOn w:val="Heading3Char"/>
    <w:link w:val="TableHeading"/>
    <w:rsid w:val="00FB270A"/>
    <w:rPr>
      <w:rFonts w:ascii="Times New Roman" w:eastAsiaTheme="majorEastAsia" w:hAnsi="Times New Roman" w:cs="Times New Roman"/>
      <w:b/>
      <w:bCs/>
      <w:i w:val="0"/>
      <w:iCs/>
      <w:color w:val="2F5496" w:themeColor="accent1" w:themeShade="BF"/>
      <w:sz w:val="24"/>
      <w:szCs w:val="24"/>
    </w:rPr>
  </w:style>
  <w:style w:type="paragraph" w:customStyle="1" w:styleId="TableText">
    <w:name w:val="Table Text"/>
    <w:basedOn w:val="Heading3"/>
    <w:link w:val="TableTextChar"/>
    <w:qFormat/>
    <w:rsid w:val="00FB270A"/>
    <w:pPr>
      <w:outlineLvl w:val="9"/>
    </w:pPr>
    <w:rPr>
      <w:b/>
      <w:bCs/>
      <w:i w:val="0"/>
      <w:iCs w:val="0"/>
      <w:sz w:val="20"/>
      <w:szCs w:val="20"/>
    </w:rPr>
  </w:style>
  <w:style w:type="character" w:customStyle="1" w:styleId="TableLegendChar">
    <w:name w:val="Table Legend Char"/>
    <w:basedOn w:val="Heading3Char"/>
    <w:link w:val="TableLegend"/>
    <w:rsid w:val="00FB270A"/>
    <w:rPr>
      <w:rFonts w:ascii="Times New Roman" w:eastAsiaTheme="majorEastAsia" w:hAnsi="Times New Roman" w:cs="Times New Roman"/>
      <w:bCs/>
      <w:i/>
      <w:iCs/>
      <w:color w:val="2F5496" w:themeColor="accent1" w:themeShade="BF"/>
      <w:sz w:val="24"/>
      <w:szCs w:val="24"/>
    </w:rPr>
  </w:style>
  <w:style w:type="paragraph" w:customStyle="1" w:styleId="FigureLegend">
    <w:name w:val="Figure Legend"/>
    <w:basedOn w:val="Normal"/>
    <w:link w:val="FigureLegendChar"/>
    <w:qFormat/>
    <w:rsid w:val="00FB270A"/>
    <w:rPr>
      <w:i/>
    </w:rPr>
  </w:style>
  <w:style w:type="character" w:customStyle="1" w:styleId="TableTextChar">
    <w:name w:val="Table Text Char"/>
    <w:basedOn w:val="Heading3Char"/>
    <w:link w:val="TableText"/>
    <w:rsid w:val="00FB270A"/>
    <w:rPr>
      <w:rFonts w:ascii="Times New Roman" w:eastAsiaTheme="majorEastAsia" w:hAnsi="Times New Roman" w:cs="Times New Roman"/>
      <w:b/>
      <w:bCs/>
      <w:i w:val="0"/>
      <w:iCs w:val="0"/>
      <w:color w:val="2F5496" w:themeColor="accent1" w:themeShade="BF"/>
      <w:sz w:val="20"/>
      <w:szCs w:val="20"/>
    </w:rPr>
  </w:style>
  <w:style w:type="character" w:customStyle="1" w:styleId="FigureLegendChar">
    <w:name w:val="Figure Legend Char"/>
    <w:basedOn w:val="DefaultParagraphFont"/>
    <w:link w:val="FigureLegend"/>
    <w:rsid w:val="00FB270A"/>
    <w:rPr>
      <w:rFonts w:ascii="Times New Roman" w:hAnsi="Times New Roman"/>
      <w:i/>
      <w:sz w:val="24"/>
    </w:rPr>
  </w:style>
  <w:style w:type="paragraph" w:styleId="TableofFigures">
    <w:name w:val="table of figures"/>
    <w:basedOn w:val="Normal"/>
    <w:next w:val="Normal"/>
    <w:uiPriority w:val="99"/>
    <w:unhideWhenUsed/>
    <w:rsid w:val="00FB270A"/>
    <w:pPr>
      <w:spacing w:after="0"/>
    </w:pPr>
  </w:style>
  <w:style w:type="paragraph" w:styleId="Title">
    <w:name w:val="Title"/>
    <w:basedOn w:val="Normal"/>
    <w:next w:val="Normal"/>
    <w:link w:val="TitleChar"/>
    <w:uiPriority w:val="10"/>
    <w:qFormat/>
    <w:rsid w:val="00FB270A"/>
    <w:pPr>
      <w:pBdr>
        <w:top w:val="nil"/>
        <w:left w:val="nil"/>
        <w:bottom w:val="single" w:sz="8" w:space="4" w:color="4472C4" w:themeColor="accent1"/>
        <w:right w:val="nil"/>
        <w:between w:val="nil"/>
        <w:bar w:val="nil"/>
      </w:pBdr>
      <w:spacing w:after="300" w:line="240" w:lineRule="auto"/>
      <w:contextualSpacing/>
    </w:pPr>
    <w:rPr>
      <w:rFonts w:asciiTheme="majorHAnsi" w:eastAsiaTheme="majorEastAsia" w:hAnsiTheme="majorHAnsi" w:cstheme="majorBidi"/>
      <w:color w:val="323E4F" w:themeColor="text2" w:themeShade="BF"/>
      <w:spacing w:val="5"/>
      <w:kern w:val="28"/>
      <w:sz w:val="52"/>
      <w:szCs w:val="52"/>
      <w:bdr w:val="nil"/>
    </w:rPr>
  </w:style>
  <w:style w:type="character" w:customStyle="1" w:styleId="TitleChar">
    <w:name w:val="Title Char"/>
    <w:basedOn w:val="DefaultParagraphFont"/>
    <w:link w:val="Title"/>
    <w:uiPriority w:val="10"/>
    <w:rsid w:val="00FB270A"/>
    <w:rPr>
      <w:rFonts w:asciiTheme="majorHAnsi" w:eastAsiaTheme="majorEastAsia" w:hAnsiTheme="majorHAnsi" w:cstheme="majorBidi"/>
      <w:color w:val="323E4F" w:themeColor="text2" w:themeShade="BF"/>
      <w:spacing w:val="5"/>
      <w:kern w:val="28"/>
      <w:sz w:val="52"/>
      <w:szCs w:val="52"/>
      <w:bdr w:val="nil"/>
    </w:rPr>
  </w:style>
  <w:style w:type="paragraph" w:customStyle="1" w:styleId="ng-scope">
    <w:name w:val="ng-scope"/>
    <w:basedOn w:val="Normal"/>
    <w:rsid w:val="00FB270A"/>
    <w:pPr>
      <w:spacing w:before="100" w:beforeAutospacing="1" w:after="100" w:afterAutospacing="1" w:line="240" w:lineRule="auto"/>
    </w:pPr>
    <w:rPr>
      <w:rFonts w:eastAsia="Times New Roman" w:cs="Times New Roman"/>
      <w:szCs w:val="24"/>
      <w:lang w:eastAsia="en-AU"/>
    </w:rPr>
  </w:style>
  <w:style w:type="paragraph" w:customStyle="1" w:styleId="Style1">
    <w:name w:val="Style1"/>
    <w:basedOn w:val="Heading3"/>
    <w:link w:val="Style1Char"/>
    <w:qFormat/>
    <w:rsid w:val="00FB270A"/>
    <w:pPr>
      <w:keepNext w:val="0"/>
      <w:keepLines w:val="0"/>
      <w:shd w:val="clear" w:color="auto" w:fill="FFFFFF"/>
      <w:spacing w:before="0" w:after="120" w:line="240" w:lineRule="auto"/>
    </w:pPr>
    <w:rPr>
      <w:rFonts w:ascii="Segoe UI" w:eastAsia="Times New Roman" w:hAnsi="Segoe UI" w:cs="Segoe UI"/>
      <w:i w:val="0"/>
      <w:iCs w:val="0"/>
      <w:color w:val="222222"/>
      <w:sz w:val="27"/>
      <w:szCs w:val="27"/>
      <w:lang w:eastAsia="en-AU"/>
    </w:rPr>
  </w:style>
  <w:style w:type="paragraph" w:customStyle="1" w:styleId="Style2">
    <w:name w:val="Style2"/>
    <w:basedOn w:val="Normal"/>
    <w:link w:val="Style2Char"/>
    <w:autoRedefine/>
    <w:qFormat/>
    <w:rsid w:val="00FB270A"/>
    <w:pPr>
      <w:pBdr>
        <w:bottom w:val="single" w:sz="4" w:space="1" w:color="auto"/>
      </w:pBdr>
      <w:spacing w:line="360" w:lineRule="auto"/>
    </w:pPr>
    <w:rPr>
      <w:rFonts w:eastAsia="Times New Roman" w:cs="Times New Roman"/>
      <w:b/>
      <w:color w:val="000000"/>
      <w:szCs w:val="24"/>
      <w:lang w:eastAsia="en-AU"/>
    </w:rPr>
  </w:style>
  <w:style w:type="character" w:customStyle="1" w:styleId="Style1Char">
    <w:name w:val="Style1 Char"/>
    <w:basedOn w:val="Heading3Char"/>
    <w:link w:val="Style1"/>
    <w:rsid w:val="00FB270A"/>
    <w:rPr>
      <w:rFonts w:ascii="Segoe UI" w:eastAsia="Times New Roman" w:hAnsi="Segoe UI" w:cs="Segoe UI"/>
      <w:i w:val="0"/>
      <w:iCs w:val="0"/>
      <w:color w:val="222222"/>
      <w:sz w:val="27"/>
      <w:szCs w:val="27"/>
      <w:shd w:val="clear" w:color="auto" w:fill="FFFFFF"/>
      <w:lang w:eastAsia="en-AU"/>
    </w:rPr>
  </w:style>
  <w:style w:type="paragraph" w:styleId="Quote">
    <w:name w:val="Quote"/>
    <w:next w:val="Normal"/>
    <w:link w:val="QuoteChar"/>
    <w:uiPriority w:val="29"/>
    <w:qFormat/>
    <w:rsid w:val="00FB270A"/>
    <w:pPr>
      <w:spacing w:before="200"/>
      <w:ind w:left="864" w:right="864"/>
      <w:jc w:val="center"/>
    </w:pPr>
    <w:rPr>
      <w:rFonts w:ascii="Calibri" w:eastAsia="Calibri" w:hAnsi="Calibri" w:cs="Times New Roman"/>
      <w:i/>
      <w:iCs/>
      <w:color w:val="404040" w:themeColor="text1" w:themeTint="BF"/>
      <w:u w:val="single"/>
      <w:lang w:val="en-US"/>
    </w:rPr>
  </w:style>
  <w:style w:type="character" w:customStyle="1" w:styleId="QuoteChar">
    <w:name w:val="Quote Char"/>
    <w:basedOn w:val="DefaultParagraphFont"/>
    <w:link w:val="Quote"/>
    <w:uiPriority w:val="29"/>
    <w:rsid w:val="00FB270A"/>
    <w:rPr>
      <w:rFonts w:ascii="Calibri" w:eastAsia="Calibri" w:hAnsi="Calibri" w:cs="Times New Roman"/>
      <w:i/>
      <w:iCs/>
      <w:color w:val="404040" w:themeColor="text1" w:themeTint="BF"/>
      <w:u w:val="single"/>
      <w:lang w:val="en-US"/>
    </w:rPr>
  </w:style>
  <w:style w:type="character" w:customStyle="1" w:styleId="Style2Char">
    <w:name w:val="Style2 Char"/>
    <w:basedOn w:val="Heading2Char"/>
    <w:link w:val="Style2"/>
    <w:rsid w:val="00FB270A"/>
    <w:rPr>
      <w:rFonts w:ascii="Times New Roman" w:eastAsia="Times New Roman" w:hAnsi="Times New Roman" w:cs="Times New Roman"/>
      <w:b/>
      <w:bCs w:val="0"/>
      <w:i w:val="0"/>
      <w:iCs w:val="0"/>
      <w:color w:val="000000"/>
      <w:sz w:val="24"/>
      <w:szCs w:val="24"/>
      <w:lang w:eastAsia="en-AU"/>
    </w:rPr>
  </w:style>
  <w:style w:type="paragraph" w:customStyle="1" w:styleId="ColorfulList-Accent11">
    <w:name w:val="Colorful List - Accent 11"/>
    <w:basedOn w:val="Normal"/>
    <w:uiPriority w:val="34"/>
    <w:qFormat/>
    <w:rsid w:val="00FB270A"/>
    <w:pPr>
      <w:spacing w:after="200" w:line="276" w:lineRule="auto"/>
      <w:ind w:left="720"/>
      <w:contextualSpacing/>
    </w:pPr>
    <w:rPr>
      <w:rFonts w:ascii="Calibri" w:eastAsia="Calibri" w:hAnsi="Calibri" w:cs="Times New Roman"/>
      <w:sz w:val="22"/>
    </w:rPr>
  </w:style>
  <w:style w:type="paragraph" w:styleId="Caption">
    <w:name w:val="caption"/>
    <w:basedOn w:val="Normal"/>
    <w:next w:val="Normal"/>
    <w:uiPriority w:val="35"/>
    <w:unhideWhenUsed/>
    <w:qFormat/>
    <w:rsid w:val="00FB270A"/>
    <w:pPr>
      <w:pBdr>
        <w:top w:val="nil"/>
        <w:left w:val="nil"/>
        <w:bottom w:val="nil"/>
        <w:right w:val="nil"/>
        <w:between w:val="nil"/>
        <w:bar w:val="nil"/>
      </w:pBdr>
      <w:spacing w:after="200" w:line="240" w:lineRule="auto"/>
    </w:pPr>
    <w:rPr>
      <w:rFonts w:cs="Times New Roman"/>
      <w:i/>
      <w:iCs/>
      <w:color w:val="44546A" w:themeColor="text2"/>
      <w:sz w:val="18"/>
      <w:szCs w:val="18"/>
      <w:bdr w:val="nil"/>
    </w:rPr>
  </w:style>
  <w:style w:type="character" w:customStyle="1" w:styleId="kwd-text">
    <w:name w:val="kwd-text"/>
    <w:basedOn w:val="DefaultParagraphFont"/>
    <w:rsid w:val="00FB270A"/>
  </w:style>
  <w:style w:type="paragraph" w:customStyle="1" w:styleId="BodyText1">
    <w:name w:val="Body Text1"/>
    <w:qFormat/>
    <w:rsid w:val="00FB270A"/>
    <w:pPr>
      <w:spacing w:before="240" w:after="240" w:line="360" w:lineRule="auto"/>
    </w:pPr>
    <w:rPr>
      <w:rFonts w:ascii="Times New Roman" w:hAnsi="Times New Roman" w:cs="Times New Roman"/>
      <w:sz w:val="24"/>
      <w:szCs w:val="24"/>
      <w:bdr w:val="nil"/>
    </w:rPr>
  </w:style>
  <w:style w:type="table" w:customStyle="1" w:styleId="PlainTable22">
    <w:name w:val="Plain Table 22"/>
    <w:basedOn w:val="TableNormal"/>
    <w:next w:val="PlainTable2"/>
    <w:uiPriority w:val="42"/>
    <w:rsid w:val="00FB270A"/>
    <w:pPr>
      <w:spacing w:after="0" w:line="240" w:lineRule="auto"/>
    </w:pPr>
    <w:rPr>
      <w:rFonts w:ascii="Calibri" w:hAnsi="Calibri" w:cs="Arial"/>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23">
    <w:name w:val="Plain Table 23"/>
    <w:basedOn w:val="TableNormal"/>
    <w:next w:val="PlainTable2"/>
    <w:uiPriority w:val="42"/>
    <w:rsid w:val="00FB270A"/>
    <w:pPr>
      <w:spacing w:after="0" w:line="240" w:lineRule="auto"/>
    </w:pPr>
    <w:rPr>
      <w:rFonts w:ascii="Calibri" w:hAnsi="Calibri" w:cs="Arial"/>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GridTable1Light">
    <w:name w:val="Grid Table 1 Light"/>
    <w:basedOn w:val="TableNormal"/>
    <w:uiPriority w:val="46"/>
    <w:rsid w:val="00FB270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gsct1">
    <w:name w:val="gs_ct1"/>
    <w:basedOn w:val="DefaultParagraphFont"/>
    <w:rsid w:val="00FB270A"/>
  </w:style>
  <w:style w:type="character" w:customStyle="1" w:styleId="fontstyle01">
    <w:name w:val="fontstyle01"/>
    <w:basedOn w:val="DefaultParagraphFont"/>
    <w:rsid w:val="00FB270A"/>
    <w:rPr>
      <w:rFonts w:ascii="TimesNewRomanPS-BoldMT" w:hAnsi="TimesNewRomanPS-BoldMT" w:hint="default"/>
      <w:b/>
      <w:bCs/>
      <w:i w:val="0"/>
      <w:iCs w:val="0"/>
      <w:color w:val="000000"/>
      <w:sz w:val="24"/>
      <w:szCs w:val="24"/>
    </w:rPr>
  </w:style>
  <w:style w:type="paragraph" w:customStyle="1" w:styleId="Default">
    <w:name w:val="Default"/>
    <w:rsid w:val="00FB270A"/>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character" w:customStyle="1" w:styleId="nobr1">
    <w:name w:val="nobr1"/>
    <w:rsid w:val="00FB270A"/>
  </w:style>
  <w:style w:type="character" w:styleId="UnresolvedMention">
    <w:name w:val="Unresolved Mention"/>
    <w:basedOn w:val="DefaultParagraphFont"/>
    <w:uiPriority w:val="99"/>
    <w:semiHidden/>
    <w:unhideWhenUsed/>
    <w:rsid w:val="00FB27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wiley.com/10.1002/14651858.CD009941.pub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4146</Words>
  <Characters>23636</Characters>
  <Application>Microsoft Office Word</Application>
  <DocSecurity>0</DocSecurity>
  <Lines>196</Lines>
  <Paragraphs>55</Paragraphs>
  <ScaleCrop>false</ScaleCrop>
  <Company/>
  <LinksUpToDate>false</LinksUpToDate>
  <CharactersWithSpaces>27727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 Bod</dc:creator>
  <cp:keywords/>
  <dc:description/>
  <cp:lastModifiedBy>HR Bod</cp:lastModifiedBy>
  <cp:revision>1</cp:revision>
  <dcterms:created xsi:type="dcterms:W3CDTF">2022-07-01T13:41:00Z</dcterms:created>
  <dcterms:modified xsi:type="dcterms:W3CDTF">2022-07-01T13:41:00Z</dcterms:modified>
</cp:coreProperties>
</file>