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BDA6B" w14:textId="7393757E" w:rsidR="007668F2" w:rsidRPr="002201C1" w:rsidRDefault="004363B9" w:rsidP="004363B9">
      <w:pPr>
        <w:jc w:val="center"/>
        <w:rPr>
          <w:b/>
          <w:bCs/>
          <w:sz w:val="28"/>
          <w:szCs w:val="28"/>
          <w:lang w:val="en-US"/>
        </w:rPr>
      </w:pPr>
      <w:r w:rsidRPr="002201C1">
        <w:rPr>
          <w:b/>
          <w:bCs/>
          <w:sz w:val="28"/>
          <w:szCs w:val="28"/>
          <w:lang w:val="en-US"/>
        </w:rPr>
        <w:t>Tools description</w:t>
      </w:r>
    </w:p>
    <w:p w14:paraId="7C334539" w14:textId="1D8E33AC" w:rsidR="004363B9" w:rsidRPr="004363B9" w:rsidRDefault="004363B9" w:rsidP="002201C1">
      <w:pPr>
        <w:spacing w:after="0" w:line="480" w:lineRule="auto"/>
        <w:ind w:firstLine="709"/>
        <w:rPr>
          <w:rFonts w:ascii="Times New Roman" w:hAnsi="Times New Roman" w:cs="Times New Roman"/>
          <w:bCs/>
          <w:iCs/>
          <w:szCs w:val="24"/>
          <w:lang w:val="en-GB"/>
        </w:rPr>
      </w:pPr>
      <w:r w:rsidRPr="002201C1">
        <w:rPr>
          <w:rStyle w:val="Nagwek2Znak"/>
          <w:rFonts w:ascii="Times New Roman" w:hAnsi="Times New Roman" w:cs="Times New Roman"/>
          <w:sz w:val="24"/>
          <w:szCs w:val="24"/>
        </w:rPr>
        <w:t xml:space="preserve">The </w:t>
      </w:r>
      <w:r w:rsidRPr="002201C1">
        <w:rPr>
          <w:rStyle w:val="Nagwek2Znak"/>
          <w:rFonts w:ascii="Times New Roman" w:hAnsi="Times New Roman" w:cs="Times New Roman"/>
          <w:sz w:val="24"/>
          <w:szCs w:val="24"/>
        </w:rPr>
        <w:t>Career Adapt-Ability Scale – 5</w:t>
      </w:r>
      <w:r w:rsidRPr="002201C1">
        <w:rPr>
          <w:rStyle w:val="Nagwek2Znak"/>
          <w:rFonts w:ascii="Times New Roman" w:hAnsi="Times New Roman" w:cs="Times New Roman"/>
          <w:sz w:val="24"/>
          <w:szCs w:val="24"/>
        </w:rPr>
        <w:t xml:space="preserve"> – CAAS- 5 </w:t>
      </w:r>
      <w:r w:rsidRPr="002201C1">
        <w:rPr>
          <w:rFonts w:ascii="Times New Roman" w:hAnsi="Times New Roman" w:cs="Times New Roman"/>
          <w:bCs/>
          <w:szCs w:val="24"/>
          <w:lang w:val="en-GB"/>
        </w:rPr>
        <w:t xml:space="preserve"> (</w:t>
      </w:r>
      <w:r w:rsidRPr="004363B9">
        <w:rPr>
          <w:rFonts w:ascii="Times New Roman" w:hAnsi="Times New Roman" w:cs="Times New Roman"/>
          <w:bCs/>
          <w:iCs/>
          <w:szCs w:val="24"/>
          <w:lang w:val="en-GB"/>
        </w:rPr>
        <w:t xml:space="preserve">Nye, Leong, Prasad, Gardner &amp; Tien, 2017), Polish adaptation by Paszkowska-Rogacz (2020), consisting of 30 items, is an extension of the CAAS questionnaire by </w:t>
      </w:r>
      <w:proofErr w:type="spellStart"/>
      <w:r w:rsidRPr="004363B9">
        <w:rPr>
          <w:rFonts w:ascii="Times New Roman" w:hAnsi="Times New Roman" w:cs="Times New Roman"/>
          <w:bCs/>
          <w:iCs/>
          <w:szCs w:val="24"/>
          <w:lang w:val="en-GB"/>
        </w:rPr>
        <w:t>Saviskas</w:t>
      </w:r>
      <w:proofErr w:type="spellEnd"/>
      <w:r w:rsidRPr="004363B9">
        <w:rPr>
          <w:rFonts w:ascii="Times New Roman" w:hAnsi="Times New Roman" w:cs="Times New Roman"/>
          <w:bCs/>
          <w:iCs/>
          <w:szCs w:val="24"/>
          <w:lang w:val="en-GB"/>
        </w:rPr>
        <w:t xml:space="preserve"> and </w:t>
      </w:r>
      <w:proofErr w:type="spellStart"/>
      <w:r w:rsidRPr="004363B9">
        <w:rPr>
          <w:rFonts w:ascii="Times New Roman" w:hAnsi="Times New Roman" w:cs="Times New Roman"/>
          <w:bCs/>
          <w:iCs/>
          <w:szCs w:val="24"/>
          <w:lang w:val="en-GB"/>
        </w:rPr>
        <w:t>Portfeli</w:t>
      </w:r>
      <w:proofErr w:type="spellEnd"/>
      <w:r w:rsidRPr="004363B9">
        <w:rPr>
          <w:rFonts w:ascii="Times New Roman" w:hAnsi="Times New Roman" w:cs="Times New Roman"/>
          <w:bCs/>
          <w:iCs/>
          <w:szCs w:val="24"/>
          <w:lang w:val="en-GB"/>
        </w:rPr>
        <w:t xml:space="preserve"> (2012). The respondent assesses the extent to which he or she has developed specific skills for items in each of five subscales: concern (e.g. preparing for the future), control (e.g. making decisions independently), curiosity (e.g. observing different ways of performing tasks), confidence (e.g. e.g. overcoming difficulties) and cooperation (e.g. understanding other people’s point of view). All items are phrased positively. The statements are arranged in a similar way to the original tool. The respondent scores each statement on a five-point scale, from 1 (not my strength) to 5 (my strongest aspect). The points are totalled for each subscale as well as for all test items as a global score. </w:t>
      </w:r>
    </w:p>
    <w:p w14:paraId="55F390D2" w14:textId="77777777" w:rsidR="004363B9" w:rsidRPr="004363B9" w:rsidRDefault="004363B9" w:rsidP="004363B9">
      <w:pPr>
        <w:spacing w:after="0" w:line="480" w:lineRule="auto"/>
        <w:rPr>
          <w:rFonts w:ascii="Times New Roman" w:hAnsi="Times New Roman" w:cs="Times New Roman"/>
          <w:iCs/>
          <w:szCs w:val="24"/>
          <w:lang w:val="en-GB" w:eastAsia="pl-PL"/>
        </w:rPr>
      </w:pPr>
      <w:r w:rsidRPr="004363B9">
        <w:rPr>
          <w:rFonts w:ascii="Times New Roman" w:hAnsi="Times New Roman" w:cs="Times New Roman"/>
          <w:iCs/>
          <w:szCs w:val="24"/>
          <w:lang w:val="en-GB"/>
        </w:rPr>
        <w:t xml:space="preserve">The Polish version of the questionnaire (Paszkowska-Rogacz, 2020) demonstrates satisfactory fit ratios: χ2 / df = 3.3; GFI = .89; CFI = .93; TLI = .89; RMSEA = .06; SRMR = .08; NFI = .87. All scales in the 5-factor version are also characterized by high reliability, as indicated by Cronbach’s alpha: Concern - .86, Control - .81, Curiosity - .83, Confidence - .86, Cooperation - .77 and Overall Adaptability - .92. </w:t>
      </w:r>
    </w:p>
    <w:p w14:paraId="7B0F54BC" w14:textId="77777777" w:rsidR="004363B9" w:rsidRPr="004363B9" w:rsidRDefault="004363B9" w:rsidP="004363B9">
      <w:pPr>
        <w:spacing w:after="0"/>
        <w:jc w:val="center"/>
        <w:rPr>
          <w:rFonts w:ascii="Times New Roman" w:hAnsi="Times New Roman" w:cs="Times New Roman"/>
          <w:b/>
          <w:bCs/>
          <w:iCs/>
          <w:szCs w:val="24"/>
          <w:lang w:val="en-US"/>
        </w:rPr>
      </w:pPr>
    </w:p>
    <w:p w14:paraId="0407183E" w14:textId="46DEF442" w:rsidR="004363B9" w:rsidRPr="004363B9" w:rsidRDefault="004363B9" w:rsidP="002201C1">
      <w:pPr>
        <w:autoSpaceDE w:val="0"/>
        <w:autoSpaceDN w:val="0"/>
        <w:adjustRightInd w:val="0"/>
        <w:spacing w:after="0" w:line="480" w:lineRule="auto"/>
        <w:ind w:firstLine="709"/>
        <w:rPr>
          <w:rFonts w:ascii="Times New Roman" w:hAnsi="Times New Roman" w:cs="Times New Roman"/>
          <w:iCs/>
          <w:szCs w:val="24"/>
          <w:lang w:val="en-GB"/>
        </w:rPr>
      </w:pPr>
      <w:r w:rsidRPr="002201C1">
        <w:rPr>
          <w:rStyle w:val="Nagwek2Znak"/>
          <w:rFonts w:ascii="Times New Roman" w:hAnsi="Times New Roman" w:cs="Times New Roman"/>
          <w:sz w:val="24"/>
          <w:szCs w:val="24"/>
          <w:lang w:val="en-GB"/>
        </w:rPr>
        <w:t>Social Participation Questionnaire</w:t>
      </w:r>
      <w:r w:rsidRPr="002201C1">
        <w:rPr>
          <w:rStyle w:val="Nagwek2Znak"/>
          <w:rFonts w:ascii="Times New Roman" w:hAnsi="Times New Roman" w:cs="Times New Roman"/>
          <w:sz w:val="24"/>
          <w:szCs w:val="24"/>
          <w:lang w:val="en-GB"/>
        </w:rPr>
        <w:t xml:space="preserve"> -SPQ</w:t>
      </w:r>
      <w:r w:rsidRPr="002201C1">
        <w:rPr>
          <w:rFonts w:ascii="Times New Roman" w:hAnsi="Times New Roman" w:cs="Times New Roman"/>
          <w:b/>
          <w:bCs/>
          <w:szCs w:val="24"/>
          <w:lang w:val="en-GB"/>
        </w:rPr>
        <w:t xml:space="preserve"> </w:t>
      </w:r>
      <w:r w:rsidRPr="004363B9">
        <w:rPr>
          <w:rFonts w:ascii="Times New Roman" w:hAnsi="Times New Roman" w:cs="Times New Roman"/>
          <w:iCs/>
          <w:szCs w:val="24"/>
          <w:lang w:val="en-GB"/>
        </w:rPr>
        <w:t xml:space="preserve"> is an original Polish tool developed by </w:t>
      </w:r>
      <w:proofErr w:type="spellStart"/>
      <w:r w:rsidRPr="004363B9">
        <w:rPr>
          <w:rFonts w:ascii="Times New Roman" w:hAnsi="Times New Roman" w:cs="Times New Roman"/>
          <w:iCs/>
          <w:szCs w:val="24"/>
          <w:lang w:val="en-GB"/>
        </w:rPr>
        <w:t>Brzezińska</w:t>
      </w:r>
      <w:proofErr w:type="spellEnd"/>
      <w:r w:rsidRPr="004363B9">
        <w:rPr>
          <w:rFonts w:ascii="Times New Roman" w:hAnsi="Times New Roman" w:cs="Times New Roman"/>
          <w:iCs/>
          <w:szCs w:val="24"/>
          <w:lang w:val="en-GB"/>
        </w:rPr>
        <w:t xml:space="preserve">, </w:t>
      </w:r>
      <w:proofErr w:type="spellStart"/>
      <w:r w:rsidRPr="004363B9">
        <w:rPr>
          <w:rFonts w:ascii="Times New Roman" w:hAnsi="Times New Roman" w:cs="Times New Roman"/>
          <w:iCs/>
          <w:szCs w:val="24"/>
          <w:lang w:val="en-GB"/>
        </w:rPr>
        <w:t>Hejmanowski</w:t>
      </w:r>
      <w:proofErr w:type="spellEnd"/>
      <w:r w:rsidRPr="004363B9">
        <w:rPr>
          <w:rFonts w:ascii="Times New Roman" w:hAnsi="Times New Roman" w:cs="Times New Roman"/>
          <w:iCs/>
          <w:szCs w:val="24"/>
          <w:lang w:val="en-GB"/>
        </w:rPr>
        <w:t xml:space="preserve"> and </w:t>
      </w:r>
      <w:proofErr w:type="spellStart"/>
      <w:r w:rsidRPr="004363B9">
        <w:rPr>
          <w:rFonts w:ascii="Times New Roman" w:hAnsi="Times New Roman" w:cs="Times New Roman"/>
          <w:iCs/>
          <w:szCs w:val="24"/>
          <w:lang w:val="en-GB"/>
        </w:rPr>
        <w:t>Rękosiewicz</w:t>
      </w:r>
      <w:proofErr w:type="spellEnd"/>
      <w:r w:rsidRPr="004363B9">
        <w:rPr>
          <w:rFonts w:ascii="Times New Roman" w:hAnsi="Times New Roman" w:cs="Times New Roman"/>
          <w:iCs/>
          <w:szCs w:val="24"/>
          <w:lang w:val="en-GB"/>
        </w:rPr>
        <w:t xml:space="preserve"> (</w:t>
      </w:r>
      <w:proofErr w:type="spellStart"/>
      <w:r w:rsidRPr="004363B9">
        <w:rPr>
          <w:rFonts w:ascii="Times New Roman" w:hAnsi="Times New Roman" w:cs="Times New Roman"/>
          <w:iCs/>
          <w:szCs w:val="24"/>
          <w:lang w:val="en-GB"/>
        </w:rPr>
        <w:t>Rękosiewicz</w:t>
      </w:r>
      <w:proofErr w:type="spellEnd"/>
      <w:r w:rsidRPr="004363B9">
        <w:rPr>
          <w:rFonts w:ascii="Times New Roman" w:hAnsi="Times New Roman" w:cs="Times New Roman"/>
          <w:iCs/>
          <w:szCs w:val="24"/>
          <w:lang w:val="en-GB"/>
        </w:rPr>
        <w:t xml:space="preserve">, 2013a, 2013b) based on the theory that social participation types are shaped during the transition from adolescence to adulthood, by Reinders, </w:t>
      </w:r>
      <w:proofErr w:type="spellStart"/>
      <w:r w:rsidRPr="004363B9">
        <w:rPr>
          <w:rFonts w:ascii="Times New Roman" w:hAnsi="Times New Roman" w:cs="Times New Roman"/>
          <w:iCs/>
          <w:szCs w:val="24"/>
          <w:lang w:val="en-GB"/>
        </w:rPr>
        <w:t>Merkens</w:t>
      </w:r>
      <w:proofErr w:type="spellEnd"/>
      <w:r w:rsidRPr="004363B9">
        <w:rPr>
          <w:rFonts w:ascii="Times New Roman" w:hAnsi="Times New Roman" w:cs="Times New Roman"/>
          <w:iCs/>
          <w:szCs w:val="24"/>
          <w:lang w:val="en-GB"/>
        </w:rPr>
        <w:t xml:space="preserve"> and Bergs-</w:t>
      </w:r>
      <w:proofErr w:type="spellStart"/>
      <w:r w:rsidRPr="004363B9">
        <w:rPr>
          <w:rFonts w:ascii="Times New Roman" w:hAnsi="Times New Roman" w:cs="Times New Roman"/>
          <w:iCs/>
          <w:szCs w:val="24"/>
          <w:lang w:val="en-GB"/>
        </w:rPr>
        <w:t>Winkels</w:t>
      </w:r>
      <w:proofErr w:type="spellEnd"/>
      <w:r w:rsidRPr="004363B9">
        <w:rPr>
          <w:rFonts w:ascii="Times New Roman" w:hAnsi="Times New Roman" w:cs="Times New Roman"/>
          <w:iCs/>
          <w:szCs w:val="24"/>
          <w:lang w:val="en-GB"/>
        </w:rPr>
        <w:t xml:space="preserve"> (Reinders, 2006). This scale is used to diagnose the types of moratorium life orientation (e.g. if possible, I avoid responsibilities and spend time in a pleasant way) and transitive life orientation (e.g. I do a lot to have a job that will ensure success in my life in the future), and thus assess the four dimensions of social participation: integration (high moratorium and transitive orientation), segregation (high moratorium </w:t>
      </w:r>
      <w:r w:rsidRPr="004363B9">
        <w:rPr>
          <w:rFonts w:ascii="Times New Roman" w:hAnsi="Times New Roman" w:cs="Times New Roman"/>
          <w:iCs/>
          <w:szCs w:val="24"/>
          <w:lang w:val="en-GB"/>
        </w:rPr>
        <w:lastRenderedPageBreak/>
        <w:t>orientation, low transitive orientation), marginalization (both low orientations) and assimilation (high transitive orientation, low moratorium orientation). The present study used the shortened version of the tool (KPSS-2) recommended for groups aged 20-35 years old. The tool consists of two subscales of 10 items, making 20 items in total. The respondent scores each statement using a 5-point scale (definitely not - probably not - hard to say - probably yes - definitely yes).  A high score on the moratorium orientation scale indicates that the respondent focuses on achieving current goals and using current opportunities. A high result on the transitive orientation scale suggests that the respondent is focused on development and the achievement of goals set in the future. The tool has previously demonstrated satisfactory psychometric properties, with Cronbach’s α reliability indicators being .86 for the moratorium orientation subscale and .84 for the transitive orientation subscale (</w:t>
      </w:r>
      <w:proofErr w:type="spellStart"/>
      <w:r w:rsidRPr="004363B9">
        <w:rPr>
          <w:rFonts w:ascii="Times New Roman" w:hAnsi="Times New Roman" w:cs="Times New Roman"/>
          <w:iCs/>
          <w:szCs w:val="24"/>
          <w:lang w:val="en-GB"/>
        </w:rPr>
        <w:t>Rękosiewicz</w:t>
      </w:r>
      <w:proofErr w:type="spellEnd"/>
      <w:r w:rsidRPr="004363B9">
        <w:rPr>
          <w:rFonts w:ascii="Times New Roman" w:hAnsi="Times New Roman" w:cs="Times New Roman"/>
          <w:iCs/>
          <w:szCs w:val="24"/>
          <w:lang w:val="en-GB"/>
        </w:rPr>
        <w:t xml:space="preserve">, 2014). In this study, the obtained indicators were .81 and .83, respectively. </w:t>
      </w:r>
      <w:bookmarkStart w:id="0" w:name="_Hlk65597344"/>
      <w:bookmarkStart w:id="1" w:name="_Hlk65597365"/>
      <w:bookmarkStart w:id="2" w:name="_Hlk65597382"/>
      <w:bookmarkEnd w:id="0"/>
      <w:bookmarkEnd w:id="1"/>
      <w:bookmarkEnd w:id="2"/>
    </w:p>
    <w:p w14:paraId="0355B7B2" w14:textId="73610C59" w:rsidR="004363B9" w:rsidRPr="004363B9" w:rsidRDefault="004363B9" w:rsidP="002201C1">
      <w:pPr>
        <w:spacing w:after="0" w:line="480" w:lineRule="auto"/>
        <w:ind w:firstLine="709"/>
        <w:rPr>
          <w:rFonts w:ascii="Times New Roman" w:hAnsi="Times New Roman" w:cs="Times New Roman"/>
          <w:iCs/>
          <w:szCs w:val="24"/>
          <w:lang w:val="en-GB"/>
        </w:rPr>
      </w:pPr>
      <w:r w:rsidRPr="002201C1">
        <w:rPr>
          <w:rStyle w:val="Nagwek2Znak"/>
          <w:rFonts w:ascii="Times New Roman" w:hAnsi="Times New Roman" w:cs="Times New Roman"/>
          <w:sz w:val="24"/>
          <w:szCs w:val="24"/>
          <w:lang w:val="en-GB"/>
        </w:rPr>
        <w:t>Scale of Promotional and Preventive regulatory focus - SSPP</w:t>
      </w:r>
      <w:r w:rsidRPr="004363B9">
        <w:rPr>
          <w:rStyle w:val="Nagwek2Znak"/>
          <w:rFonts w:ascii="Times New Roman" w:hAnsi="Times New Roman" w:cs="Times New Roman"/>
          <w:i w:val="0"/>
          <w:iCs/>
          <w:sz w:val="24"/>
          <w:szCs w:val="24"/>
          <w:lang w:val="en-GB"/>
        </w:rPr>
        <w:t xml:space="preserve"> is used to diagnose promotion and prevention bias, understood as a relatively constant feature.  It was created on the basis of Higgins’ regulatory bias theory (1997, 2012) by </w:t>
      </w:r>
      <w:proofErr w:type="spellStart"/>
      <w:r w:rsidRPr="004363B9">
        <w:rPr>
          <w:rStyle w:val="Nagwek2Znak"/>
          <w:rFonts w:ascii="Times New Roman" w:hAnsi="Times New Roman" w:cs="Times New Roman"/>
          <w:i w:val="0"/>
          <w:iCs/>
          <w:sz w:val="24"/>
          <w:szCs w:val="24"/>
          <w:lang w:val="en-GB"/>
        </w:rPr>
        <w:t>Kolańczyk</w:t>
      </w:r>
      <w:proofErr w:type="spellEnd"/>
      <w:r w:rsidRPr="004363B9">
        <w:rPr>
          <w:rStyle w:val="Nagwek2Znak"/>
          <w:rFonts w:ascii="Times New Roman" w:hAnsi="Times New Roman" w:cs="Times New Roman"/>
          <w:i w:val="0"/>
          <w:iCs/>
          <w:sz w:val="24"/>
          <w:szCs w:val="24"/>
          <w:lang w:val="en-GB"/>
        </w:rPr>
        <w:t xml:space="preserve">, </w:t>
      </w:r>
      <w:proofErr w:type="spellStart"/>
      <w:r w:rsidRPr="004363B9">
        <w:rPr>
          <w:rStyle w:val="Nagwek2Znak"/>
          <w:rFonts w:ascii="Times New Roman" w:hAnsi="Times New Roman" w:cs="Times New Roman"/>
          <w:i w:val="0"/>
          <w:iCs/>
          <w:sz w:val="24"/>
          <w:szCs w:val="24"/>
          <w:lang w:val="en-GB"/>
        </w:rPr>
        <w:t>Bąk</w:t>
      </w:r>
      <w:proofErr w:type="spellEnd"/>
      <w:r w:rsidRPr="004363B9">
        <w:rPr>
          <w:rStyle w:val="Nagwek2Znak"/>
          <w:rFonts w:ascii="Times New Roman" w:hAnsi="Times New Roman" w:cs="Times New Roman"/>
          <w:i w:val="0"/>
          <w:iCs/>
          <w:sz w:val="24"/>
          <w:szCs w:val="24"/>
          <w:lang w:val="en-GB"/>
        </w:rPr>
        <w:t xml:space="preserve"> and </w:t>
      </w:r>
      <w:proofErr w:type="spellStart"/>
      <w:r w:rsidRPr="004363B9">
        <w:rPr>
          <w:rStyle w:val="Nagwek2Znak"/>
          <w:rFonts w:ascii="Times New Roman" w:hAnsi="Times New Roman" w:cs="Times New Roman"/>
          <w:i w:val="0"/>
          <w:iCs/>
          <w:sz w:val="24"/>
          <w:szCs w:val="24"/>
          <w:lang w:val="en-GB"/>
        </w:rPr>
        <w:t>Roczniewska</w:t>
      </w:r>
      <w:proofErr w:type="spellEnd"/>
      <w:r w:rsidRPr="004363B9">
        <w:rPr>
          <w:rStyle w:val="Nagwek2Znak"/>
          <w:rFonts w:ascii="Times New Roman" w:hAnsi="Times New Roman" w:cs="Times New Roman"/>
          <w:i w:val="0"/>
          <w:iCs/>
          <w:sz w:val="24"/>
          <w:szCs w:val="24"/>
          <w:lang w:val="en-GB"/>
        </w:rPr>
        <w:t xml:space="preserve"> (2013). It consists of 27 items; the respondent scores each one on a five-point scale, where 1 indicates definitely no, and 5 definitely yes.  The statements constitute five subscales in total: promotional standards (</w:t>
      </w:r>
      <w:proofErr w:type="spellStart"/>
      <w:r w:rsidRPr="004363B9">
        <w:rPr>
          <w:rStyle w:val="Nagwek2Znak"/>
          <w:rFonts w:ascii="Times New Roman" w:hAnsi="Times New Roman" w:cs="Times New Roman"/>
          <w:i w:val="0"/>
          <w:iCs/>
          <w:sz w:val="24"/>
          <w:szCs w:val="24"/>
          <w:lang w:val="en-GB"/>
        </w:rPr>
        <w:t>SPro</w:t>
      </w:r>
      <w:proofErr w:type="spellEnd"/>
      <w:r w:rsidRPr="004363B9">
        <w:rPr>
          <w:rStyle w:val="Nagwek2Znak"/>
          <w:rFonts w:ascii="Times New Roman" w:hAnsi="Times New Roman" w:cs="Times New Roman"/>
          <w:i w:val="0"/>
          <w:iCs/>
          <w:sz w:val="24"/>
          <w:szCs w:val="24"/>
          <w:lang w:val="en-GB"/>
        </w:rPr>
        <w:t>) e.g. In life I usually do what I want; promotional self-control (</w:t>
      </w:r>
      <w:proofErr w:type="spellStart"/>
      <w:r w:rsidRPr="004363B9">
        <w:rPr>
          <w:rStyle w:val="Nagwek2Znak"/>
          <w:rFonts w:ascii="Times New Roman" w:hAnsi="Times New Roman" w:cs="Times New Roman"/>
          <w:i w:val="0"/>
          <w:iCs/>
          <w:sz w:val="24"/>
          <w:szCs w:val="24"/>
          <w:lang w:val="en-GB"/>
        </w:rPr>
        <w:t>KPro</w:t>
      </w:r>
      <w:proofErr w:type="spellEnd"/>
      <w:r w:rsidRPr="004363B9">
        <w:rPr>
          <w:rStyle w:val="Nagwek2Znak"/>
          <w:rFonts w:ascii="Times New Roman" w:hAnsi="Times New Roman" w:cs="Times New Roman"/>
          <w:i w:val="0"/>
          <w:iCs/>
          <w:sz w:val="24"/>
          <w:szCs w:val="24"/>
          <w:lang w:val="en-GB"/>
        </w:rPr>
        <w:t xml:space="preserve">), </w:t>
      </w:r>
      <w:proofErr w:type="spellStart"/>
      <w:r w:rsidRPr="004363B9">
        <w:rPr>
          <w:rStyle w:val="Nagwek2Znak"/>
          <w:rFonts w:ascii="Times New Roman" w:hAnsi="Times New Roman" w:cs="Times New Roman"/>
          <w:i w:val="0"/>
          <w:iCs/>
          <w:sz w:val="24"/>
          <w:szCs w:val="24"/>
          <w:lang w:val="en-GB"/>
        </w:rPr>
        <w:t>e.g</w:t>
      </w:r>
      <w:proofErr w:type="spellEnd"/>
      <w:r w:rsidRPr="004363B9">
        <w:rPr>
          <w:rStyle w:val="Nagwek2Znak"/>
          <w:rFonts w:ascii="Times New Roman" w:hAnsi="Times New Roman" w:cs="Times New Roman"/>
          <w:i w:val="0"/>
          <w:iCs/>
          <w:sz w:val="24"/>
          <w:szCs w:val="24"/>
          <w:lang w:val="en-GB"/>
        </w:rPr>
        <w:t>, I like to act spontaneously; preventive standards (</w:t>
      </w:r>
      <w:proofErr w:type="spellStart"/>
      <w:r w:rsidRPr="004363B9">
        <w:rPr>
          <w:rStyle w:val="Nagwek2Znak"/>
          <w:rFonts w:ascii="Times New Roman" w:hAnsi="Times New Roman" w:cs="Times New Roman"/>
          <w:i w:val="0"/>
          <w:iCs/>
          <w:sz w:val="24"/>
          <w:szCs w:val="24"/>
          <w:lang w:val="en-GB"/>
        </w:rPr>
        <w:t>SPre</w:t>
      </w:r>
      <w:proofErr w:type="spellEnd"/>
      <w:r w:rsidRPr="004363B9">
        <w:rPr>
          <w:rStyle w:val="Nagwek2Znak"/>
          <w:rFonts w:ascii="Times New Roman" w:hAnsi="Times New Roman" w:cs="Times New Roman"/>
          <w:i w:val="0"/>
          <w:iCs/>
          <w:sz w:val="24"/>
          <w:szCs w:val="24"/>
          <w:lang w:val="en-GB"/>
        </w:rPr>
        <w:t>), e.g. I usually do what I have to; preventive self-control (</w:t>
      </w:r>
      <w:proofErr w:type="spellStart"/>
      <w:r w:rsidRPr="004363B9">
        <w:rPr>
          <w:rStyle w:val="Nagwek2Znak"/>
          <w:rFonts w:ascii="Times New Roman" w:hAnsi="Times New Roman" w:cs="Times New Roman"/>
          <w:i w:val="0"/>
          <w:iCs/>
          <w:sz w:val="24"/>
          <w:szCs w:val="24"/>
          <w:lang w:val="en-GB"/>
        </w:rPr>
        <w:t>KPre</w:t>
      </w:r>
      <w:proofErr w:type="spellEnd"/>
      <w:r w:rsidRPr="004363B9">
        <w:rPr>
          <w:rStyle w:val="Nagwek2Znak"/>
          <w:rFonts w:ascii="Times New Roman" w:hAnsi="Times New Roman" w:cs="Times New Roman"/>
          <w:i w:val="0"/>
          <w:iCs/>
          <w:sz w:val="24"/>
          <w:szCs w:val="24"/>
          <w:lang w:val="en-GB"/>
        </w:rPr>
        <w:t xml:space="preserve">), e.g. I know I can be wrong, so I act carefully; and the strength of motivation (M), e.g. It’s hard to discourage me when I make up my mind.  In addition, the subscales for standards and self-control can be classified into two general scales: promotion (Pro) with nine items, prevention (Pre) with 11 items, and strength of motivation (M) with seven items, thus creating a three-factor structure.  According </w:t>
      </w:r>
      <w:r w:rsidRPr="004363B9">
        <w:rPr>
          <w:rStyle w:val="Nagwek2Znak"/>
          <w:rFonts w:ascii="Times New Roman" w:hAnsi="Times New Roman" w:cs="Times New Roman"/>
          <w:i w:val="0"/>
          <w:iCs/>
          <w:sz w:val="24"/>
          <w:szCs w:val="24"/>
          <w:lang w:val="en-GB"/>
        </w:rPr>
        <w:lastRenderedPageBreak/>
        <w:t>to the authors of the questionnaire, the general scales demonstrate satisfactory reliability, amounting to .77 for the Pro and Pre scales, .73 for M, and between .57 (</w:t>
      </w:r>
      <w:proofErr w:type="spellStart"/>
      <w:r w:rsidRPr="004363B9">
        <w:rPr>
          <w:rStyle w:val="Nagwek2Znak"/>
          <w:rFonts w:ascii="Times New Roman" w:hAnsi="Times New Roman" w:cs="Times New Roman"/>
          <w:i w:val="0"/>
          <w:iCs/>
          <w:sz w:val="24"/>
          <w:szCs w:val="24"/>
          <w:lang w:val="en-GB"/>
        </w:rPr>
        <w:t>KPro</w:t>
      </w:r>
      <w:proofErr w:type="spellEnd"/>
      <w:r w:rsidRPr="004363B9">
        <w:rPr>
          <w:rStyle w:val="Nagwek2Znak"/>
          <w:rFonts w:ascii="Times New Roman" w:hAnsi="Times New Roman" w:cs="Times New Roman"/>
          <w:i w:val="0"/>
          <w:iCs/>
          <w:sz w:val="24"/>
          <w:szCs w:val="24"/>
          <w:lang w:val="en-GB"/>
        </w:rPr>
        <w:t>) and .74 (</w:t>
      </w:r>
      <w:proofErr w:type="spellStart"/>
      <w:r w:rsidRPr="004363B9">
        <w:rPr>
          <w:rStyle w:val="Nagwek2Znak"/>
          <w:rFonts w:ascii="Times New Roman" w:hAnsi="Times New Roman" w:cs="Times New Roman"/>
          <w:i w:val="0"/>
          <w:iCs/>
          <w:sz w:val="24"/>
          <w:szCs w:val="24"/>
          <w:lang w:val="en-GB"/>
        </w:rPr>
        <w:t>KPre</w:t>
      </w:r>
      <w:proofErr w:type="spellEnd"/>
      <w:r w:rsidRPr="004363B9">
        <w:rPr>
          <w:rStyle w:val="Nagwek2Znak"/>
          <w:rFonts w:ascii="Times New Roman" w:hAnsi="Times New Roman" w:cs="Times New Roman"/>
          <w:i w:val="0"/>
          <w:iCs/>
          <w:sz w:val="24"/>
          <w:szCs w:val="24"/>
          <w:lang w:val="en-GB"/>
        </w:rPr>
        <w:t xml:space="preserve">) for the detailed scales.  In the present study, the obtained Cronbach’s α indices were .75 for the Pre scale, .81 for the Pro scale and .83 for the M scale. Therefore, to allow comparison with previous studies, the present study only includes the results for the general scales (Pre and Pro). </w:t>
      </w:r>
      <w:bookmarkStart w:id="3" w:name="_Hlk65597458"/>
      <w:bookmarkStart w:id="4" w:name="_Hlk65597471"/>
      <w:bookmarkEnd w:id="3"/>
      <w:bookmarkEnd w:id="4"/>
    </w:p>
    <w:p w14:paraId="3CF9FEE9" w14:textId="77777777" w:rsidR="004363B9" w:rsidRPr="004363B9" w:rsidRDefault="004363B9" w:rsidP="004363B9">
      <w:pPr>
        <w:spacing w:after="0"/>
        <w:jc w:val="center"/>
        <w:rPr>
          <w:rFonts w:ascii="Times New Roman" w:hAnsi="Times New Roman" w:cs="Times New Roman"/>
          <w:b/>
          <w:bCs/>
          <w:iCs/>
          <w:szCs w:val="24"/>
          <w:lang w:val="en-GB"/>
        </w:rPr>
      </w:pPr>
    </w:p>
    <w:sectPr w:rsidR="004363B9" w:rsidRPr="004363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3B9"/>
    <w:rsid w:val="002201C1"/>
    <w:rsid w:val="004363B9"/>
    <w:rsid w:val="007668F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5B3C9"/>
  <w15:chartTrackingRefBased/>
  <w15:docId w15:val="{F2A6E50E-8B66-465D-808E-F4B3AFFF0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unhideWhenUsed/>
    <w:qFormat/>
    <w:rsid w:val="004363B9"/>
    <w:pPr>
      <w:keepNext/>
      <w:keepLines/>
      <w:spacing w:before="200" w:after="0" w:line="360" w:lineRule="auto"/>
      <w:ind w:firstLine="709"/>
      <w:jc w:val="both"/>
      <w:outlineLvl w:val="1"/>
    </w:pPr>
    <w:rPr>
      <w:rFonts w:ascii="Cambria" w:eastAsia="Calibri" w:hAnsi="Cambria" w:cs="Arial"/>
      <w:bCs/>
      <w:i/>
      <w:sz w:val="26"/>
      <w:szCs w:val="26"/>
      <w:lang w:val="en-US"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4363B9"/>
    <w:rPr>
      <w:rFonts w:ascii="Cambria" w:eastAsia="Calibri" w:hAnsi="Cambria" w:cs="Arial"/>
      <w:bCs/>
      <w:i/>
      <w:sz w:val="26"/>
      <w:szCs w:val="26"/>
      <w:lang w:val="en-US"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681</Words>
  <Characters>4088</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Paszkowska-Rogacz</dc:creator>
  <cp:keywords/>
  <dc:description/>
  <cp:lastModifiedBy>Anna Paszkowska-Rogacz</cp:lastModifiedBy>
  <cp:revision>1</cp:revision>
  <dcterms:created xsi:type="dcterms:W3CDTF">2021-10-11T13:56:00Z</dcterms:created>
  <dcterms:modified xsi:type="dcterms:W3CDTF">2021-10-11T14:03:00Z</dcterms:modified>
</cp:coreProperties>
</file>