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Supplement figure 1. Gene correlation analysis.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blue represents positive correlation whereas red represents negative correlation.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Supplement figure 2. CRGs expression affects disease progression and DFS.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(A) Relationship between gene expression and tumor stage. (B) Relationship between gene expression and DFS. DFS, Disease free survival.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Y2RmNmMzMjZlYmEwMGUwZmZkNjdhNzVkZDZmY2IifQ=="/>
  </w:docVars>
  <w:rsids>
    <w:rsidRoot w:val="6AF87184"/>
    <w:rsid w:val="6AF8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2022-07-07T14:30:00Z</dcterms:created>
  <dc:creator>流星海</dc:creator>
  <cp:lastModifiedBy>流星海</cp:lastModifiedBy>
  <dcterms:modified xsi:type="dcterms:W3CDTF">2022-07-07T14:31:47Z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6BD7D0AEAEC14A7DAB1D5D44C808CB8B</vt:lpwstr>
  </property>
</Properties>
</file>