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89B" w:rsidRDefault="00EA289B" w:rsidP="00EA289B">
      <w:pPr>
        <w:adjustRightInd w:val="0"/>
        <w:snapToGrid w:val="0"/>
        <w:spacing w:line="276" w:lineRule="auto"/>
        <w:rPr>
          <w:rFonts w:ascii="Times New Roman" w:hAnsi="Times New Roman"/>
          <w:b/>
          <w:color w:val="000000" w:themeColor="text1"/>
          <w:sz w:val="22"/>
        </w:rPr>
      </w:pPr>
      <w:bookmarkStart w:id="0" w:name="_GoBack"/>
      <w:r w:rsidRPr="00BC5999">
        <w:rPr>
          <w:rFonts w:ascii="Times New Roman" w:hAnsi="Times New Roman"/>
          <w:b/>
          <w:color w:val="000000" w:themeColor="text1"/>
          <w:sz w:val="22"/>
        </w:rPr>
        <w:t xml:space="preserve">Appendix </w:t>
      </w:r>
      <w:r>
        <w:rPr>
          <w:rFonts w:ascii="Times New Roman" w:hAnsi="Times New Roman"/>
          <w:b/>
          <w:color w:val="000000" w:themeColor="text1"/>
          <w:sz w:val="22"/>
        </w:rPr>
        <w:t>1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sz w:val="22"/>
          <w:szCs w:val="22"/>
        </w:rPr>
        <w:t xml:space="preserve"> 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Comparison of 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our</w:t>
      </w:r>
      <w:r w:rsidRPr="00095E3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rate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s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 of </w:t>
      </w:r>
      <w:r w:rsidRPr="00095E3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first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-attempt intubation success, </w:t>
      </w:r>
      <w:r w:rsidRPr="00095E3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neuromuscular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 blockade use, and </w:t>
      </w:r>
      <w:r w:rsidRPr="00095E3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video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 laryngoscope use 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with those in</w:t>
      </w:r>
      <w:r w:rsidRPr="00BC5999">
        <w:rPr>
          <w:rFonts w:ascii="Times New Roman" w:hAnsi="Times New Roman"/>
          <w:b/>
          <w:color w:val="000000" w:themeColor="text1"/>
          <w:sz w:val="22"/>
        </w:rPr>
        <w:t xml:space="preserve"> previously reported studies</w:t>
      </w:r>
    </w:p>
    <w:p w:rsidR="00EA289B" w:rsidRPr="00BC5999" w:rsidRDefault="00EA289B" w:rsidP="00EA289B">
      <w:pPr>
        <w:adjustRightInd w:val="0"/>
        <w:snapToGrid w:val="0"/>
        <w:spacing w:line="276" w:lineRule="auto"/>
        <w:rPr>
          <w:rFonts w:ascii="Times New Roman" w:hAnsi="Times New Roman" w:hint="eastAsia"/>
          <w:b/>
          <w:color w:val="000000" w:themeColor="text1"/>
          <w:sz w:val="22"/>
        </w:rPr>
      </w:pPr>
    </w:p>
    <w:tbl>
      <w:tblPr>
        <w:tblStyle w:val="1"/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403"/>
        <w:gridCol w:w="1652"/>
        <w:gridCol w:w="1652"/>
        <w:gridCol w:w="1652"/>
        <w:gridCol w:w="1651"/>
      </w:tblGrid>
      <w:tr w:rsidR="00EA289B" w:rsidRPr="00361E43" w:rsidTr="000D02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Study and included patients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Wuhan,</w:t>
            </w:r>
            <w:r w:rsidRPr="001430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China</w:t>
            </w:r>
            <w:r w:rsidRPr="00BC5999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8</w:t>
            </w:r>
          </w:p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(20)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Wuhan,</w:t>
            </w:r>
            <w:r w:rsidRPr="001430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China</w:t>
            </w:r>
            <w:r w:rsidRPr="00BC5999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9</w:t>
            </w:r>
          </w:p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(202)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France</w:t>
            </w:r>
            <w:r w:rsidRPr="00BC5999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10</w:t>
            </w:r>
          </w:p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(150)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Tokyo,</w:t>
            </w:r>
            <w:r w:rsidRPr="001430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Japan</w:t>
            </w:r>
          </w:p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(46)</w:t>
            </w:r>
          </w:p>
        </w:tc>
      </w:tr>
      <w:tr w:rsidR="00EA289B" w:rsidRPr="00361E43" w:rsidTr="000D0208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First-attempt intubation success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100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89.1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88.0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84.8</w:t>
            </w:r>
          </w:p>
        </w:tc>
      </w:tr>
      <w:tr w:rsidR="00EA289B" w:rsidRPr="00361E43" w:rsidTr="000D0208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Neuromuscular blockade use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100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99.0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−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87.0</w:t>
            </w:r>
          </w:p>
        </w:tc>
      </w:tr>
      <w:tr w:rsidR="00EA289B" w:rsidRPr="00361E43" w:rsidTr="000D0208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ind w:firstLineChars="50" w:firstLine="100"/>
              <w:jc w:val="both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Video laryngoscope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100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89.6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91.3</w:t>
            </w:r>
          </w:p>
        </w:tc>
        <w:tc>
          <w:tcPr>
            <w:tcW w:w="917" w:type="pct"/>
            <w:vAlign w:val="center"/>
          </w:tcPr>
          <w:p w:rsidR="00EA289B" w:rsidRPr="00BC5999" w:rsidRDefault="00EA289B" w:rsidP="000D0208">
            <w:pPr>
              <w:adjustRightInd w:val="0"/>
              <w:snapToGri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0"/>
              </w:rPr>
            </w:pPr>
            <w:r w:rsidRPr="00BC5999">
              <w:rPr>
                <w:rFonts w:ascii="Times New Roman" w:hAnsi="Times New Roman"/>
                <w:color w:val="000000" w:themeColor="text1"/>
                <w:sz w:val="20"/>
              </w:rPr>
              <w:t>58.7</w:t>
            </w:r>
          </w:p>
        </w:tc>
      </w:tr>
    </w:tbl>
    <w:p w:rsidR="00EA289B" w:rsidRPr="00095E34" w:rsidRDefault="00EA289B" w:rsidP="00EA289B">
      <w:pPr>
        <w:spacing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C5999">
        <w:rPr>
          <w:rFonts w:ascii="Times New Roman" w:hAnsi="Times New Roman"/>
          <w:color w:val="000000" w:themeColor="text1"/>
          <w:sz w:val="22"/>
        </w:rPr>
        <w:t xml:space="preserve">Data are presented as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percentages</w:t>
      </w:r>
      <w:r w:rsidRPr="001430B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BC5999">
        <w:rPr>
          <w:rFonts w:ascii="Times New Roman" w:hAnsi="Times New Roman"/>
          <w:color w:val="000000" w:themeColor="text1"/>
          <w:sz w:val="22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the</w:t>
      </w:r>
      <w:r w:rsidRPr="00BC5999">
        <w:rPr>
          <w:rFonts w:ascii="Times New Roman" w:hAnsi="Times New Roman"/>
          <w:color w:val="000000" w:themeColor="text1"/>
          <w:sz w:val="22"/>
        </w:rPr>
        <w:t xml:space="preserve"> study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from </w:t>
      </w:r>
      <w:r w:rsidRPr="001430B5">
        <w:rPr>
          <w:rFonts w:ascii="Times New Roman" w:hAnsi="Times New Roman" w:cs="Times New Roman"/>
          <w:color w:val="000000" w:themeColor="text1"/>
          <w:sz w:val="22"/>
          <w:szCs w:val="22"/>
        </w:rPr>
        <w:t>Fr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1430B5">
        <w:rPr>
          <w:rFonts w:ascii="Times New Roman" w:hAnsi="Times New Roman" w:cs="Times New Roman"/>
          <w:color w:val="000000" w:themeColor="text1"/>
          <w:sz w:val="22"/>
          <w:szCs w:val="22"/>
        </w:rPr>
        <w:t>nc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 w:rsidRPr="00BC5999">
        <w:rPr>
          <w:rFonts w:ascii="Times New Roman" w:hAnsi="Times New Roman"/>
          <w:color w:val="000000" w:themeColor="text1"/>
          <w:sz w:val="22"/>
        </w:rPr>
        <w:t xml:space="preserve"> (10), there was no mention of the percentage of neuromuscular blockade used.</w:t>
      </w:r>
    </w:p>
    <w:bookmarkEnd w:id="0"/>
    <w:p w:rsidR="00042339" w:rsidRPr="00EA289B" w:rsidRDefault="00EA289B"/>
    <w:sectPr w:rsidR="00042339" w:rsidRPr="00EA289B" w:rsidSect="00BC5999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89B"/>
    <w:rsid w:val="000050E7"/>
    <w:rsid w:val="00006CDD"/>
    <w:rsid w:val="0001674C"/>
    <w:rsid w:val="000215A4"/>
    <w:rsid w:val="00025A47"/>
    <w:rsid w:val="0002701E"/>
    <w:rsid w:val="00032002"/>
    <w:rsid w:val="000341DF"/>
    <w:rsid w:val="00034C84"/>
    <w:rsid w:val="00046D02"/>
    <w:rsid w:val="00072025"/>
    <w:rsid w:val="00072BF1"/>
    <w:rsid w:val="000766A7"/>
    <w:rsid w:val="000835A3"/>
    <w:rsid w:val="000A0A40"/>
    <w:rsid w:val="000A2644"/>
    <w:rsid w:val="000A2E95"/>
    <w:rsid w:val="000C2003"/>
    <w:rsid w:val="000D302D"/>
    <w:rsid w:val="000E0AD6"/>
    <w:rsid w:val="000E0AEC"/>
    <w:rsid w:val="000F055E"/>
    <w:rsid w:val="000F23AE"/>
    <w:rsid w:val="000F6135"/>
    <w:rsid w:val="00106DB4"/>
    <w:rsid w:val="00153E27"/>
    <w:rsid w:val="001554A1"/>
    <w:rsid w:val="00157E02"/>
    <w:rsid w:val="0019045A"/>
    <w:rsid w:val="001A0123"/>
    <w:rsid w:val="001A614D"/>
    <w:rsid w:val="001B2098"/>
    <w:rsid w:val="001D5315"/>
    <w:rsid w:val="001E4106"/>
    <w:rsid w:val="001F5464"/>
    <w:rsid w:val="002014CF"/>
    <w:rsid w:val="002022A5"/>
    <w:rsid w:val="00222D7B"/>
    <w:rsid w:val="00227BE2"/>
    <w:rsid w:val="00241678"/>
    <w:rsid w:val="002425A0"/>
    <w:rsid w:val="00263A1F"/>
    <w:rsid w:val="002644D6"/>
    <w:rsid w:val="0026551A"/>
    <w:rsid w:val="002827C4"/>
    <w:rsid w:val="00292A02"/>
    <w:rsid w:val="00295AFC"/>
    <w:rsid w:val="00296874"/>
    <w:rsid w:val="002A0F1D"/>
    <w:rsid w:val="002A1C11"/>
    <w:rsid w:val="002A2E46"/>
    <w:rsid w:val="002B2E55"/>
    <w:rsid w:val="002C4285"/>
    <w:rsid w:val="002D1238"/>
    <w:rsid w:val="002E5116"/>
    <w:rsid w:val="002E59C9"/>
    <w:rsid w:val="00300AEE"/>
    <w:rsid w:val="00305AAD"/>
    <w:rsid w:val="00306826"/>
    <w:rsid w:val="00316847"/>
    <w:rsid w:val="0033480E"/>
    <w:rsid w:val="00334A5B"/>
    <w:rsid w:val="00341F09"/>
    <w:rsid w:val="00350FA9"/>
    <w:rsid w:val="00360B71"/>
    <w:rsid w:val="003615CD"/>
    <w:rsid w:val="003652C9"/>
    <w:rsid w:val="00396D8D"/>
    <w:rsid w:val="003C133A"/>
    <w:rsid w:val="003C2697"/>
    <w:rsid w:val="003C5239"/>
    <w:rsid w:val="003D1B25"/>
    <w:rsid w:val="003D2784"/>
    <w:rsid w:val="003D4BBF"/>
    <w:rsid w:val="003F476A"/>
    <w:rsid w:val="003F64C6"/>
    <w:rsid w:val="00403110"/>
    <w:rsid w:val="004031FD"/>
    <w:rsid w:val="004044ED"/>
    <w:rsid w:val="00422891"/>
    <w:rsid w:val="00426A2E"/>
    <w:rsid w:val="00431461"/>
    <w:rsid w:val="004341B0"/>
    <w:rsid w:val="004402B7"/>
    <w:rsid w:val="0044443E"/>
    <w:rsid w:val="0044526C"/>
    <w:rsid w:val="0045021C"/>
    <w:rsid w:val="00452725"/>
    <w:rsid w:val="0047435B"/>
    <w:rsid w:val="004777E5"/>
    <w:rsid w:val="00482B03"/>
    <w:rsid w:val="0048651B"/>
    <w:rsid w:val="0049573B"/>
    <w:rsid w:val="004A2767"/>
    <w:rsid w:val="004A43B2"/>
    <w:rsid w:val="004B7143"/>
    <w:rsid w:val="004C051B"/>
    <w:rsid w:val="004C07B0"/>
    <w:rsid w:val="004C0C4A"/>
    <w:rsid w:val="004C25FF"/>
    <w:rsid w:val="004C3921"/>
    <w:rsid w:val="004C75FA"/>
    <w:rsid w:val="004D209E"/>
    <w:rsid w:val="004E7410"/>
    <w:rsid w:val="004F7ADE"/>
    <w:rsid w:val="00521FCB"/>
    <w:rsid w:val="0052422B"/>
    <w:rsid w:val="00535B50"/>
    <w:rsid w:val="00541848"/>
    <w:rsid w:val="005504F6"/>
    <w:rsid w:val="0055084E"/>
    <w:rsid w:val="005D0BE2"/>
    <w:rsid w:val="005F6BAB"/>
    <w:rsid w:val="006375DE"/>
    <w:rsid w:val="006516B4"/>
    <w:rsid w:val="00652D79"/>
    <w:rsid w:val="0065421F"/>
    <w:rsid w:val="00654B8E"/>
    <w:rsid w:val="00670775"/>
    <w:rsid w:val="00681C2D"/>
    <w:rsid w:val="00692BC5"/>
    <w:rsid w:val="006A3628"/>
    <w:rsid w:val="006C7A3D"/>
    <w:rsid w:val="006E6BC4"/>
    <w:rsid w:val="006E722F"/>
    <w:rsid w:val="006F1A66"/>
    <w:rsid w:val="007003CC"/>
    <w:rsid w:val="007113F0"/>
    <w:rsid w:val="00713674"/>
    <w:rsid w:val="007225F6"/>
    <w:rsid w:val="00725E3E"/>
    <w:rsid w:val="00727C9B"/>
    <w:rsid w:val="00732468"/>
    <w:rsid w:val="0073430E"/>
    <w:rsid w:val="00734D42"/>
    <w:rsid w:val="007364E3"/>
    <w:rsid w:val="007366DA"/>
    <w:rsid w:val="00737C3E"/>
    <w:rsid w:val="007448B3"/>
    <w:rsid w:val="007837FC"/>
    <w:rsid w:val="007A0CFA"/>
    <w:rsid w:val="007A351A"/>
    <w:rsid w:val="007B09D4"/>
    <w:rsid w:val="007B401B"/>
    <w:rsid w:val="007B4674"/>
    <w:rsid w:val="007B56FD"/>
    <w:rsid w:val="007C1754"/>
    <w:rsid w:val="007C5A30"/>
    <w:rsid w:val="007E7435"/>
    <w:rsid w:val="007F6714"/>
    <w:rsid w:val="007F702B"/>
    <w:rsid w:val="008077B2"/>
    <w:rsid w:val="00810134"/>
    <w:rsid w:val="008102EA"/>
    <w:rsid w:val="00832A69"/>
    <w:rsid w:val="00833608"/>
    <w:rsid w:val="008465A2"/>
    <w:rsid w:val="00850769"/>
    <w:rsid w:val="008555CC"/>
    <w:rsid w:val="00865525"/>
    <w:rsid w:val="00871201"/>
    <w:rsid w:val="00871750"/>
    <w:rsid w:val="008718A3"/>
    <w:rsid w:val="008949CE"/>
    <w:rsid w:val="008A0A6A"/>
    <w:rsid w:val="008A4CE7"/>
    <w:rsid w:val="008C0CD8"/>
    <w:rsid w:val="008C2F52"/>
    <w:rsid w:val="008E0B95"/>
    <w:rsid w:val="008E13B6"/>
    <w:rsid w:val="008E18D0"/>
    <w:rsid w:val="008E2279"/>
    <w:rsid w:val="008E478D"/>
    <w:rsid w:val="008F5741"/>
    <w:rsid w:val="00903A28"/>
    <w:rsid w:val="00942E38"/>
    <w:rsid w:val="00986609"/>
    <w:rsid w:val="009902AA"/>
    <w:rsid w:val="009A2512"/>
    <w:rsid w:val="009A3F80"/>
    <w:rsid w:val="009C1FD7"/>
    <w:rsid w:val="009D1202"/>
    <w:rsid w:val="009E383F"/>
    <w:rsid w:val="00A03347"/>
    <w:rsid w:val="00A06249"/>
    <w:rsid w:val="00A10927"/>
    <w:rsid w:val="00A16885"/>
    <w:rsid w:val="00A25905"/>
    <w:rsid w:val="00A33C17"/>
    <w:rsid w:val="00A34928"/>
    <w:rsid w:val="00A40A53"/>
    <w:rsid w:val="00A41508"/>
    <w:rsid w:val="00A44772"/>
    <w:rsid w:val="00A44D0B"/>
    <w:rsid w:val="00A53B6F"/>
    <w:rsid w:val="00A5522B"/>
    <w:rsid w:val="00A55BB6"/>
    <w:rsid w:val="00A619EF"/>
    <w:rsid w:val="00A67A63"/>
    <w:rsid w:val="00A82535"/>
    <w:rsid w:val="00A87066"/>
    <w:rsid w:val="00A9301D"/>
    <w:rsid w:val="00A9655A"/>
    <w:rsid w:val="00AA1A4A"/>
    <w:rsid w:val="00AA4AA4"/>
    <w:rsid w:val="00AA5974"/>
    <w:rsid w:val="00AB397A"/>
    <w:rsid w:val="00AC5440"/>
    <w:rsid w:val="00AD3B38"/>
    <w:rsid w:val="00AD4141"/>
    <w:rsid w:val="00AE0648"/>
    <w:rsid w:val="00AE08EB"/>
    <w:rsid w:val="00AE2BC1"/>
    <w:rsid w:val="00AF1FE6"/>
    <w:rsid w:val="00AF6983"/>
    <w:rsid w:val="00B3169E"/>
    <w:rsid w:val="00B37BCF"/>
    <w:rsid w:val="00B4130B"/>
    <w:rsid w:val="00B44177"/>
    <w:rsid w:val="00B4486C"/>
    <w:rsid w:val="00B47B94"/>
    <w:rsid w:val="00B60657"/>
    <w:rsid w:val="00B76E1B"/>
    <w:rsid w:val="00B8498B"/>
    <w:rsid w:val="00BB34DC"/>
    <w:rsid w:val="00BD5D2D"/>
    <w:rsid w:val="00BE0CE6"/>
    <w:rsid w:val="00BE3656"/>
    <w:rsid w:val="00BE3B47"/>
    <w:rsid w:val="00BE6D0B"/>
    <w:rsid w:val="00BE7E3D"/>
    <w:rsid w:val="00C13D25"/>
    <w:rsid w:val="00C22E03"/>
    <w:rsid w:val="00C253B7"/>
    <w:rsid w:val="00C31BEA"/>
    <w:rsid w:val="00C33283"/>
    <w:rsid w:val="00C5722D"/>
    <w:rsid w:val="00C63F10"/>
    <w:rsid w:val="00C77076"/>
    <w:rsid w:val="00C80207"/>
    <w:rsid w:val="00C803BC"/>
    <w:rsid w:val="00C8069A"/>
    <w:rsid w:val="00C83101"/>
    <w:rsid w:val="00C974AA"/>
    <w:rsid w:val="00CA3FDD"/>
    <w:rsid w:val="00CB34AD"/>
    <w:rsid w:val="00CB4675"/>
    <w:rsid w:val="00CC1516"/>
    <w:rsid w:val="00CC1749"/>
    <w:rsid w:val="00CC1B70"/>
    <w:rsid w:val="00CE066F"/>
    <w:rsid w:val="00CE0FB0"/>
    <w:rsid w:val="00CE3DB9"/>
    <w:rsid w:val="00CE7254"/>
    <w:rsid w:val="00D20643"/>
    <w:rsid w:val="00D24957"/>
    <w:rsid w:val="00D305D0"/>
    <w:rsid w:val="00D36CAB"/>
    <w:rsid w:val="00D439C5"/>
    <w:rsid w:val="00D626AF"/>
    <w:rsid w:val="00D70C3A"/>
    <w:rsid w:val="00D82553"/>
    <w:rsid w:val="00D82B80"/>
    <w:rsid w:val="00D87979"/>
    <w:rsid w:val="00D91E60"/>
    <w:rsid w:val="00D95C2E"/>
    <w:rsid w:val="00D96B7E"/>
    <w:rsid w:val="00DA1D2F"/>
    <w:rsid w:val="00DA4EB2"/>
    <w:rsid w:val="00DA658B"/>
    <w:rsid w:val="00DB23E8"/>
    <w:rsid w:val="00DB3637"/>
    <w:rsid w:val="00DB5073"/>
    <w:rsid w:val="00DD1CCA"/>
    <w:rsid w:val="00DD29BE"/>
    <w:rsid w:val="00DE3D53"/>
    <w:rsid w:val="00DE672D"/>
    <w:rsid w:val="00DF1509"/>
    <w:rsid w:val="00E05E18"/>
    <w:rsid w:val="00E0748C"/>
    <w:rsid w:val="00E124E6"/>
    <w:rsid w:val="00E22DC7"/>
    <w:rsid w:val="00E25163"/>
    <w:rsid w:val="00E3649F"/>
    <w:rsid w:val="00E52886"/>
    <w:rsid w:val="00E634CE"/>
    <w:rsid w:val="00E70C56"/>
    <w:rsid w:val="00E718A2"/>
    <w:rsid w:val="00E758DB"/>
    <w:rsid w:val="00E866E4"/>
    <w:rsid w:val="00E87C83"/>
    <w:rsid w:val="00E93FB5"/>
    <w:rsid w:val="00E95F7B"/>
    <w:rsid w:val="00EA289B"/>
    <w:rsid w:val="00EA3FF4"/>
    <w:rsid w:val="00EB58CF"/>
    <w:rsid w:val="00EE4D4E"/>
    <w:rsid w:val="00EE5202"/>
    <w:rsid w:val="00EE7C5E"/>
    <w:rsid w:val="00EF536E"/>
    <w:rsid w:val="00EF64AA"/>
    <w:rsid w:val="00F0357D"/>
    <w:rsid w:val="00F064F0"/>
    <w:rsid w:val="00F11FD2"/>
    <w:rsid w:val="00F2038A"/>
    <w:rsid w:val="00F53C62"/>
    <w:rsid w:val="00F70CEE"/>
    <w:rsid w:val="00F8097F"/>
    <w:rsid w:val="00F860D4"/>
    <w:rsid w:val="00FA38F5"/>
    <w:rsid w:val="00FB04AD"/>
    <w:rsid w:val="00FD3792"/>
    <w:rsid w:val="00FD3C56"/>
    <w:rsid w:val="00FF14F3"/>
    <w:rsid w:val="00FF4217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5B5C7A"/>
  <w15:chartTrackingRefBased/>
  <w15:docId w15:val="{38B49B04-F096-BA48-9B5A-FFD171B2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289B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E7254"/>
    <w:pPr>
      <w:widowControl w:val="0"/>
      <w:jc w:val="both"/>
    </w:pPr>
    <w:rPr>
      <w:rFonts w:ascii="游明朝" w:eastAsia="游明朝" w:hAnsi="游明朝" w:cstheme="minorBidi"/>
      <w:kern w:val="2"/>
      <w:sz w:val="20"/>
      <w:szCs w:val="21"/>
    </w:rPr>
  </w:style>
  <w:style w:type="character" w:customStyle="1" w:styleId="EndNoteBibliography0">
    <w:name w:val="EndNote Bibliography (文字)"/>
    <w:basedOn w:val="a0"/>
    <w:link w:val="EndNoteBibliography"/>
    <w:rsid w:val="00CE7254"/>
    <w:rPr>
      <w:rFonts w:ascii="游明朝" w:eastAsia="游明朝" w:hAnsi="游明朝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CE7254"/>
    <w:pPr>
      <w:widowControl w:val="0"/>
      <w:jc w:val="center"/>
    </w:pPr>
    <w:rPr>
      <w:rFonts w:ascii="游明朝" w:eastAsia="游明朝" w:hAnsi="游明朝" w:cstheme="minorBidi"/>
      <w:kern w:val="2"/>
      <w:sz w:val="20"/>
      <w:szCs w:val="21"/>
    </w:rPr>
  </w:style>
  <w:style w:type="character" w:customStyle="1" w:styleId="EndNoteBibliographyTitle0">
    <w:name w:val="EndNote Bibliography Title (文字)"/>
    <w:basedOn w:val="a0"/>
    <w:link w:val="EndNoteBibliographyTitle"/>
    <w:rsid w:val="00CE7254"/>
    <w:rPr>
      <w:rFonts w:ascii="游明朝" w:eastAsia="游明朝" w:hAnsi="游明朝"/>
      <w:sz w:val="20"/>
      <w:szCs w:val="21"/>
    </w:rPr>
  </w:style>
  <w:style w:type="table" w:styleId="1">
    <w:name w:val="Grid Table 1 Light"/>
    <w:basedOn w:val="a1"/>
    <w:uiPriority w:val="46"/>
    <w:rsid w:val="00EA289B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一二三 亨</dc:creator>
  <cp:keywords/>
  <dc:description/>
  <cp:lastModifiedBy>一二三 亨</cp:lastModifiedBy>
  <cp:revision>1</cp:revision>
  <dcterms:created xsi:type="dcterms:W3CDTF">2021-01-28T07:53:00Z</dcterms:created>
  <dcterms:modified xsi:type="dcterms:W3CDTF">2021-01-28T07:54:00Z</dcterms:modified>
</cp:coreProperties>
</file>