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80A6E5"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 xml:space="preserve">Figure S1 </w:t>
      </w:r>
      <w:proofErr w:type="gramStart"/>
      <w:r>
        <w:rPr>
          <w:rStyle w:val="Strong"/>
          <w:rFonts w:ascii="Times New Roman" w:hAnsi="Times New Roman"/>
          <w:color w:val="0E101A"/>
          <w:sz w:val="21"/>
          <w:szCs w:val="21"/>
        </w:rPr>
        <w:t>Cross-talk</w:t>
      </w:r>
      <w:proofErr w:type="gramEnd"/>
      <w:r>
        <w:rPr>
          <w:rStyle w:val="Strong"/>
          <w:rFonts w:ascii="Times New Roman" w:hAnsi="Times New Roman"/>
          <w:color w:val="0E101A"/>
          <w:sz w:val="21"/>
          <w:szCs w:val="21"/>
        </w:rPr>
        <w:t xml:space="preserve"> of RCDGs in BLCA. </w:t>
      </w:r>
      <w:r>
        <w:rPr>
          <w:rFonts w:ascii="Times New Roman" w:hAnsi="Times New Roman"/>
          <w:color w:val="0E101A"/>
          <w:sz w:val="21"/>
          <w:szCs w:val="21"/>
        </w:rPr>
        <w:t>(A) The mRNA expression correlation of RCDGs in bladder cancer. (B) The RCD gene numbers are the distribution of five zones. (C) Protein-protein interaction of RCDGs.</w:t>
      </w:r>
    </w:p>
    <w:p w14:paraId="228F77AF"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74EF3BE7"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S2 Mutation characterization of RCDGs. </w:t>
      </w:r>
      <w:r>
        <w:rPr>
          <w:rFonts w:ascii="Times New Roman" w:hAnsi="Times New Roman"/>
          <w:color w:val="0E101A"/>
          <w:sz w:val="21"/>
          <w:szCs w:val="21"/>
        </w:rPr>
        <w:t>(A) The Expression of RCDGs in mutation and wild types. (B) The waterfall diagram shows the somatic mutation situation of the top 20 high mutation rates RCDGs in CCLE-BLCA. (C) The waterfall diagram shows the somatic mutation situation of high mutation rate RCDGs (mutation rate &gt; 2.5%) in ICGC-BLCA. (D) The Venn diagram shows the overlapping genes between high mutation rate genes and multifunction genes in ICGC-BLCA. (E) The Venn diagram shows the common high mutation rate genes in TCGA-BLCA and ICGC-BLCA. (F) The hotspot mutation of top 5 high mutation RCDGs. (G) The heatmap shows the co-occurrence and mutually exclusive relationship of high mutation rate RCDGs.</w:t>
      </w:r>
    </w:p>
    <w:p w14:paraId="18DA0A20"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7FC3352E"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S3 CNV characterization of RCDGs in CCLE-BLCA.</w:t>
      </w:r>
      <w:r>
        <w:rPr>
          <w:rFonts w:ascii="Times New Roman" w:hAnsi="Times New Roman"/>
          <w:color w:val="0E101A"/>
          <w:sz w:val="21"/>
          <w:szCs w:val="21"/>
        </w:rPr>
        <w:t> (A) CNV rate distribution of RCDGs in different chromosomes. (B) Venn diagram shows the co-high CNV rate RCDGs in TCGA-BLCA and CCLE-BLCA. (C) CNV rates of genes in different types of RCD in the CCLE-BLCA dataset. (E and F) The waterfall diagram shows the RCDGs with CNV (Gain and Amplification or Loss and Deep deletion) rate &gt; 50% in CCLE-BLCA. (G) The correlation between linear copy number and mRNA expression of RCDGs in TCGA-BLCA dataset.</w:t>
      </w:r>
    </w:p>
    <w:p w14:paraId="7EDC1174"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5B969722"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S4 Correlation between RCDGs and m6A regulators.</w:t>
      </w:r>
    </w:p>
    <w:p w14:paraId="3B30E744"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5E24F577"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S5 Correlation between RCDGs and m5C regulators.</w:t>
      </w:r>
    </w:p>
    <w:p w14:paraId="4AE9C74C"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058F8C20"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S6 Prediction of RCDGs regulated by the m5C regulators. </w:t>
      </w:r>
      <w:r>
        <w:rPr>
          <w:rFonts w:ascii="Times New Roman" w:hAnsi="Times New Roman"/>
          <w:color w:val="0E101A"/>
          <w:sz w:val="21"/>
          <w:szCs w:val="21"/>
        </w:rPr>
        <w:t xml:space="preserve">(A) Potential RCDGs are regulated by ALYREF based on the ALYREF RIP-seq data. (B) Volcano DEGs between siNSUN2 and </w:t>
      </w:r>
      <w:proofErr w:type="spellStart"/>
      <w:r>
        <w:rPr>
          <w:rFonts w:ascii="Times New Roman" w:hAnsi="Times New Roman"/>
          <w:color w:val="0E101A"/>
          <w:sz w:val="21"/>
          <w:szCs w:val="21"/>
        </w:rPr>
        <w:t>siNC</w:t>
      </w:r>
      <w:proofErr w:type="spellEnd"/>
      <w:r>
        <w:rPr>
          <w:rFonts w:ascii="Times New Roman" w:hAnsi="Times New Roman"/>
          <w:color w:val="0E101A"/>
          <w:sz w:val="21"/>
          <w:szCs w:val="21"/>
        </w:rPr>
        <w:t xml:space="preserve"> T24 cells. (C) The </w:t>
      </w:r>
      <w:proofErr w:type="spellStart"/>
      <w:r>
        <w:rPr>
          <w:rFonts w:ascii="Times New Roman" w:hAnsi="Times New Roman"/>
          <w:color w:val="0E101A"/>
          <w:sz w:val="21"/>
          <w:szCs w:val="21"/>
        </w:rPr>
        <w:t>logFC</w:t>
      </w:r>
      <w:proofErr w:type="spellEnd"/>
      <w:r>
        <w:rPr>
          <w:rFonts w:ascii="Times New Roman" w:hAnsi="Times New Roman"/>
          <w:color w:val="0E101A"/>
          <w:sz w:val="21"/>
          <w:szCs w:val="21"/>
        </w:rPr>
        <w:t xml:space="preserve"> of the potential RCDGs regulated by the NSUN2 in GSE133621. (D) Volcano DEGs between sgYBX1 and </w:t>
      </w:r>
      <w:proofErr w:type="spellStart"/>
      <w:r>
        <w:rPr>
          <w:rFonts w:ascii="Times New Roman" w:hAnsi="Times New Roman"/>
          <w:color w:val="0E101A"/>
          <w:sz w:val="21"/>
          <w:szCs w:val="21"/>
        </w:rPr>
        <w:t>siLuci</w:t>
      </w:r>
      <w:proofErr w:type="spellEnd"/>
      <w:r>
        <w:rPr>
          <w:rFonts w:ascii="Times New Roman" w:hAnsi="Times New Roman"/>
          <w:color w:val="0E101A"/>
          <w:sz w:val="21"/>
          <w:szCs w:val="21"/>
        </w:rPr>
        <w:t xml:space="preserve"> cells. (E) The </w:t>
      </w:r>
      <w:proofErr w:type="spellStart"/>
      <w:r>
        <w:rPr>
          <w:rFonts w:ascii="Times New Roman" w:hAnsi="Times New Roman"/>
          <w:color w:val="0E101A"/>
          <w:sz w:val="21"/>
          <w:szCs w:val="21"/>
        </w:rPr>
        <w:t>logFC</w:t>
      </w:r>
      <w:proofErr w:type="spellEnd"/>
      <w:r>
        <w:rPr>
          <w:rFonts w:ascii="Times New Roman" w:hAnsi="Times New Roman"/>
          <w:color w:val="0E101A"/>
          <w:sz w:val="21"/>
          <w:szCs w:val="21"/>
        </w:rPr>
        <w:t xml:space="preserve"> of the potential RCDGs regulated by the YBX1 in GSE175714.</w:t>
      </w:r>
    </w:p>
    <w:p w14:paraId="6EFF4F1C"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538ADACF"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S7 Importance of RCDGs in bladder cancer. </w:t>
      </w:r>
      <w:r>
        <w:rPr>
          <w:rFonts w:ascii="Times New Roman" w:hAnsi="Times New Roman"/>
          <w:color w:val="0E101A"/>
          <w:sz w:val="21"/>
          <w:szCs w:val="21"/>
        </w:rPr>
        <w:t xml:space="preserve">(A) The heatmap shows the RCDGs with </w:t>
      </w:r>
      <w:proofErr w:type="spellStart"/>
      <w:r>
        <w:rPr>
          <w:rFonts w:ascii="Times New Roman" w:hAnsi="Times New Roman"/>
          <w:color w:val="0E101A"/>
          <w:sz w:val="21"/>
          <w:szCs w:val="21"/>
        </w:rPr>
        <w:t>gDS</w:t>
      </w:r>
      <w:proofErr w:type="spellEnd"/>
      <w:r>
        <w:rPr>
          <w:rFonts w:ascii="Times New Roman" w:hAnsi="Times New Roman"/>
          <w:color w:val="0E101A"/>
          <w:sz w:val="21"/>
          <w:szCs w:val="21"/>
        </w:rPr>
        <w:t xml:space="preserve"> &gt; 0 in all the three bladder cancer cells. (B) Correlation between aneuploidy score and the mRNA expression of RCDGs. (C) The heatmap shows the estimated IC50 of chemotherapy drugs in bladder cancer cells. (D) The boxplot shows the estimated IC50 of chemotherapy drugs in TCGA-BLCA samples. (E) The network shows the correlation between the estimated IC50 of chemotherapy drugs and the mRNA expression of RCDGs. (F) The Kaplan-Meier survival curves of high-/low-RSI-group for TCGA-BLCA patients. (G) Univariate and multivariate Cox regression analysis regarding OS in the TCGA-BLCA cohorts based on RSI, age, gender, grade, and stage.</w:t>
      </w:r>
    </w:p>
    <w:p w14:paraId="10F917EF"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3F17F268"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S8 Cluster analysis of other three BLCA datasets.</w:t>
      </w:r>
      <w:r>
        <w:rPr>
          <w:rFonts w:ascii="Times New Roman" w:hAnsi="Times New Roman"/>
          <w:color w:val="0E101A"/>
          <w:sz w:val="21"/>
          <w:szCs w:val="21"/>
        </w:rPr>
        <w:t> (A-C) The t-SNE analysis supported the stratification into GSE13507 tumor and normal groups. Cluster dendrogram of GSE13507 RCD cluster. The Kaplan-Meier survival curves of the GSE13507 RCD cluster1/cluster2. (D-F) The t-SNE analysis supported the stratification into GSE48075 MIBC and NMIBC groups. Cluster dendrogram of GSE48075 RCD cluster. The Kaplan-Meier survival curves of the GSE48075 RCD cluster1/cluster2. (G-I) The t-SNE analysis supported the stratification into GSE48276 MIBC and other groups. Cluster dendrogram of GSE13507 RCD cluster. The Kaplan-Meier survival curves of the GSE13507 RCD cluster1/cluster2. </w:t>
      </w:r>
    </w:p>
    <w:p w14:paraId="14BB5DAB"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73053372"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S9 The t-SNE analysis supported the stratification into the tumor and normal groups of 25 TCGA cancer types.</w:t>
      </w:r>
    </w:p>
    <w:p w14:paraId="2993A3D0"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20001EBB"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S10 Cluster and survival analysis of 12 cancer types based on the Expression of RCDGs.</w:t>
      </w:r>
    </w:p>
    <w:p w14:paraId="3FA7C04E"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2189380B"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S11 Mutation characterization of RCD clusters. </w:t>
      </w:r>
      <w:r>
        <w:rPr>
          <w:rFonts w:ascii="Times New Roman" w:hAnsi="Times New Roman"/>
          <w:color w:val="0E101A"/>
          <w:sz w:val="21"/>
          <w:szCs w:val="21"/>
        </w:rPr>
        <w:t>(A and B) Mutation characterization of RCD cluster 1. (C and D) Mutation characterization of RCD cluster 2.</w:t>
      </w:r>
    </w:p>
    <w:p w14:paraId="2837D151"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0065E9AB"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lastRenderedPageBreak/>
        <w:t>Figure S12 Hallmark-related cancer pathways and immune infiltration based on the RCD clusters. </w:t>
      </w:r>
      <w:r>
        <w:rPr>
          <w:rFonts w:ascii="Times New Roman" w:hAnsi="Times New Roman"/>
          <w:color w:val="0E101A"/>
          <w:sz w:val="21"/>
          <w:szCs w:val="21"/>
        </w:rPr>
        <w:t>(A) The heatmap shows the activity score in cluster1 and cluster2. (B) The heatmap shows the immune infiltration levels in cluster1 and cluster2. </w:t>
      </w:r>
    </w:p>
    <w:p w14:paraId="60C20568"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0E566125"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S13 </w:t>
      </w:r>
      <w:r>
        <w:rPr>
          <w:rFonts w:ascii="Times New Roman" w:hAnsi="Times New Roman"/>
          <w:color w:val="0E101A"/>
          <w:sz w:val="21"/>
          <w:szCs w:val="21"/>
        </w:rPr>
        <w:t xml:space="preserve">(A) Analysis of the scale-free fit index and mean connectivity for various soft-thresholding powers of TCGA-MIBC datasets. (B) Checking the scale-free topology when β = 5. K shows the logarithm in the whole network connectivity, and p </w:t>
      </w:r>
      <w:proofErr w:type="gramStart"/>
      <w:r>
        <w:rPr>
          <w:rFonts w:ascii="Times New Roman" w:hAnsi="Times New Roman"/>
          <w:color w:val="0E101A"/>
          <w:sz w:val="21"/>
          <w:szCs w:val="21"/>
        </w:rPr>
        <w:t>( k</w:t>
      </w:r>
      <w:proofErr w:type="gramEnd"/>
      <w:r>
        <w:rPr>
          <w:rFonts w:ascii="Times New Roman" w:hAnsi="Times New Roman"/>
          <w:color w:val="0E101A"/>
          <w:sz w:val="21"/>
          <w:szCs w:val="21"/>
        </w:rPr>
        <w:t xml:space="preserve"> ) represents the logarithm of the corresponding frequency distribution. K is negatively correlated with p </w:t>
      </w:r>
      <w:proofErr w:type="gramStart"/>
      <w:r>
        <w:rPr>
          <w:rFonts w:ascii="Times New Roman" w:hAnsi="Times New Roman"/>
          <w:color w:val="0E101A"/>
          <w:sz w:val="21"/>
          <w:szCs w:val="21"/>
        </w:rPr>
        <w:t>( k</w:t>
      </w:r>
      <w:proofErr w:type="gramEnd"/>
      <w:r>
        <w:rPr>
          <w:rFonts w:ascii="Times New Roman" w:hAnsi="Times New Roman"/>
          <w:color w:val="0E101A"/>
          <w:sz w:val="21"/>
          <w:szCs w:val="21"/>
        </w:rPr>
        <w:t xml:space="preserve"> ). The correlation coefficient was 0.88 in TCGA-MIBC, which represents scale-free topology.</w:t>
      </w:r>
    </w:p>
    <w:p w14:paraId="22D97BB2"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0C6B186F"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S14 distribution of marker on TSNE map.</w:t>
      </w:r>
      <w:r>
        <w:rPr>
          <w:rFonts w:ascii="Times New Roman" w:hAnsi="Times New Roman"/>
          <w:color w:val="0E101A"/>
          <w:sz w:val="21"/>
          <w:szCs w:val="21"/>
        </w:rPr>
        <w:t> (A) TSNE plot represents the distribution of the markers of epithelial cells (EPCAM, KRT8, and KRT18). (B) TSNE plot represents the distribution of the markers of luminal type (GATA3) and basal type (KRT5 and CD44) of bladder cancer cells.</w:t>
      </w:r>
    </w:p>
    <w:p w14:paraId="039519B8"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0A084E96"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S15 expression of yellow module-related prognostic genes in different single-cell clusters and TSNE distribution. </w:t>
      </w:r>
    </w:p>
    <w:p w14:paraId="7BBB8071"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633B78D8"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S16 Expression of turquoise module-related prognostic genes in different single-cell clusters and TSNE distribution. </w:t>
      </w:r>
    </w:p>
    <w:p w14:paraId="7B97D1CE"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0A58B5CA"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r>
        <w:rPr>
          <w:rStyle w:val="Strong"/>
          <w:rFonts w:ascii="Times New Roman" w:hAnsi="Times New Roman"/>
          <w:color w:val="0E101A"/>
          <w:sz w:val="21"/>
          <w:szCs w:val="21"/>
        </w:rPr>
        <w:t>Figure S17 Expression of brown module-related prognostic genes in different single-cell clusters and TSNE distribution. </w:t>
      </w:r>
    </w:p>
    <w:p w14:paraId="0842B3DE" w14:textId="77777777" w:rsidR="002C0F83" w:rsidRDefault="002C0F83" w:rsidP="002C0F83">
      <w:pPr>
        <w:pStyle w:val="NormalWeb"/>
        <w:widowControl/>
        <w:spacing w:beforeAutospacing="0" w:afterAutospacing="0"/>
        <w:jc w:val="both"/>
        <w:rPr>
          <w:rFonts w:ascii="Times New Roman" w:hAnsi="Times New Roman"/>
          <w:color w:val="0E101A"/>
          <w:sz w:val="21"/>
          <w:szCs w:val="21"/>
        </w:rPr>
      </w:pPr>
    </w:p>
    <w:p w14:paraId="01FB08F2" w14:textId="77777777" w:rsidR="002C0F83" w:rsidRDefault="002C0F83" w:rsidP="002C0F83">
      <w:pPr>
        <w:pStyle w:val="NormalWeb"/>
        <w:widowControl/>
        <w:spacing w:beforeAutospacing="0" w:afterAutospacing="0"/>
        <w:jc w:val="both"/>
        <w:rPr>
          <w:rStyle w:val="Strong"/>
          <w:rFonts w:ascii="Times New Roman" w:hAnsi="Times New Roman"/>
          <w:color w:val="0E101A"/>
          <w:sz w:val="21"/>
          <w:szCs w:val="21"/>
        </w:rPr>
      </w:pPr>
      <w:r>
        <w:rPr>
          <w:rStyle w:val="Strong"/>
          <w:rFonts w:ascii="Times New Roman" w:hAnsi="Times New Roman"/>
          <w:color w:val="0E101A"/>
          <w:sz w:val="21"/>
          <w:szCs w:val="21"/>
        </w:rPr>
        <w:t>Figure S18 Expression of RCD cluster-related prognosis genes in luminal and basal type bladder cancer cells.</w:t>
      </w:r>
    </w:p>
    <w:p w14:paraId="0AC34356" w14:textId="77777777" w:rsidR="00D50019" w:rsidRDefault="00D50019"/>
    <w:sectPr w:rsidR="00D500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F83"/>
    <w:rsid w:val="002C0F83"/>
    <w:rsid w:val="00D500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10C84"/>
  <w15:chartTrackingRefBased/>
  <w15:docId w15:val="{BFE81FB3-5644-4CB6-9C7B-744B275BB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2C0F83"/>
    <w:pPr>
      <w:widowControl w:val="0"/>
      <w:spacing w:beforeAutospacing="1" w:after="0" w:afterAutospacing="1" w:line="240" w:lineRule="auto"/>
    </w:pPr>
    <w:rPr>
      <w:rFonts w:eastAsiaTheme="minorEastAsia" w:cs="Times New Roman"/>
      <w:sz w:val="24"/>
      <w:szCs w:val="24"/>
      <w:lang w:eastAsia="zh-CN"/>
    </w:rPr>
  </w:style>
  <w:style w:type="character" w:styleId="Strong">
    <w:name w:val="Strong"/>
    <w:basedOn w:val="DefaultParagraphFont"/>
    <w:qFormat/>
    <w:rsid w:val="002C0F83"/>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773</Words>
  <Characters>4407</Characters>
  <Application>Microsoft Office Word</Application>
  <DocSecurity>0</DocSecurity>
  <Lines>36</Lines>
  <Paragraphs>10</Paragraphs>
  <ScaleCrop>false</ScaleCrop>
  <Company/>
  <LinksUpToDate>false</LinksUpToDate>
  <CharactersWithSpaces>5170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2022-11-14T03:41:00Z</dcterms:created>
  <dcterms:modified xsi:type="dcterms:W3CDTF">2022-11-14T03:41:00Z</dcterms:modified>
</cp:coreProperties>
</file>