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10.png" ContentType="image/png"/>
  <Override PartName="/word/media/image6.png" ContentType="image/png"/>
  <Override PartName="/word/media/image7.tif" ContentType="image/tiff"/>
  <Override PartName="/word/media/image8.tif" ContentType="image/tiff"/>
  <Override PartName="/word/media/image9.tif" ContentType="image/tiff"/>
  <Override PartName="/word/media/image11.jpeg" ContentType="image/jpeg"/>
  <Override PartName="/word/media/image12.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andard"/>
        <w:spacing w:lineRule="auto" w:line="360"/>
        <w:jc w:val="center"/>
        <w:rPr>
          <w:rFonts w:ascii="Arial" w:hAnsi="Arial" w:cs="Arial"/>
          <w:b/>
          <w:b/>
          <w:bCs/>
          <w:sz w:val="40"/>
          <w:szCs w:val="40"/>
        </w:rPr>
      </w:pPr>
      <w:r>
        <w:rPr>
          <w:rFonts w:cs="Arial" w:ascii="Arial" w:hAnsi="Arial"/>
          <w:b/>
          <w:bCs/>
          <w:sz w:val="40"/>
          <w:szCs w:val="40"/>
        </w:rPr>
        <w:t>Supplementary Information</w:t>
      </w:r>
    </w:p>
    <w:p>
      <w:pPr>
        <w:pStyle w:val="Standard"/>
        <w:spacing w:lineRule="auto" w:line="360"/>
        <w:jc w:val="both"/>
        <w:rPr>
          <w:rFonts w:ascii="Arial" w:hAnsi="Arial" w:cs="Arial"/>
        </w:rPr>
      </w:pPr>
      <w:r>
        <w:rPr>
          <w:rFonts w:cs="Arial" w:ascii="Arial" w:hAnsi="Arial"/>
        </w:rPr>
      </w:r>
    </w:p>
    <w:p>
      <w:pPr>
        <w:pStyle w:val="Normal"/>
        <w:spacing w:lineRule="auto" w:line="360"/>
        <w:jc w:val="center"/>
        <w:rPr>
          <w:rFonts w:ascii="Arial" w:hAnsi="Arial" w:cs="Arial"/>
          <w:sz w:val="36"/>
          <w:szCs w:val="36"/>
        </w:rPr>
      </w:pPr>
      <w:r>
        <w:rPr>
          <w:rFonts w:cs="Arial" w:ascii="Arial" w:hAnsi="Arial"/>
          <w:sz w:val="36"/>
          <w:szCs w:val="36"/>
        </w:rPr>
        <w:t xml:space="preserve">The immunodominant protein P116 extracts </w:t>
      </w:r>
    </w:p>
    <w:p>
      <w:pPr>
        <w:pStyle w:val="Normal"/>
        <w:spacing w:lineRule="auto" w:line="360"/>
        <w:jc w:val="center"/>
        <w:rPr>
          <w:rFonts w:ascii="Arial" w:hAnsi="Arial" w:cs="Arial"/>
          <w:b/>
          <w:b/>
          <w:sz w:val="36"/>
          <w:szCs w:val="36"/>
        </w:rPr>
      </w:pPr>
      <w:r>
        <w:rPr>
          <w:rFonts w:cs="Arial" w:ascii="Arial" w:hAnsi="Arial"/>
          <w:sz w:val="36"/>
          <w:szCs w:val="36"/>
        </w:rPr>
        <w:t>cholesterol and other essential lipids</w:t>
      </w:r>
    </w:p>
    <w:p>
      <w:pPr>
        <w:pStyle w:val="Normal"/>
        <w:spacing w:lineRule="auto" w:line="360"/>
        <w:jc w:val="both"/>
        <w:rPr>
          <w:rFonts w:ascii="Arial" w:hAnsi="Arial" w:cs="Arial"/>
          <w:b/>
          <w:b/>
        </w:rPr>
      </w:pPr>
      <w:r>
        <w:rPr>
          <w:rFonts w:cs="Arial" w:ascii="Arial" w:hAnsi="Arial"/>
          <w:b/>
        </w:rPr>
      </w:r>
    </w:p>
    <w:p>
      <w:pPr>
        <w:pStyle w:val="Normal"/>
        <w:spacing w:lineRule="auto" w:line="360"/>
        <w:jc w:val="both"/>
        <w:rPr>
          <w:rFonts w:ascii="Arial" w:hAnsi="Arial" w:cs="Arial"/>
          <w:vertAlign w:val="superscript"/>
        </w:rPr>
      </w:pPr>
      <w:r>
        <w:rPr>
          <w:rFonts w:cs="Arial" w:ascii="Arial" w:hAnsi="Arial"/>
          <w:bCs/>
        </w:rPr>
        <w:t>Lasse Sprankel</w:t>
      </w:r>
      <w:r>
        <w:rPr>
          <w:rFonts w:cs="Arial" w:ascii="Arial" w:hAnsi="Arial"/>
          <w:bCs/>
          <w:vertAlign w:val="superscript"/>
        </w:rPr>
        <w:t>1,</w:t>
      </w:r>
      <w:r>
        <w:rPr>
          <w:rFonts w:cs="Arial" w:ascii="Arial" w:hAnsi="Arial"/>
          <w:bCs/>
        </w:rPr>
        <w:t>*, David Vizarraga</w:t>
      </w:r>
      <w:r>
        <w:rPr>
          <w:rFonts w:cs="Arial" w:ascii="Arial" w:hAnsi="Arial"/>
          <w:bCs/>
          <w:vertAlign w:val="superscript"/>
        </w:rPr>
        <w:t>2,</w:t>
      </w:r>
      <w:r>
        <w:rPr>
          <w:rFonts w:cs="Arial" w:ascii="Arial" w:hAnsi="Arial"/>
          <w:bCs/>
        </w:rPr>
        <w:t xml:space="preserve">*, </w:t>
      </w:r>
      <w:r>
        <w:rPr>
          <w:rFonts w:cs="Arial" w:ascii="Arial" w:hAnsi="Arial"/>
        </w:rPr>
        <w:t>Jesús Martín</w:t>
      </w:r>
      <w:r>
        <w:rPr>
          <w:rFonts w:cs="Arial" w:ascii="Arial" w:hAnsi="Arial"/>
          <w:vertAlign w:val="superscript"/>
        </w:rPr>
        <w:t>2</w:t>
      </w:r>
      <w:r>
        <w:rPr>
          <w:rFonts w:cs="Arial" w:ascii="Arial" w:hAnsi="Arial"/>
        </w:rPr>
        <w:t>, Sina Manger</w:t>
      </w:r>
      <w:r>
        <w:rPr>
          <w:rFonts w:cs="Arial" w:ascii="Arial" w:hAnsi="Arial"/>
          <w:vertAlign w:val="superscript"/>
        </w:rPr>
        <w:t>1</w:t>
      </w:r>
      <w:r>
        <w:rPr>
          <w:rFonts w:cs="Arial" w:ascii="Arial" w:hAnsi="Arial"/>
        </w:rPr>
        <w:t>, Jakob Meier-Credo</w:t>
      </w:r>
      <w:r>
        <w:rPr>
          <w:rFonts w:cs="Arial" w:ascii="Arial" w:hAnsi="Arial"/>
          <w:vertAlign w:val="superscript"/>
        </w:rPr>
        <w:t>3</w:t>
      </w:r>
      <w:r>
        <w:rPr>
          <w:rFonts w:cs="Arial" w:ascii="Arial" w:hAnsi="Arial"/>
        </w:rPr>
        <w:t>, Marina Marcos</w:t>
      </w:r>
      <w:r>
        <w:rPr>
          <w:rFonts w:cs="Arial" w:ascii="Arial" w:hAnsi="Arial"/>
          <w:vertAlign w:val="superscript"/>
        </w:rPr>
        <w:t>4</w:t>
      </w:r>
      <w:r>
        <w:rPr>
          <w:rFonts w:cs="Arial" w:ascii="Arial" w:hAnsi="Arial"/>
        </w:rPr>
        <w:t>, Josep Julve</w:t>
      </w:r>
      <w:r>
        <w:rPr>
          <w:rFonts w:cs="Arial" w:ascii="Arial" w:hAnsi="Arial"/>
          <w:vertAlign w:val="superscript"/>
        </w:rPr>
        <w:t>5</w:t>
      </w:r>
      <w:r>
        <w:rPr>
          <w:rFonts w:cs="Arial" w:ascii="Arial" w:hAnsi="Arial"/>
        </w:rPr>
        <w:t>, Noemi Rotllan</w:t>
      </w:r>
      <w:r>
        <w:rPr>
          <w:rFonts w:cs="Arial" w:ascii="Arial" w:hAnsi="Arial"/>
          <w:vertAlign w:val="superscript"/>
        </w:rPr>
        <w:t>5</w:t>
      </w:r>
      <w:r>
        <w:rPr>
          <w:rFonts w:cs="Arial" w:ascii="Arial" w:hAnsi="Arial"/>
        </w:rPr>
        <w:t>, Margot P. Scheffer</w:t>
      </w:r>
      <w:r>
        <w:rPr>
          <w:rFonts w:cs="Arial" w:ascii="Arial" w:hAnsi="Arial"/>
          <w:vertAlign w:val="superscript"/>
        </w:rPr>
        <w:t>1</w:t>
      </w:r>
      <w:r>
        <w:rPr>
          <w:rFonts w:cs="Arial" w:ascii="Arial" w:hAnsi="Arial"/>
        </w:rPr>
        <w:t>, Joan Carles Escolà-Gil</w:t>
      </w:r>
      <w:r>
        <w:rPr>
          <w:rFonts w:cs="Arial" w:ascii="Arial" w:hAnsi="Arial"/>
          <w:vertAlign w:val="superscript"/>
        </w:rPr>
        <w:t>5</w:t>
      </w:r>
      <w:r>
        <w:rPr>
          <w:rFonts w:cs="Arial" w:ascii="Arial" w:hAnsi="Arial"/>
        </w:rPr>
        <w:t xml:space="preserve">, Julian </w:t>
      </w:r>
      <w:r>
        <w:rPr>
          <w:rFonts w:cs="Arial" w:ascii="Arial" w:hAnsi="Arial"/>
          <w:iCs/>
        </w:rPr>
        <w:t>Langer</w:t>
      </w:r>
      <w:r>
        <w:rPr>
          <w:rFonts w:cs="Arial" w:ascii="Arial" w:hAnsi="Arial"/>
          <w:iCs/>
          <w:vertAlign w:val="superscript"/>
        </w:rPr>
        <w:t>3</w:t>
      </w:r>
      <w:r>
        <w:rPr>
          <w:rFonts w:cs="Arial" w:ascii="Arial" w:hAnsi="Arial"/>
        </w:rPr>
        <w:t>, Jaume Piñol</w:t>
      </w:r>
      <w:r>
        <w:rPr>
          <w:rFonts w:cs="Arial" w:ascii="Arial" w:hAnsi="Arial"/>
          <w:vertAlign w:val="superscript"/>
        </w:rPr>
        <w:t>4</w:t>
      </w:r>
      <w:r>
        <w:rPr>
          <w:rFonts w:cs="Arial" w:ascii="Arial" w:hAnsi="Arial"/>
        </w:rPr>
        <w:t>, Ignacio Fita</w:t>
      </w:r>
      <w:r>
        <w:rPr>
          <w:rFonts w:cs="Arial" w:ascii="Arial" w:hAnsi="Arial"/>
          <w:vertAlign w:val="superscript"/>
        </w:rPr>
        <w:t>2,#</w:t>
      </w:r>
      <w:r>
        <w:rPr>
          <w:rFonts w:cs="Arial" w:ascii="Arial" w:hAnsi="Arial"/>
        </w:rPr>
        <w:t xml:space="preserve"> and Achilleas S. Frangakis</w:t>
      </w:r>
      <w:r>
        <w:rPr>
          <w:rFonts w:cs="Arial" w:ascii="Arial" w:hAnsi="Arial"/>
          <w:vertAlign w:val="superscript"/>
        </w:rPr>
        <w:t>1,#</w:t>
      </w:r>
    </w:p>
    <w:p>
      <w:pPr>
        <w:pStyle w:val="Standard"/>
        <w:spacing w:lineRule="auto" w:line="360"/>
        <w:jc w:val="both"/>
        <w:rPr>
          <w:rFonts w:ascii="Arial" w:hAnsi="Arial" w:cs="Arial"/>
        </w:rPr>
      </w:pPr>
      <w:r>
        <w:rPr>
          <w:rFonts w:cs="Arial" w:ascii="Arial" w:hAnsi="Arial"/>
        </w:rPr>
      </w:r>
      <w:r>
        <w:br w:type="page"/>
      </w:r>
    </w:p>
    <w:p>
      <w:pPr>
        <w:pStyle w:val="Standard"/>
        <w:spacing w:lineRule="auto" w:line="360"/>
        <w:jc w:val="center"/>
        <w:rPr>
          <w:rFonts w:ascii="Arial" w:hAnsi="Arial" w:cs="Arial"/>
          <w:b/>
          <w:b/>
          <w:bCs/>
        </w:rPr>
      </w:pPr>
      <w:r>
        <w:rPr/>
        <w:drawing>
          <wp:inline distT="0" distB="0" distL="0" distR="0">
            <wp:extent cx="5753100" cy="2095500"/>
            <wp:effectExtent l="0" t="0" r="0" b="0"/>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10;&#10;Description automatically generated"/>
                    <pic:cNvPicPr>
                      <a:picLocks noChangeAspect="1" noChangeArrowheads="1"/>
                    </pic:cNvPicPr>
                  </pic:nvPicPr>
                  <pic:blipFill>
                    <a:blip r:embed="rId2"/>
                    <a:srcRect l="0" t="0" r="0" b="70961"/>
                    <a:stretch>
                      <a:fillRect/>
                    </a:stretch>
                  </pic:blipFill>
                  <pic:spPr bwMode="auto">
                    <a:xfrm>
                      <a:off x="0" y="0"/>
                      <a:ext cx="5753100" cy="2095500"/>
                    </a:xfrm>
                    <a:prstGeom prst="rect">
                      <a:avLst/>
                    </a:prstGeom>
                  </pic:spPr>
                </pic:pic>
              </a:graphicData>
            </a:graphic>
          </wp:inline>
        </w:drawing>
      </w:r>
    </w:p>
    <w:p>
      <w:pPr>
        <w:pStyle w:val="Standard"/>
        <w:spacing w:lineRule="auto" w:line="360"/>
        <w:jc w:val="both"/>
        <w:rPr>
          <w:rFonts w:ascii="Arial" w:hAnsi="Arial" w:cs="Arial"/>
          <w:b/>
          <w:b/>
          <w:bCs/>
        </w:rPr>
      </w:pPr>
      <w:r>
        <w:rPr>
          <w:rFonts w:cs="Arial" w:ascii="Arial" w:hAnsi="Arial"/>
          <w:b/>
          <w:bCs/>
        </w:rPr>
      </w:r>
    </w:p>
    <w:p>
      <w:pPr>
        <w:pStyle w:val="Standard"/>
        <w:spacing w:lineRule="auto" w:line="360"/>
        <w:jc w:val="both"/>
        <w:rPr>
          <w:rFonts w:ascii="Arial" w:hAnsi="Arial" w:cs="Arial"/>
          <w:b/>
          <w:b/>
          <w:bCs/>
        </w:rPr>
      </w:pPr>
      <w:r>
        <w:rPr>
          <w:rFonts w:cs="Arial" w:ascii="Arial" w:hAnsi="Arial"/>
          <w:b/>
          <w:bCs/>
        </w:rPr>
        <w:t>Supplementary Figure 1: P116 constructs.</w:t>
      </w:r>
    </w:p>
    <w:p>
      <w:pPr>
        <w:pStyle w:val="Standard"/>
        <w:spacing w:lineRule="auto" w:line="360"/>
        <w:jc w:val="both"/>
        <w:rPr>
          <w:rFonts w:ascii="Arial" w:hAnsi="Arial" w:cs="Arial"/>
        </w:rPr>
      </w:pPr>
      <w:r>
        <w:rPr>
          <w:rFonts w:cs="Arial" w:ascii="Arial" w:hAnsi="Arial"/>
        </w:rPr>
        <w:t>Overview of the different constructs (30 - 957, 30 – 818, 246 - 845) used for expression. For expression purposes a His-tag (KHHHHH) was added at the C-terminus. For the structural analysis by cryoEM the construct from 30-957 was used.</w:t>
      </w:r>
    </w:p>
    <w:p>
      <w:pPr>
        <w:pStyle w:val="Standard"/>
        <w:spacing w:lineRule="auto" w:line="360"/>
        <w:jc w:val="both"/>
        <w:rPr>
          <w:rFonts w:ascii="Arial" w:hAnsi="Arial" w:cs="Arial"/>
        </w:rPr>
      </w:pPr>
      <w:r>
        <w:rPr>
          <w:rFonts w:cs="Arial" w:ascii="Arial" w:hAnsi="Arial"/>
        </w:rPr>
      </w:r>
    </w:p>
    <w:p>
      <w:pPr>
        <w:pStyle w:val="Normal"/>
        <w:spacing w:lineRule="auto" w:line="360"/>
        <w:jc w:val="both"/>
        <w:rPr>
          <w:rFonts w:ascii="Arial" w:hAnsi="Arial" w:eastAsia="AR PL SungtiL GB" w:cs="Arial"/>
          <w:kern w:val="2"/>
          <w:lang w:eastAsia="zh-CN" w:bidi="hi-IN"/>
        </w:rPr>
      </w:pPr>
      <w:r>
        <w:rPr>
          <w:rFonts w:eastAsia="AR PL SungtiL GB" w:cs="Arial" w:ascii="Arial" w:hAnsi="Arial"/>
          <w:kern w:val="2"/>
          <w:lang w:eastAsia="zh-CN" w:bidi="hi-IN"/>
        </w:rPr>
      </w:r>
      <w:r>
        <w:br w:type="page"/>
      </w:r>
    </w:p>
    <w:p>
      <w:pPr>
        <w:pStyle w:val="Standard"/>
        <w:spacing w:lineRule="auto" w:line="360"/>
        <w:jc w:val="center"/>
        <w:rPr>
          <w:rFonts w:ascii="Arial" w:hAnsi="Arial" w:cs="Arial"/>
        </w:rPr>
      </w:pPr>
      <w:r>
        <w:rPr/>
        <w:drawing>
          <wp:inline distT="0" distB="0" distL="0" distR="0">
            <wp:extent cx="5753100" cy="3368040"/>
            <wp:effectExtent l="0" t="0" r="0" b="0"/>
            <wp:docPr id="2"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 descr="Graphical user interface, application&#10;&#10;Description automatically generated"/>
                    <pic:cNvPicPr>
                      <a:picLocks noChangeAspect="1" noChangeArrowheads="1"/>
                    </pic:cNvPicPr>
                  </pic:nvPicPr>
                  <pic:blipFill>
                    <a:blip r:embed="rId3"/>
                    <a:srcRect l="0" t="37800" r="0" b="15525"/>
                    <a:stretch>
                      <a:fillRect/>
                    </a:stretch>
                  </pic:blipFill>
                  <pic:spPr bwMode="auto">
                    <a:xfrm>
                      <a:off x="0" y="0"/>
                      <a:ext cx="5753100" cy="3368040"/>
                    </a:xfrm>
                    <a:prstGeom prst="rect">
                      <a:avLst/>
                    </a:prstGeom>
                  </pic:spPr>
                </pic:pic>
              </a:graphicData>
            </a:graphic>
          </wp:inline>
        </w:drawing>
      </w:r>
    </w:p>
    <w:p>
      <w:pPr>
        <w:pStyle w:val="Standard"/>
        <w:spacing w:lineRule="auto" w:line="360"/>
        <w:jc w:val="both"/>
        <w:rPr>
          <w:rFonts w:ascii="Arial" w:hAnsi="Arial" w:cs="Arial"/>
          <w:b/>
          <w:b/>
          <w:bCs/>
        </w:rPr>
      </w:pPr>
      <w:r>
        <w:rPr>
          <w:rFonts w:cs="Arial" w:ascii="Arial" w:hAnsi="Arial"/>
          <w:b/>
          <w:bCs/>
        </w:rPr>
      </w:r>
    </w:p>
    <w:p>
      <w:pPr>
        <w:pStyle w:val="Standard"/>
        <w:spacing w:lineRule="auto" w:line="360"/>
        <w:jc w:val="both"/>
        <w:rPr>
          <w:rFonts w:ascii="Arial" w:hAnsi="Arial" w:cs="Arial"/>
        </w:rPr>
      </w:pPr>
      <w:r>
        <w:rPr>
          <w:rFonts w:cs="Arial" w:ascii="Arial" w:hAnsi="Arial"/>
          <w:b/>
          <w:bCs/>
        </w:rPr>
        <w:t>Supplementary Figure 2: Overview of cryoEM processing of P116.</w:t>
      </w:r>
      <w:r>
        <w:rPr>
          <w:rFonts w:cs="Arial" w:ascii="Arial" w:hAnsi="Arial"/>
        </w:rPr>
        <w:t xml:space="preserve"> </w:t>
      </w:r>
      <w:r>
        <w:rPr>
          <w:rFonts w:cs="Arial" w:ascii="Arial" w:hAnsi="Arial"/>
          <w:b/>
          <w:bCs/>
        </w:rPr>
        <w:t xml:space="preserve">(a) </w:t>
      </w:r>
      <w:r>
        <w:rPr>
          <w:rFonts w:cs="Arial" w:ascii="Arial" w:hAnsi="Arial"/>
        </w:rPr>
        <w:t xml:space="preserve">Representative Micrograph and obtained 2D classes used for template picking. </w:t>
      </w:r>
      <w:r>
        <w:rPr>
          <w:rFonts w:cs="Arial" w:ascii="Arial" w:hAnsi="Arial"/>
          <w:b/>
          <w:bCs/>
        </w:rPr>
        <w:t xml:space="preserve">(b) </w:t>
      </w:r>
      <w:r>
        <w:rPr>
          <w:rFonts w:cs="Arial" w:ascii="Arial" w:hAnsi="Arial"/>
        </w:rPr>
        <w:t xml:space="preserve">Fourier shell correlation of P116 reporting a final resolution of 3.3 </w:t>
      </w:r>
      <w:r>
        <w:rPr>
          <w:rFonts w:cs="Arial" w:ascii="Arial" w:hAnsi="Arial"/>
          <w:lang w:val="en-GB"/>
        </w:rPr>
        <w:t xml:space="preserve">Å according to the 0.143  cut-off criteria. </w:t>
      </w:r>
      <w:r>
        <w:rPr>
          <w:rFonts w:cs="Arial" w:ascii="Arial" w:hAnsi="Arial"/>
          <w:b/>
          <w:bCs/>
          <w:lang w:val="en-GB"/>
        </w:rPr>
        <w:t xml:space="preserve">(c) </w:t>
      </w:r>
      <w:r>
        <w:rPr>
          <w:rFonts w:cs="Arial" w:ascii="Arial" w:hAnsi="Arial"/>
          <w:lang w:val="en-GB"/>
        </w:rPr>
        <w:t xml:space="preserve">Local resolution map of the cryoEM denisty map of P116 ranging from 2.5 to 5 Å. </w:t>
      </w:r>
      <w:r>
        <w:rPr>
          <w:rFonts w:cs="Arial" w:ascii="Arial" w:hAnsi="Arial"/>
          <w:b/>
          <w:bCs/>
          <w:lang w:val="en-GB"/>
        </w:rPr>
        <w:t>(d)</w:t>
      </w:r>
      <w:r>
        <w:rPr>
          <w:rFonts w:cs="Arial" w:ascii="Arial" w:hAnsi="Arial"/>
          <w:lang w:val="en-GB"/>
        </w:rPr>
        <w:t xml:space="preserve"> Schematic processing overview for the P116 construct. The processing for P116 empty, P116 refilled and P116 + HDL was carried out in a similar manner.</w:t>
      </w:r>
    </w:p>
    <w:p>
      <w:pPr>
        <w:pStyle w:val="Normal"/>
        <w:spacing w:lineRule="auto" w:line="360"/>
        <w:jc w:val="both"/>
        <w:rPr>
          <w:rFonts w:ascii="Arial" w:hAnsi="Arial" w:eastAsia="AR PL SungtiL GB" w:cs="Arial"/>
          <w:kern w:val="2"/>
          <w:lang w:eastAsia="zh-CN" w:bidi="hi-IN"/>
        </w:rPr>
      </w:pPr>
      <w:r>
        <w:rPr>
          <w:rFonts w:eastAsia="AR PL SungtiL GB" w:cs="Arial" w:ascii="Arial" w:hAnsi="Arial"/>
          <w:kern w:val="2"/>
          <w:lang w:eastAsia="zh-CN" w:bidi="hi-IN"/>
        </w:rPr>
      </w:r>
      <w:r>
        <w:br w:type="page"/>
      </w:r>
    </w:p>
    <w:p>
      <w:pPr>
        <w:pStyle w:val="Standard"/>
        <w:spacing w:lineRule="auto" w:line="360"/>
        <w:jc w:val="center"/>
        <w:rPr>
          <w:rFonts w:ascii="Arial" w:hAnsi="Arial" w:cs="Arial"/>
          <w:b/>
          <w:b/>
          <w:bCs/>
          <w:lang w:val="en-GB"/>
        </w:rPr>
      </w:pPr>
      <w:r>
        <w:rPr/>
        <w:drawing>
          <wp:inline distT="0" distB="0" distL="0" distR="0">
            <wp:extent cx="3870325" cy="6833235"/>
            <wp:effectExtent l="0" t="0" r="0" b="0"/>
            <wp:docPr id="3" name="Picture 12" descr="A picture containing tex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2" descr="A picture containing text, screenshot&#10;&#10;Description automatically generated"/>
                    <pic:cNvPicPr>
                      <a:picLocks noChangeAspect="1" noChangeArrowheads="1"/>
                    </pic:cNvPicPr>
                  </pic:nvPicPr>
                  <pic:blipFill>
                    <a:blip r:embed="rId4"/>
                    <a:stretch>
                      <a:fillRect/>
                    </a:stretch>
                  </pic:blipFill>
                  <pic:spPr bwMode="auto">
                    <a:xfrm>
                      <a:off x="0" y="0"/>
                      <a:ext cx="3870325" cy="6833235"/>
                    </a:xfrm>
                    <a:prstGeom prst="rect">
                      <a:avLst/>
                    </a:prstGeom>
                  </pic:spPr>
                </pic:pic>
              </a:graphicData>
            </a:graphic>
          </wp:inline>
        </w:drawing>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rPr>
      </w:pPr>
      <w:r>
        <w:rPr>
          <w:rFonts w:cs="Arial" w:ascii="Arial" w:hAnsi="Arial"/>
          <w:b/>
          <w:bCs/>
          <w:lang w:val="en-GB"/>
        </w:rPr>
        <w:t>Supplementary Figure 3: Dimerization interface of P116.</w:t>
      </w:r>
      <w:r>
        <w:rPr>
          <w:rFonts w:cs="Arial" w:ascii="Arial" w:hAnsi="Arial"/>
          <w:lang w:val="en-GB"/>
        </w:rPr>
        <w:t xml:space="preserve"> </w:t>
      </w:r>
      <w:r>
        <w:rPr>
          <w:rFonts w:cs="Arial" w:ascii="Arial" w:hAnsi="Arial"/>
          <w:b/>
          <w:bCs/>
          <w:lang w:val="en-GB"/>
        </w:rPr>
        <w:t>(a)</w:t>
      </w:r>
      <w:r>
        <w:rPr>
          <w:rFonts w:cs="Arial" w:ascii="Arial" w:hAnsi="Arial"/>
          <w:lang w:val="en-GB"/>
        </w:rPr>
        <w:t xml:space="preserve"> Detail of the dimerization zone with the two monomers and the TRP-681 residue of both chains contacting the opposite one. </w:t>
      </w:r>
      <w:r>
        <w:rPr>
          <w:rFonts w:cs="Arial" w:ascii="Arial" w:hAnsi="Arial"/>
          <w:b/>
          <w:bCs/>
          <w:lang w:val="en-GB"/>
        </w:rPr>
        <w:t xml:space="preserve">(b) </w:t>
      </w:r>
      <w:r>
        <w:rPr>
          <w:rFonts w:cs="Arial" w:ascii="Arial" w:hAnsi="Arial"/>
          <w:lang w:val="en-GB"/>
        </w:rPr>
        <w:t>SEC-MALS of P116 W681A. The greatest polydispersity of this sample is observed, which oscillates between a very large MW (molecular weight) range, and the clear decrease in size with respect to the WT due to the now predominance of the monomeric state.</w:t>
      </w:r>
    </w:p>
    <w:p>
      <w:pPr>
        <w:pStyle w:val="Normal"/>
        <w:spacing w:lineRule="auto" w:line="360"/>
        <w:jc w:val="both"/>
        <w:rPr>
          <w:rFonts w:ascii="Arial" w:hAnsi="Arial" w:eastAsia="AR PL SungtiL GB" w:cs="Arial"/>
          <w:kern w:val="2"/>
          <w:highlight w:val="yellow"/>
          <w:lang w:eastAsia="zh-CN" w:bidi="hi-IN"/>
        </w:rPr>
      </w:pPr>
      <w:r>
        <w:rPr>
          <w:rFonts w:eastAsia="AR PL SungtiL GB" w:cs="Arial" w:ascii="Arial" w:hAnsi="Arial"/>
          <w:kern w:val="2"/>
          <w:highlight w:val="yellow"/>
          <w:lang w:eastAsia="zh-CN" w:bidi="hi-IN"/>
        </w:rPr>
      </w:r>
      <w:r>
        <w:br w:type="page"/>
      </w:r>
    </w:p>
    <w:p>
      <w:pPr>
        <w:pStyle w:val="Standard"/>
        <w:spacing w:lineRule="auto" w:line="360"/>
        <w:jc w:val="center"/>
        <w:rPr>
          <w:rFonts w:ascii="Arial" w:hAnsi="Arial" w:cs="Arial"/>
          <w:b/>
          <w:b/>
          <w:bCs/>
          <w:lang w:val="en-GB"/>
        </w:rPr>
      </w:pPr>
      <w:r>
        <w:rPr/>
        <w:drawing>
          <wp:inline distT="0" distB="0" distL="0" distR="0">
            <wp:extent cx="5760720" cy="5478780"/>
            <wp:effectExtent l="0" t="0" r="0" b="0"/>
            <wp:docPr id="4" name="Picture 1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3" descr="A picture containing text&#10;&#10;Description automatically generated"/>
                    <pic:cNvPicPr>
                      <a:picLocks noChangeAspect="1" noChangeArrowheads="1"/>
                    </pic:cNvPicPr>
                  </pic:nvPicPr>
                  <pic:blipFill>
                    <a:blip r:embed="rId5"/>
                    <a:stretch>
                      <a:fillRect/>
                    </a:stretch>
                  </pic:blipFill>
                  <pic:spPr bwMode="auto">
                    <a:xfrm>
                      <a:off x="0" y="0"/>
                      <a:ext cx="5760720" cy="5478780"/>
                    </a:xfrm>
                    <a:prstGeom prst="rect">
                      <a:avLst/>
                    </a:prstGeom>
                  </pic:spPr>
                </pic:pic>
              </a:graphicData>
            </a:graphic>
          </wp:inline>
        </w:drawing>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rPr>
      </w:pPr>
      <w:r>
        <w:rPr>
          <w:rFonts w:cs="Arial" w:ascii="Arial" w:hAnsi="Arial"/>
          <w:b/>
          <w:bCs/>
          <w:lang w:val="en-GB"/>
        </w:rPr>
        <w:t>Supplementary Figure 4: Model building of P116.</w:t>
      </w:r>
      <w:r>
        <w:rPr>
          <w:rFonts w:cs="Arial" w:ascii="Arial" w:hAnsi="Arial"/>
          <w:lang w:val="en-GB"/>
        </w:rPr>
        <w:t xml:space="preserve"> Exemplary superimpositions of the cryoEM density and the PDB model for the core and N-terminal domain.</w:t>
      </w:r>
    </w:p>
    <w:p>
      <w:pPr>
        <w:pStyle w:val="Standard"/>
        <w:spacing w:lineRule="auto" w:line="360"/>
        <w:jc w:val="both"/>
        <w:rPr>
          <w:rFonts w:ascii="Arial" w:hAnsi="Arial" w:cs="Arial"/>
        </w:rPr>
      </w:pPr>
      <w:r>
        <w:rPr>
          <w:rFonts w:cs="Arial" w:ascii="Arial" w:hAnsi="Arial"/>
        </w:rPr>
      </w:r>
    </w:p>
    <w:p>
      <w:pPr>
        <w:pStyle w:val="Standard"/>
        <w:spacing w:lineRule="auto" w:line="360"/>
        <w:jc w:val="both"/>
        <w:rPr>
          <w:rFonts w:ascii="Arial" w:hAnsi="Arial" w:cs="Arial"/>
          <w:b/>
          <w:b/>
          <w:bCs/>
          <w:lang w:val="en-GB"/>
        </w:rPr>
      </w:pPr>
      <w:r>
        <w:rPr>
          <w:rFonts w:cs="Arial" w:ascii="Arial" w:hAnsi="Arial"/>
          <w:b/>
          <w:bCs/>
          <w:lang w:val="en-GB"/>
        </w:rPr>
      </w:r>
    </w:p>
    <w:p>
      <w:pPr>
        <w:pStyle w:val="Normal"/>
        <w:spacing w:lineRule="auto" w:line="360"/>
        <w:jc w:val="both"/>
        <w:rPr>
          <w:rFonts w:ascii="Arial" w:hAnsi="Arial" w:eastAsia="AR PL SungtiL GB" w:cs="Arial"/>
          <w:b/>
          <w:b/>
          <w:bCs/>
          <w:kern w:val="2"/>
          <w:lang w:val="en-GB" w:eastAsia="zh-CN" w:bidi="hi-IN"/>
        </w:rPr>
      </w:pPr>
      <w:r>
        <w:rPr>
          <w:rFonts w:eastAsia="AR PL SungtiL GB" w:cs="Arial" w:ascii="Arial" w:hAnsi="Arial"/>
          <w:b/>
          <w:bCs/>
          <w:kern w:val="2"/>
          <w:lang w:val="en-GB" w:eastAsia="zh-CN" w:bidi="hi-IN"/>
        </w:rPr>
      </w:r>
      <w:r>
        <w:br w:type="page"/>
      </w:r>
    </w:p>
    <w:p>
      <w:pPr>
        <w:pStyle w:val="Standard"/>
        <w:spacing w:lineRule="auto" w:line="360"/>
        <w:jc w:val="center"/>
        <w:rPr>
          <w:rFonts w:ascii="Arial" w:hAnsi="Arial" w:cs="Arial"/>
          <w:b/>
          <w:b/>
          <w:bCs/>
          <w:lang w:val="en-GB"/>
        </w:rPr>
      </w:pPr>
      <w:r>
        <w:rPr/>
        <w:drawing>
          <wp:inline distT="0" distB="0" distL="0" distR="0">
            <wp:extent cx="4415155" cy="6996430"/>
            <wp:effectExtent l="0" t="0" r="0" b="0"/>
            <wp:docPr id="5" name="Picture 14" descr="A picture containing ree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4" descr="A picture containing reef&#10;&#10;Description automatically generated"/>
                    <pic:cNvPicPr>
                      <a:picLocks noChangeAspect="1" noChangeArrowheads="1"/>
                    </pic:cNvPicPr>
                  </pic:nvPicPr>
                  <pic:blipFill>
                    <a:blip r:embed="rId6"/>
                    <a:stretch>
                      <a:fillRect/>
                    </a:stretch>
                  </pic:blipFill>
                  <pic:spPr bwMode="auto">
                    <a:xfrm>
                      <a:off x="0" y="0"/>
                      <a:ext cx="4415155" cy="6996430"/>
                    </a:xfrm>
                    <a:prstGeom prst="rect">
                      <a:avLst/>
                    </a:prstGeom>
                  </pic:spPr>
                </pic:pic>
              </a:graphicData>
            </a:graphic>
          </wp:inline>
        </w:drawing>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rPr>
      </w:pPr>
      <w:r>
        <w:rPr>
          <w:rFonts w:cs="Arial" w:ascii="Arial" w:hAnsi="Arial"/>
          <w:b/>
          <w:bCs/>
          <w:lang w:val="en-GB"/>
        </w:rPr>
        <w:t>Supplementary Figure 5: Flexibility of P116.</w:t>
      </w:r>
      <w:r>
        <w:rPr>
          <w:rFonts w:cs="Arial" w:ascii="Arial" w:hAnsi="Arial"/>
          <w:lang w:val="en-GB"/>
        </w:rPr>
        <w:t xml:space="preserve"> CryoEM classes display different flexibility modes.</w:t>
      </w:r>
    </w:p>
    <w:p>
      <w:pPr>
        <w:pStyle w:val="Normal"/>
        <w:spacing w:lineRule="auto" w:line="360"/>
        <w:jc w:val="both"/>
        <w:rPr>
          <w:rFonts w:ascii="Arial" w:hAnsi="Arial" w:cs="Arial"/>
          <w:b/>
          <w:b/>
          <w:bCs/>
          <w:lang w:val="en-GB"/>
        </w:rPr>
      </w:pPr>
      <w:r>
        <w:rPr>
          <w:rFonts w:cs="Arial" w:ascii="Arial" w:hAnsi="Arial"/>
          <w:b/>
          <w:bCs/>
          <w:lang w:val="en-GB"/>
        </w:rPr>
      </w:r>
      <w:r>
        <w:br w:type="page"/>
      </w:r>
    </w:p>
    <w:p>
      <w:pPr>
        <w:pStyle w:val="Normal"/>
        <w:spacing w:lineRule="auto" w:line="360"/>
        <w:jc w:val="center"/>
        <w:rPr>
          <w:rFonts w:ascii="Arial" w:hAnsi="Arial" w:cs="Arial"/>
          <w:b/>
          <w:b/>
          <w:bCs/>
          <w:lang w:val="en-GB"/>
        </w:rPr>
      </w:pPr>
      <w:r>
        <w:rPr/>
        <w:drawing>
          <wp:inline distT="0" distB="0" distL="0" distR="0">
            <wp:extent cx="5760720" cy="3810000"/>
            <wp:effectExtent l="0" t="0" r="0" b="0"/>
            <wp:docPr id="6" name="Picture 1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1" descr="Graphical user interface&#10;&#10;Description automatically generated"/>
                    <pic:cNvPicPr>
                      <a:picLocks noChangeAspect="1" noChangeArrowheads="1"/>
                    </pic:cNvPicPr>
                  </pic:nvPicPr>
                  <pic:blipFill>
                    <a:blip r:embed="rId7"/>
                    <a:stretch>
                      <a:fillRect/>
                    </a:stretch>
                  </pic:blipFill>
                  <pic:spPr bwMode="auto">
                    <a:xfrm>
                      <a:off x="0" y="0"/>
                      <a:ext cx="5760720" cy="3810000"/>
                    </a:xfrm>
                    <a:prstGeom prst="rect">
                      <a:avLst/>
                    </a:prstGeom>
                  </pic:spPr>
                </pic:pic>
              </a:graphicData>
            </a:graphic>
          </wp:inline>
        </w:drawing>
      </w:r>
    </w:p>
    <w:p>
      <w:pPr>
        <w:pStyle w:val="Normal"/>
        <w:spacing w:lineRule="auto" w:line="360"/>
        <w:jc w:val="both"/>
        <w:rPr>
          <w:rFonts w:ascii="Arial" w:hAnsi="Arial" w:cs="Arial"/>
          <w:b/>
          <w:b/>
          <w:bCs/>
          <w:lang w:val="en-GB"/>
        </w:rPr>
      </w:pPr>
      <w:r>
        <w:rPr>
          <w:rFonts w:cs="Arial" w:ascii="Arial" w:hAnsi="Arial"/>
          <w:b/>
          <w:bCs/>
          <w:lang w:val="en-GB"/>
        </w:rPr>
      </w:r>
    </w:p>
    <w:p>
      <w:pPr>
        <w:pStyle w:val="Normal"/>
        <w:spacing w:lineRule="auto" w:line="360"/>
        <w:jc w:val="both"/>
        <w:rPr>
          <w:rFonts w:ascii="Arial" w:hAnsi="Arial" w:cs="Arial"/>
          <w:i/>
          <w:i/>
          <w:iCs/>
        </w:rPr>
      </w:pPr>
      <w:r>
        <w:rPr>
          <w:rFonts w:cs="Arial" w:ascii="Arial" w:hAnsi="Arial"/>
          <w:b/>
          <w:bCs/>
          <w:lang w:val="en-GB"/>
        </w:rPr>
        <w:t>Supplementary Figure 6: MALDI-TOF of P116, P116 empty and P116 refilled</w:t>
      </w:r>
      <w:r>
        <w:rPr>
          <w:rFonts w:cs="Arial" w:ascii="Arial" w:hAnsi="Arial"/>
          <w:i/>
          <w:iCs/>
        </w:rPr>
        <w:t xml:space="preserve"> </w:t>
      </w:r>
      <w:r>
        <w:rPr>
          <w:rFonts w:cs="Arial" w:ascii="Arial" w:hAnsi="Arial"/>
          <w:b/>
          <w:bCs/>
        </w:rPr>
        <w:t>(a-c)</w:t>
      </w:r>
      <w:r>
        <w:rPr>
          <w:rFonts w:cs="Arial" w:ascii="Arial" w:hAnsi="Arial"/>
        </w:rPr>
        <w:t xml:space="preserve"> Individual low molecular weight MALDI-MS spectra of P116, P116-empty and P116-refilled as displayed in in figure 4D.</w:t>
      </w:r>
    </w:p>
    <w:p>
      <w:pPr>
        <w:pStyle w:val="Normal"/>
        <w:spacing w:lineRule="auto" w:line="360"/>
        <w:jc w:val="both"/>
        <w:rPr>
          <w:rFonts w:ascii="Arial" w:hAnsi="Arial" w:eastAsia="AR PL SungtiL GB" w:cs="Arial"/>
          <w:kern w:val="2"/>
          <w:lang w:eastAsia="zh-CN" w:bidi="hi-IN"/>
        </w:rPr>
      </w:pPr>
      <w:r>
        <w:rPr>
          <w:rFonts w:eastAsia="AR PL SungtiL GB" w:cs="Arial" w:ascii="Arial" w:hAnsi="Arial"/>
          <w:kern w:val="2"/>
          <w:lang w:eastAsia="zh-CN" w:bidi="hi-IN"/>
        </w:rPr>
      </w:r>
    </w:p>
    <w:p>
      <w:pPr>
        <w:pStyle w:val="Standard"/>
        <w:spacing w:lineRule="auto" w:line="360"/>
        <w:jc w:val="both"/>
        <w:rPr>
          <w:rFonts w:ascii="Arial" w:hAnsi="Arial" w:cs="Arial"/>
        </w:rPr>
      </w:pPr>
      <w:r>
        <w:rPr>
          <w:rFonts w:cs="Arial" w:ascii="Arial" w:hAnsi="Arial"/>
        </w:rPr>
      </w:r>
    </w:p>
    <w:p>
      <w:pPr>
        <w:pStyle w:val="Standard"/>
        <w:spacing w:lineRule="auto" w:line="360"/>
        <w:jc w:val="both"/>
        <w:rPr>
          <w:rFonts w:ascii="Arial" w:hAnsi="Arial" w:cs="Arial"/>
        </w:rPr>
      </w:pPr>
      <w:r>
        <w:rPr/>
        <w:drawing>
          <wp:inline distT="0" distB="0" distL="0" distR="0">
            <wp:extent cx="5757545" cy="2303145"/>
            <wp:effectExtent l="0" t="0" r="0" b="0"/>
            <wp:docPr id="7"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
                    <pic:cNvPicPr>
                      <a:picLocks noChangeAspect="1" noChangeArrowheads="1"/>
                    </pic:cNvPicPr>
                  </pic:nvPicPr>
                  <pic:blipFill>
                    <a:blip r:embed="rId8"/>
                    <a:stretch>
                      <a:fillRect/>
                    </a:stretch>
                  </pic:blipFill>
                  <pic:spPr bwMode="auto">
                    <a:xfrm>
                      <a:off x="0" y="0"/>
                      <a:ext cx="5757545" cy="2303145"/>
                    </a:xfrm>
                    <a:prstGeom prst="rect">
                      <a:avLst/>
                    </a:prstGeom>
                  </pic:spPr>
                </pic:pic>
              </a:graphicData>
            </a:graphic>
          </wp:inline>
        </w:drawing>
      </w:r>
    </w:p>
    <w:p>
      <w:pPr>
        <w:pStyle w:val="Standard"/>
        <w:spacing w:lineRule="auto" w:line="360"/>
        <w:jc w:val="both"/>
        <w:rPr>
          <w:rFonts w:ascii="Arial" w:hAnsi="Arial" w:cs="Arial"/>
        </w:rPr>
      </w:pPr>
      <w:r>
        <w:rPr>
          <w:rFonts w:cs="Arial" w:ascii="Arial" w:hAnsi="Arial"/>
        </w:rPr>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b/>
          <w:b/>
          <w:bCs/>
          <w:lang w:val="en-GB"/>
        </w:rPr>
      </w:pPr>
      <w:r>
        <w:rPr/>
        <w:drawing>
          <wp:inline distT="0" distB="0" distL="0" distR="0">
            <wp:extent cx="5765800" cy="7975600"/>
            <wp:effectExtent l="0" t="0" r="0" b="0"/>
            <wp:docPr id="8"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 descr=""/>
                    <pic:cNvPicPr>
                      <a:picLocks noChangeAspect="1" noChangeArrowheads="1"/>
                    </pic:cNvPicPr>
                  </pic:nvPicPr>
                  <pic:blipFill>
                    <a:blip r:embed="rId9"/>
                    <a:stretch>
                      <a:fillRect/>
                    </a:stretch>
                  </pic:blipFill>
                  <pic:spPr bwMode="auto">
                    <a:xfrm>
                      <a:off x="0" y="0"/>
                      <a:ext cx="5765800" cy="7975600"/>
                    </a:xfrm>
                    <a:prstGeom prst="rect">
                      <a:avLst/>
                    </a:prstGeom>
                  </pic:spPr>
                </pic:pic>
              </a:graphicData>
            </a:graphic>
          </wp:inline>
        </w:drawing>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lang w:val="en-GB"/>
        </w:rPr>
      </w:pPr>
      <w:r>
        <w:rPr/>
        <w:drawing>
          <wp:inline distT="0" distB="0" distL="0" distR="0">
            <wp:extent cx="5765800" cy="8051800"/>
            <wp:effectExtent l="0" t="0" r="0" b="0"/>
            <wp:docPr id="9"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 descr=""/>
                    <pic:cNvPicPr>
                      <a:picLocks noChangeAspect="1" noChangeArrowheads="1"/>
                    </pic:cNvPicPr>
                  </pic:nvPicPr>
                  <pic:blipFill>
                    <a:blip r:embed="rId10"/>
                    <a:stretch>
                      <a:fillRect/>
                    </a:stretch>
                  </pic:blipFill>
                  <pic:spPr bwMode="auto">
                    <a:xfrm>
                      <a:off x="0" y="0"/>
                      <a:ext cx="5765800" cy="8051800"/>
                    </a:xfrm>
                    <a:prstGeom prst="rect">
                      <a:avLst/>
                    </a:prstGeom>
                  </pic:spPr>
                </pic:pic>
              </a:graphicData>
            </a:graphic>
          </wp:inline>
        </w:drawing>
      </w:r>
      <w:r>
        <w:rPr>
          <w:rFonts w:cs="Arial" w:ascii="Arial" w:hAnsi="Arial"/>
          <w:b/>
          <w:bCs/>
          <w:lang w:val="en-GB"/>
        </w:rPr>
        <w:t xml:space="preserve">Supplementary Figure 7: P116 in other </w:t>
      </w:r>
      <w:r>
        <w:rPr>
          <w:rFonts w:cs="Arial" w:ascii="Arial" w:hAnsi="Arial"/>
          <w:b/>
          <w:bCs/>
          <w:i/>
          <w:iCs/>
          <w:lang w:val="en-GB"/>
        </w:rPr>
        <w:t>Mycoplasma</w:t>
      </w:r>
      <w:r>
        <w:rPr>
          <w:rFonts w:cs="Arial" w:ascii="Arial" w:hAnsi="Arial"/>
          <w:b/>
          <w:bCs/>
          <w:lang w:val="en-GB"/>
        </w:rPr>
        <w:t xml:space="preserve"> species. (a)</w:t>
      </w:r>
      <w:r>
        <w:rPr>
          <w:rFonts w:cs="Arial" w:ascii="Arial" w:hAnsi="Arial"/>
          <w:lang w:val="en-GB"/>
        </w:rPr>
        <w:t xml:space="preserve"> Conserved (minimum 55 %) amino acids pointing inwards the hydrophobic cavity</w:t>
      </w:r>
      <w:r>
        <w:rPr>
          <w:rFonts w:cs="Arial" w:ascii="Arial" w:hAnsi="Arial"/>
          <w:b/>
          <w:bCs/>
          <w:lang w:val="en-GB"/>
        </w:rPr>
        <w:t xml:space="preserve">. </w:t>
      </w:r>
      <w:r>
        <w:rPr>
          <w:rFonts w:cs="Arial" w:ascii="Arial" w:hAnsi="Arial"/>
          <w:lang w:val="en-GB"/>
        </w:rPr>
        <w:t xml:space="preserve">Black indicates amino acids with a hydrophobic character. Red indicates amino acids with a hydrophilic character. Blue indicates amino acids with a negative side chain. Purple indicates amino acids with a positive side chain. Green indicates other amino acids. </w:t>
      </w:r>
      <w:r>
        <w:rPr>
          <w:rFonts w:cs="Arial" w:ascii="Arial" w:hAnsi="Arial"/>
          <w:b/>
          <w:bCs/>
          <w:lang w:val="en-GB"/>
        </w:rPr>
        <w:t xml:space="preserve">(b) </w:t>
      </w:r>
      <w:r>
        <w:rPr>
          <w:rFonts w:cs="Arial" w:ascii="Arial" w:hAnsi="Arial"/>
          <w:lang w:val="en-GB"/>
        </w:rPr>
        <w:t xml:space="preserve">Predictions of P116 from different </w:t>
      </w:r>
      <w:r>
        <w:rPr>
          <w:rFonts w:cs="Arial" w:ascii="Arial" w:hAnsi="Arial"/>
          <w:i/>
          <w:iCs/>
          <w:lang w:val="en-GB"/>
        </w:rPr>
        <w:t>Mycoplasma spp.</w:t>
      </w:r>
      <w:r>
        <w:rPr>
          <w:rFonts w:cs="Arial" w:ascii="Arial" w:hAnsi="Arial"/>
          <w:lang w:val="en-GB"/>
        </w:rPr>
        <w:t xml:space="preserve"> in comparison with the structure resolved with cryoEM. The N-terminal and the core domain have been predicted independently and subsequently fitted in the cryoEM density map of P116. The colouring of the models is identical to the figures 1-4.   </w:t>
      </w:r>
    </w:p>
    <w:p>
      <w:pPr>
        <w:pStyle w:val="Normal"/>
        <w:spacing w:lineRule="auto" w:line="360"/>
        <w:jc w:val="both"/>
        <w:rPr>
          <w:rFonts w:ascii="Arial" w:hAnsi="Arial" w:eastAsia="AR PL SungtiL GB" w:cs="Arial"/>
          <w:kern w:val="2"/>
          <w:lang w:eastAsia="zh-CN" w:bidi="hi-IN"/>
        </w:rPr>
      </w:pPr>
      <w:r>
        <w:rPr/>
        <w:drawing>
          <wp:inline distT="0" distB="0" distL="0" distR="0">
            <wp:extent cx="5760720" cy="3810000"/>
            <wp:effectExtent l="0" t="0" r="0" b="0"/>
            <wp:docPr id="10" name="Picture 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7" descr="Graphical user interface&#10;&#10;Description automatically generated"/>
                    <pic:cNvPicPr>
                      <a:picLocks noChangeAspect="1" noChangeArrowheads="1"/>
                    </pic:cNvPicPr>
                  </pic:nvPicPr>
                  <pic:blipFill>
                    <a:blip r:embed="rId11"/>
                    <a:srcRect l="0" t="37023" r="0" b="0"/>
                    <a:stretch>
                      <a:fillRect/>
                    </a:stretch>
                  </pic:blipFill>
                  <pic:spPr bwMode="auto">
                    <a:xfrm>
                      <a:off x="0" y="0"/>
                      <a:ext cx="5760720" cy="3810000"/>
                    </a:xfrm>
                    <a:prstGeom prst="rect">
                      <a:avLst/>
                    </a:prstGeom>
                  </pic:spPr>
                </pic:pic>
              </a:graphicData>
            </a:graphic>
          </wp:inline>
        </w:drawing>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rPr>
      </w:pPr>
      <w:r>
        <w:rPr>
          <w:rFonts w:cs="Arial" w:ascii="Arial" w:hAnsi="Arial"/>
          <w:b/>
          <w:bCs/>
          <w:lang w:val="en-GB"/>
        </w:rPr>
        <w:t>Supplementary Figure 8: Fourier shell correlations of P116 empty, P116 refilled and P116 + HDL.</w:t>
      </w:r>
      <w:r>
        <w:rPr>
          <w:rFonts w:cs="Arial" w:ascii="Arial" w:hAnsi="Arial"/>
          <w:lang w:val="en-GB"/>
        </w:rPr>
        <w:t xml:space="preserve"> </w:t>
      </w:r>
      <w:r>
        <w:rPr>
          <w:rFonts w:cs="Arial" w:ascii="Arial" w:hAnsi="Arial"/>
          <w:b/>
          <w:bCs/>
          <w:lang w:val="en-GB"/>
        </w:rPr>
        <w:t>(a)</w:t>
      </w:r>
      <w:r>
        <w:rPr>
          <w:rFonts w:cs="Arial" w:ascii="Arial" w:hAnsi="Arial"/>
          <w:lang w:val="en-GB"/>
        </w:rPr>
        <w:t xml:space="preserve"> Final reported resolution of P116 empty at 4 Å according to the 0.143 cut-off criteria. </w:t>
      </w:r>
      <w:r>
        <w:rPr>
          <w:rFonts w:cs="Arial" w:ascii="Arial" w:hAnsi="Arial"/>
          <w:b/>
          <w:bCs/>
          <w:lang w:val="en-GB"/>
        </w:rPr>
        <w:t>(b)</w:t>
      </w:r>
      <w:r>
        <w:rPr>
          <w:rFonts w:cs="Arial" w:ascii="Arial" w:hAnsi="Arial"/>
          <w:lang w:val="en-GB"/>
        </w:rPr>
        <w:t xml:space="preserve"> Final reported resolution of P116 refilled at 3.5 Å according to the 0.143 cut-off criteria. </w:t>
      </w:r>
      <w:r>
        <w:rPr>
          <w:rFonts w:cs="Arial" w:ascii="Arial" w:hAnsi="Arial"/>
          <w:b/>
          <w:bCs/>
          <w:lang w:val="en-GB"/>
        </w:rPr>
        <w:t xml:space="preserve">(c) </w:t>
      </w:r>
      <w:r>
        <w:rPr>
          <w:rFonts w:cs="Arial" w:ascii="Arial" w:hAnsi="Arial"/>
          <w:lang w:val="en-GB"/>
        </w:rPr>
        <w:t>Final reported resolution of P116 + HDL at 9 Å according to the 0.143 cut-off criteria.</w:t>
      </w:r>
    </w:p>
    <w:p>
      <w:pPr>
        <w:pStyle w:val="Standard"/>
        <w:spacing w:lineRule="auto" w:line="360"/>
        <w:jc w:val="both"/>
        <w:rPr>
          <w:rFonts w:ascii="Arial" w:hAnsi="Arial" w:cs="Arial"/>
        </w:rPr>
      </w:pPr>
      <w:r>
        <w:rPr>
          <w:rFonts w:cs="Arial" w:ascii="Arial" w:hAnsi="Arial"/>
        </w:rPr>
      </w:r>
    </w:p>
    <w:p>
      <w:pPr>
        <w:pStyle w:val="Normal"/>
        <w:spacing w:lineRule="auto" w:line="360"/>
        <w:jc w:val="both"/>
        <w:rPr>
          <w:rFonts w:ascii="Arial" w:hAnsi="Arial" w:eastAsia="AR PL SungtiL GB" w:cs="Arial"/>
          <w:kern w:val="2"/>
          <w:lang w:eastAsia="zh-CN" w:bidi="hi-IN"/>
        </w:rPr>
      </w:pPr>
      <w:r>
        <w:rPr>
          <w:rFonts w:eastAsia="AR PL SungtiL GB" w:cs="Arial" w:ascii="Arial" w:hAnsi="Arial"/>
          <w:kern w:val="2"/>
          <w:lang w:eastAsia="zh-CN" w:bidi="hi-IN"/>
        </w:rPr>
      </w:r>
      <w:r>
        <w:br w:type="page"/>
      </w:r>
    </w:p>
    <w:p>
      <w:pPr>
        <w:pStyle w:val="Standard"/>
        <w:spacing w:lineRule="auto" w:line="360"/>
        <w:jc w:val="both"/>
        <w:rPr>
          <w:rFonts w:ascii="Arial" w:hAnsi="Arial" w:cs="Arial"/>
        </w:rPr>
      </w:pPr>
      <w:r>
        <w:rPr/>
        <w:drawing>
          <wp:inline distT="0" distB="0" distL="0" distR="0">
            <wp:extent cx="5760720" cy="6324600"/>
            <wp:effectExtent l="0" t="0" r="0" b="0"/>
            <wp:docPr id="11"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 descr="Map&#10;&#10;Description automatically generated"/>
                    <pic:cNvPicPr>
                      <a:picLocks noChangeAspect="1" noChangeArrowheads="1"/>
                    </pic:cNvPicPr>
                  </pic:nvPicPr>
                  <pic:blipFill>
                    <a:blip r:embed="rId12"/>
                    <a:srcRect l="0" t="5086" r="0" b="5102"/>
                    <a:stretch>
                      <a:fillRect/>
                    </a:stretch>
                  </pic:blipFill>
                  <pic:spPr bwMode="auto">
                    <a:xfrm>
                      <a:off x="0" y="0"/>
                      <a:ext cx="5760720" cy="6324600"/>
                    </a:xfrm>
                    <a:prstGeom prst="rect">
                      <a:avLst/>
                    </a:prstGeom>
                  </pic:spPr>
                </pic:pic>
              </a:graphicData>
            </a:graphic>
          </wp:inline>
        </w:drawing>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b/>
          <w:b/>
          <w:bCs/>
        </w:rPr>
      </w:pPr>
      <w:r>
        <w:rPr>
          <w:rFonts w:cs="Arial" w:ascii="Arial" w:hAnsi="Arial"/>
          <w:b/>
          <w:bCs/>
          <w:lang w:val="en-GB"/>
        </w:rPr>
        <w:t>Supplementary Figure 9: Conformational change between P116 and P116 empty.</w:t>
      </w:r>
    </w:p>
    <w:p>
      <w:pPr>
        <w:pStyle w:val="Standard"/>
        <w:spacing w:lineRule="auto" w:line="360"/>
        <w:jc w:val="both"/>
        <w:rPr>
          <w:rFonts w:ascii="Arial" w:hAnsi="Arial" w:cs="Arial"/>
          <w:b/>
          <w:b/>
          <w:bCs/>
          <w:lang w:val="en-GB"/>
        </w:rPr>
      </w:pPr>
      <w:r>
        <w:rPr>
          <w:rFonts w:cs="Arial" w:ascii="Arial" w:hAnsi="Arial"/>
          <w:lang w:val="en-GB"/>
        </w:rPr>
        <w:t>Superimposition of one subunit of P116 with one subunit of P116 empty. The movement of the fingers 1-4 is indicated by dashed lines</w:t>
      </w:r>
      <w:r>
        <w:rPr>
          <w:rFonts w:cs="Arial" w:ascii="Arial" w:hAnsi="Arial"/>
        </w:rPr>
        <w:t>. Side view of the ribbon representation of the empty and full P116 shows that the fingers (in purple) have come closer to the core domain, massively reducing the available volume. Their new position is markedly different compared to the full P116 (shown in light blue). Finger 1 moved 8Å sideways and towards the core, finger 2 has moved 13 Å towards the core and Finger 3 has moved 12 Å towards the core.</w:t>
      </w:r>
      <w:r>
        <w:br w:type="page"/>
      </w:r>
    </w:p>
    <w:p>
      <w:pPr>
        <w:pStyle w:val="Standard"/>
        <w:spacing w:lineRule="auto" w:line="360"/>
        <w:jc w:val="both"/>
        <w:rPr>
          <w:rFonts w:ascii="Arial" w:hAnsi="Arial" w:cs="Arial"/>
          <w:b/>
          <w:b/>
          <w:bCs/>
          <w:lang w:val="en-GB"/>
        </w:rPr>
      </w:pPr>
      <w:r>
        <w:rPr/>
        <w:drawing>
          <wp:inline distT="0" distB="0" distL="0" distR="0">
            <wp:extent cx="5760720" cy="4617720"/>
            <wp:effectExtent l="0" t="0" r="0" b="0"/>
            <wp:docPr id="12" name="Image1" descr="A picture containing text, ground,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 descr="A picture containing text, ground, stone&#10;&#10;Description automatically generated"/>
                    <pic:cNvPicPr>
                      <a:picLocks noChangeAspect="1" noChangeArrowheads="1"/>
                    </pic:cNvPicPr>
                  </pic:nvPicPr>
                  <pic:blipFill>
                    <a:blip r:embed="rId13"/>
                    <a:stretch>
                      <a:fillRect/>
                    </a:stretch>
                  </pic:blipFill>
                  <pic:spPr bwMode="auto">
                    <a:xfrm>
                      <a:off x="0" y="0"/>
                      <a:ext cx="5760720" cy="4617720"/>
                    </a:xfrm>
                    <a:prstGeom prst="rect">
                      <a:avLst/>
                    </a:prstGeom>
                  </pic:spPr>
                </pic:pic>
              </a:graphicData>
            </a:graphic>
          </wp:inline>
        </w:drawing>
      </w:r>
    </w:p>
    <w:p>
      <w:pPr>
        <w:pStyle w:val="Standard"/>
        <w:spacing w:lineRule="auto" w:line="360"/>
        <w:jc w:val="both"/>
        <w:rPr>
          <w:rFonts w:ascii="Arial" w:hAnsi="Arial" w:cs="Arial"/>
          <w:b/>
          <w:b/>
          <w:bCs/>
          <w:lang w:val="en-GB"/>
        </w:rPr>
      </w:pPr>
      <w:r>
        <w:rPr>
          <w:rFonts w:cs="Arial" w:ascii="Arial" w:hAnsi="Arial"/>
          <w:b/>
          <w:bCs/>
          <w:lang w:val="en-GB"/>
        </w:rPr>
      </w:r>
    </w:p>
    <w:p>
      <w:pPr>
        <w:pStyle w:val="Standard"/>
        <w:spacing w:lineRule="auto" w:line="360"/>
        <w:jc w:val="both"/>
        <w:rPr>
          <w:rFonts w:ascii="Arial" w:hAnsi="Arial" w:cs="Arial"/>
        </w:rPr>
      </w:pPr>
      <w:r>
        <w:rPr>
          <w:rFonts w:cs="Arial" w:ascii="Arial" w:hAnsi="Arial"/>
          <w:b/>
          <w:bCs/>
          <w:lang w:val="en-GB"/>
        </w:rPr>
        <w:t xml:space="preserve">Supplementary Figure 10: Cryo-electron tomogram of a </w:t>
      </w:r>
      <w:r>
        <w:rPr>
          <w:rFonts w:cs="Arial" w:ascii="Arial" w:hAnsi="Arial"/>
          <w:b/>
          <w:bCs/>
          <w:i/>
          <w:iCs/>
          <w:lang w:val="en-GB"/>
        </w:rPr>
        <w:t>M. pneumoniae</w:t>
      </w:r>
      <w:r>
        <w:rPr>
          <w:rFonts w:cs="Arial" w:ascii="Arial" w:hAnsi="Arial"/>
          <w:b/>
          <w:bCs/>
          <w:lang w:val="en-GB"/>
        </w:rPr>
        <w:t xml:space="preserve"> cell.</w:t>
      </w:r>
      <w:r>
        <w:rPr>
          <w:rFonts w:cs="Arial" w:ascii="Arial" w:hAnsi="Arial"/>
          <w:lang w:val="en-GB"/>
        </w:rPr>
        <w:t xml:space="preserve"> Ortho slice of a tomographic reconstruction of a </w:t>
      </w:r>
      <w:r>
        <w:rPr>
          <w:rFonts w:cs="Arial" w:ascii="Arial" w:hAnsi="Arial"/>
          <w:i/>
          <w:iCs/>
          <w:lang w:val="en-GB"/>
        </w:rPr>
        <w:t>M. pneumoniae</w:t>
      </w:r>
      <w:r>
        <w:rPr>
          <w:rFonts w:cs="Arial" w:ascii="Arial" w:hAnsi="Arial"/>
          <w:lang w:val="en-GB"/>
        </w:rPr>
        <w:t xml:space="preserve"> cell depicting a possible P116 protein on the surface of the </w:t>
      </w:r>
      <w:r>
        <w:rPr>
          <w:rFonts w:cs="Arial" w:ascii="Arial" w:hAnsi="Arial"/>
          <w:i/>
          <w:iCs/>
          <w:lang w:val="en-GB"/>
        </w:rPr>
        <w:t>M. pneumoniae</w:t>
      </w:r>
      <w:r>
        <w:rPr>
          <w:rFonts w:cs="Arial" w:ascii="Arial" w:hAnsi="Arial"/>
          <w:lang w:val="en-GB"/>
        </w:rPr>
        <w:t xml:space="preserve"> membrane. Tomogram was acquired at a defocus of -3 µm. </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rPr>
      </w:pPr>
      <w:r>
        <w:rPr>
          <w:rFonts w:cs="Arial" w:ascii="Arial" w:hAnsi="Arial"/>
        </w:rPr>
      </w:r>
      <w:r>
        <w:br w:type="page"/>
      </w:r>
    </w:p>
    <w:p>
      <w:pPr>
        <w:pStyle w:val="Normal"/>
        <w:spacing w:lineRule="auto" w:line="360"/>
        <w:jc w:val="both"/>
        <w:rPr>
          <w:rFonts w:ascii="Arial" w:hAnsi="Arial" w:cs="Arial"/>
          <w:b/>
          <w:b/>
        </w:rPr>
      </w:pPr>
      <w:r>
        <w:rPr>
          <w:rFonts w:cs="Arial" w:ascii="Arial" w:hAnsi="Arial"/>
          <w:b/>
        </w:rPr>
        <w:t xml:space="preserve">Supplementary Table I. Number of cell detachments and motility status in microcinematography (MCN) replicates of </w:t>
      </w:r>
      <w:r>
        <w:rPr>
          <w:rFonts w:cs="Arial" w:ascii="Arial" w:hAnsi="Arial"/>
          <w:b/>
          <w:i/>
        </w:rPr>
        <w:t>M. pneumoniae</w:t>
      </w:r>
      <w:r>
        <w:rPr>
          <w:rFonts w:cs="Arial" w:ascii="Arial" w:hAnsi="Arial"/>
          <w:b/>
        </w:rPr>
        <w:t xml:space="preserve"> cells before and after adding polyclonal antibodies (PCA) vs P1 and P116. A negative control was performed by incubating cells in the same medium (PBS - 10% FBS) but no antibodies were added. Mean and standard deviation (SD) were computed from the frequencies of detached cells in each replicate.</w:t>
      </w:r>
    </w:p>
    <w:p>
      <w:pPr>
        <w:pStyle w:val="Normal"/>
        <w:spacing w:lineRule="auto" w:line="360"/>
        <w:jc w:val="both"/>
        <w:rPr>
          <w:rFonts w:ascii="Arial" w:hAnsi="Arial" w:cs="Arial"/>
        </w:rPr>
      </w:pPr>
      <w:r>
        <w:rPr>
          <w:rFonts w:cs="Arial" w:ascii="Arial" w:hAnsi="Arial"/>
        </w:rPr>
      </w:r>
    </w:p>
    <w:tbl>
      <w:tblPr>
        <w:tblW w:w="5000" w:type="pct"/>
        <w:jc w:val="left"/>
        <w:tblInd w:w="0" w:type="dxa"/>
        <w:tblCellMar>
          <w:top w:w="0" w:type="dxa"/>
          <w:left w:w="70" w:type="dxa"/>
          <w:bottom w:w="0" w:type="dxa"/>
          <w:right w:w="70" w:type="dxa"/>
        </w:tblCellMar>
        <w:tblLook w:val="0000" w:noHBand="0" w:noVBand="0" w:firstColumn="0" w:lastRow="0" w:lastColumn="0" w:firstRow="0"/>
      </w:tblPr>
      <w:tblGrid>
        <w:gridCol w:w="993"/>
        <w:gridCol w:w="1137"/>
        <w:gridCol w:w="747"/>
        <w:gridCol w:w="680"/>
        <w:gridCol w:w="701"/>
        <w:gridCol w:w="163"/>
        <w:gridCol w:w="685"/>
        <w:gridCol w:w="850"/>
        <w:gridCol w:w="850"/>
        <w:gridCol w:w="1087"/>
        <w:gridCol w:w="1177"/>
      </w:tblGrid>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r>
          </w:p>
        </w:tc>
        <w:tc>
          <w:tcPr>
            <w:tcW w:w="2128" w:type="dxa"/>
            <w:gridSpan w:val="3"/>
            <w:tcBorders>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 xml:space="preserve">Before AS </w:t>
            </w:r>
          </w:p>
        </w:tc>
        <w:tc>
          <w:tcPr>
            <w:tcW w:w="163"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r>
          </w:p>
        </w:tc>
        <w:tc>
          <w:tcPr>
            <w:tcW w:w="2385" w:type="dxa"/>
            <w:gridSpan w:val="3"/>
            <w:tcBorders>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 xml:space="preserve">After AS </w:t>
            </w:r>
          </w:p>
        </w:tc>
        <w:tc>
          <w:tcPr>
            <w:tcW w:w="108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7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r>
      <w:tr>
        <w:trPr>
          <w:trHeight w:val="290" w:hRule="atLeast"/>
        </w:trPr>
        <w:tc>
          <w:tcPr>
            <w:tcW w:w="993" w:type="dxa"/>
            <w:tcBorders>
              <w:bottom w:val="single" w:sz="4" w:space="0" w:color="000000"/>
            </w:tcBorders>
          </w:tcPr>
          <w:p>
            <w:pPr>
              <w:pStyle w:val="Normal"/>
              <w:jc w:val="center"/>
              <w:rPr>
                <w:rFonts w:ascii="Arial" w:hAnsi="Arial" w:cs="Arial"/>
                <w:b/>
                <w:b/>
                <w:color w:val="000000"/>
                <w:sz w:val="18"/>
                <w:szCs w:val="18"/>
                <w:lang w:val="es-ES"/>
              </w:rPr>
            </w:pPr>
            <w:r>
              <w:rPr>
                <w:rFonts w:cs="Arial" w:ascii="Arial" w:hAnsi="Arial"/>
                <w:b/>
                <w:color w:val="000000"/>
                <w:sz w:val="18"/>
                <w:szCs w:val="18"/>
                <w:lang w:val="es-ES"/>
              </w:rPr>
            </w:r>
          </w:p>
          <w:p>
            <w:pPr>
              <w:pStyle w:val="Normal"/>
              <w:jc w:val="center"/>
              <w:rPr>
                <w:rFonts w:ascii="Arial" w:hAnsi="Arial" w:cs="Arial"/>
                <w:b/>
                <w:b/>
                <w:color w:val="000000"/>
                <w:sz w:val="18"/>
                <w:szCs w:val="18"/>
                <w:lang w:val="es-ES"/>
              </w:rPr>
            </w:pPr>
            <w:r>
              <w:rPr>
                <w:rFonts w:cs="Arial" w:ascii="Arial" w:hAnsi="Arial"/>
                <w:b/>
                <w:color w:val="000000"/>
                <w:sz w:val="18"/>
                <w:szCs w:val="18"/>
                <w:lang w:val="es-ES"/>
              </w:rPr>
              <w:t>PCA</w:t>
            </w:r>
          </w:p>
        </w:tc>
        <w:tc>
          <w:tcPr>
            <w:tcW w:w="1137" w:type="dxa"/>
            <w:tcBorders>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MCN replicate</w:t>
            </w:r>
          </w:p>
        </w:tc>
        <w:tc>
          <w:tcPr>
            <w:tcW w:w="747" w:type="dxa"/>
            <w:tcBorders>
              <w:top w:val="single" w:sz="4" w:space="0" w:color="000000"/>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r>
          </w:p>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 xml:space="preserve">Total </w:t>
            </w:r>
          </w:p>
        </w:tc>
        <w:tc>
          <w:tcPr>
            <w:tcW w:w="680" w:type="dxa"/>
            <w:tcBorders>
              <w:top w:val="single" w:sz="4" w:space="0" w:color="000000"/>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Non- Motile</w:t>
            </w:r>
          </w:p>
        </w:tc>
        <w:tc>
          <w:tcPr>
            <w:tcW w:w="701" w:type="dxa"/>
            <w:tcBorders>
              <w:top w:val="single" w:sz="4" w:space="0" w:color="000000"/>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r>
          </w:p>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Motile</w:t>
            </w:r>
          </w:p>
        </w:tc>
        <w:tc>
          <w:tcPr>
            <w:tcW w:w="163" w:type="dxa"/>
            <w:tcBorders>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r>
          </w:p>
        </w:tc>
        <w:tc>
          <w:tcPr>
            <w:tcW w:w="685" w:type="dxa"/>
            <w:tcBorders>
              <w:top w:val="single" w:sz="4" w:space="0" w:color="000000"/>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r>
          </w:p>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 xml:space="preserve">Total </w:t>
            </w:r>
          </w:p>
        </w:tc>
        <w:tc>
          <w:tcPr>
            <w:tcW w:w="850" w:type="dxa"/>
            <w:tcBorders>
              <w:top w:val="single" w:sz="4" w:space="0" w:color="000000"/>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Non- Motile</w:t>
            </w:r>
          </w:p>
        </w:tc>
        <w:tc>
          <w:tcPr>
            <w:tcW w:w="850" w:type="dxa"/>
            <w:tcBorders>
              <w:top w:val="single" w:sz="4" w:space="0" w:color="000000"/>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r>
          </w:p>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Motile</w:t>
            </w:r>
          </w:p>
        </w:tc>
        <w:tc>
          <w:tcPr>
            <w:tcW w:w="1087" w:type="dxa"/>
            <w:tcBorders>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Detached cells</w:t>
            </w:r>
          </w:p>
        </w:tc>
        <w:tc>
          <w:tcPr>
            <w:tcW w:w="1177" w:type="dxa"/>
            <w:tcBorders>
              <w:bottom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 Detached cells</w:t>
            </w:r>
          </w:p>
        </w:tc>
      </w:tr>
      <w:tr>
        <w:trPr>
          <w:trHeight w:val="290" w:hRule="atLeast"/>
        </w:trPr>
        <w:tc>
          <w:tcPr>
            <w:tcW w:w="993" w:type="dxa"/>
            <w:tcBorders>
              <w:top w:val="single" w:sz="4" w:space="0" w:color="000000"/>
            </w:tcBorders>
            <w:shd w:color="auto" w:fill="D0CECE" w:themeFill="background2" w:themeFillShade="e6" w:val="clear"/>
          </w:tcPr>
          <w:p>
            <w:pPr>
              <w:pStyle w:val="Normal"/>
              <w:rPr>
                <w:rFonts w:ascii="Arial" w:hAnsi="Arial" w:cs="Arial"/>
                <w:b/>
                <w:b/>
                <w:bCs/>
                <w:color w:val="000000"/>
                <w:sz w:val="18"/>
                <w:szCs w:val="18"/>
                <w:lang w:val="es-ES"/>
              </w:rPr>
            </w:pPr>
            <w:r>
              <w:rPr>
                <w:rFonts w:cs="Arial" w:ascii="Arial" w:hAnsi="Arial"/>
                <w:b/>
                <w:bCs/>
                <w:color w:val="000000"/>
                <w:sz w:val="18"/>
                <w:szCs w:val="18"/>
                <w:lang w:val="es-ES"/>
              </w:rPr>
              <w:t>P1</w:t>
            </w:r>
          </w:p>
        </w:tc>
        <w:tc>
          <w:tcPr>
            <w:tcW w:w="1137" w:type="dxa"/>
            <w:tcBorders>
              <w:top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1</w:t>
            </w:r>
          </w:p>
        </w:tc>
        <w:tc>
          <w:tcPr>
            <w:tcW w:w="747"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46</w:t>
            </w:r>
          </w:p>
        </w:tc>
        <w:tc>
          <w:tcPr>
            <w:tcW w:w="680"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5</w:t>
            </w:r>
          </w:p>
        </w:tc>
        <w:tc>
          <w:tcPr>
            <w:tcW w:w="701"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41</w:t>
            </w:r>
          </w:p>
        </w:tc>
        <w:tc>
          <w:tcPr>
            <w:tcW w:w="163"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15</w:t>
            </w:r>
          </w:p>
        </w:tc>
        <w:tc>
          <w:tcPr>
            <w:tcW w:w="850"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11</w:t>
            </w:r>
          </w:p>
        </w:tc>
        <w:tc>
          <w:tcPr>
            <w:tcW w:w="850"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w:t>
            </w:r>
          </w:p>
        </w:tc>
        <w:tc>
          <w:tcPr>
            <w:tcW w:w="1087"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37</w:t>
            </w:r>
          </w:p>
        </w:tc>
        <w:tc>
          <w:tcPr>
            <w:tcW w:w="1177"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90,2</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2</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20</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19</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0</w:t>
            </w:r>
          </w:p>
        </w:tc>
        <w:tc>
          <w:tcPr>
            <w:tcW w:w="108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19</w:t>
            </w:r>
          </w:p>
        </w:tc>
        <w:tc>
          <w:tcPr>
            <w:tcW w:w="117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100,0</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3</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131</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128</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31</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24</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7</w:t>
            </w:r>
          </w:p>
        </w:tc>
        <w:tc>
          <w:tcPr>
            <w:tcW w:w="108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121</w:t>
            </w:r>
          </w:p>
        </w:tc>
        <w:tc>
          <w:tcPr>
            <w:tcW w:w="117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94,5</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4</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15</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0</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15</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9</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9</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0</w:t>
            </w:r>
          </w:p>
        </w:tc>
        <w:tc>
          <w:tcPr>
            <w:tcW w:w="108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15</w:t>
            </w:r>
          </w:p>
        </w:tc>
        <w:tc>
          <w:tcPr>
            <w:tcW w:w="117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100,0</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5</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397</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9</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388</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122</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89</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33</w:t>
            </w:r>
          </w:p>
        </w:tc>
        <w:tc>
          <w:tcPr>
            <w:tcW w:w="108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355</w:t>
            </w:r>
          </w:p>
        </w:tc>
        <w:tc>
          <w:tcPr>
            <w:tcW w:w="117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91,5</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right"/>
              <w:rPr>
                <w:rFonts w:ascii="Arial" w:hAnsi="Arial" w:cs="Arial"/>
                <w:b/>
                <w:b/>
                <w:bCs/>
                <w:color w:val="000000"/>
                <w:sz w:val="18"/>
                <w:szCs w:val="18"/>
                <w:lang w:val="es-ES"/>
              </w:rPr>
            </w:pPr>
            <w:r>
              <w:rPr>
                <w:rFonts w:cs="Arial" w:ascii="Arial" w:hAnsi="Arial"/>
                <w:b/>
                <w:bCs/>
                <w:color w:val="000000"/>
                <w:sz w:val="18"/>
                <w:szCs w:val="18"/>
                <w:lang w:val="es-ES"/>
              </w:rPr>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087" w:type="dxa"/>
            <w:tcBorders/>
            <w:shd w:color="auto" w:fill="auto" w:val="clear"/>
          </w:tcPr>
          <w:p>
            <w:pPr>
              <w:pStyle w:val="Normal"/>
              <w:rPr>
                <w:rFonts w:ascii="Arial" w:hAnsi="Arial" w:cs="Arial"/>
                <w:b/>
                <w:b/>
                <w:bCs/>
                <w:color w:val="000000"/>
                <w:sz w:val="18"/>
                <w:szCs w:val="18"/>
                <w:lang w:val="es-ES"/>
              </w:rPr>
            </w:pPr>
            <w:r>
              <w:rPr>
                <w:rFonts w:cs="Arial" w:ascii="Arial" w:hAnsi="Arial"/>
                <w:b/>
                <w:bCs/>
                <w:color w:val="000000"/>
                <w:sz w:val="18"/>
                <w:szCs w:val="18"/>
                <w:lang w:val="es-ES"/>
              </w:rPr>
              <w:t>Mean</w:t>
            </w:r>
          </w:p>
        </w:tc>
        <w:tc>
          <w:tcPr>
            <w:tcW w:w="1177" w:type="dxa"/>
            <w:tcBorders/>
            <w:shd w:color="auto" w:fill="auto" w:val="clear"/>
          </w:tcPr>
          <w:p>
            <w:pPr>
              <w:pStyle w:val="Normal"/>
              <w:jc w:val="right"/>
              <w:rPr>
                <w:rFonts w:ascii="Arial" w:hAnsi="Arial" w:cs="Arial"/>
                <w:b/>
                <w:b/>
                <w:bCs/>
                <w:color w:val="000000"/>
                <w:sz w:val="18"/>
                <w:szCs w:val="18"/>
                <w:lang w:val="es-ES"/>
              </w:rPr>
            </w:pPr>
            <w:r>
              <w:rPr>
                <w:rFonts w:cs="Arial" w:ascii="Arial" w:hAnsi="Arial"/>
                <w:b/>
                <w:bCs/>
                <w:color w:val="000000"/>
                <w:sz w:val="18"/>
                <w:szCs w:val="18"/>
                <w:lang w:val="es-ES"/>
              </w:rPr>
              <w:t>95,1</w:t>
            </w:r>
          </w:p>
        </w:tc>
      </w:tr>
      <w:tr>
        <w:trPr>
          <w:trHeight w:val="290" w:hRule="atLeast"/>
        </w:trPr>
        <w:tc>
          <w:tcPr>
            <w:tcW w:w="993"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bottom w:val="single" w:sz="4" w:space="0" w:color="000000"/>
            </w:tcBorders>
          </w:tcPr>
          <w:p>
            <w:pPr>
              <w:pStyle w:val="Normal"/>
              <w:jc w:val="right"/>
              <w:rPr>
                <w:rFonts w:ascii="Arial" w:hAnsi="Arial" w:cs="Arial"/>
                <w:b/>
                <w:b/>
                <w:bCs/>
                <w:color w:val="000000"/>
                <w:sz w:val="18"/>
                <w:szCs w:val="18"/>
                <w:lang w:val="es-ES"/>
              </w:rPr>
            </w:pPr>
            <w:r>
              <w:rPr>
                <w:rFonts w:cs="Arial" w:ascii="Arial" w:hAnsi="Arial"/>
                <w:b/>
                <w:bCs/>
                <w:color w:val="000000"/>
                <w:sz w:val="18"/>
                <w:szCs w:val="18"/>
                <w:lang w:val="es-ES"/>
              </w:rPr>
            </w:r>
          </w:p>
        </w:tc>
        <w:tc>
          <w:tcPr>
            <w:tcW w:w="747"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0"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701"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63"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087" w:type="dxa"/>
            <w:tcBorders>
              <w:bottom w:val="single" w:sz="4" w:space="0" w:color="000000"/>
            </w:tcBorders>
            <w:shd w:color="auto" w:fill="auto" w:val="clear"/>
          </w:tcPr>
          <w:p>
            <w:pPr>
              <w:pStyle w:val="Normal"/>
              <w:rPr>
                <w:rFonts w:ascii="Arial" w:hAnsi="Arial" w:cs="Arial"/>
                <w:b/>
                <w:b/>
                <w:bCs/>
                <w:color w:val="000000"/>
                <w:sz w:val="18"/>
                <w:szCs w:val="18"/>
                <w:lang w:val="es-ES"/>
              </w:rPr>
            </w:pPr>
            <w:r>
              <w:rPr>
                <w:rFonts w:cs="Arial" w:ascii="Arial" w:hAnsi="Arial"/>
                <w:b/>
                <w:bCs/>
                <w:color w:val="000000"/>
                <w:sz w:val="18"/>
                <w:szCs w:val="18"/>
                <w:lang w:val="es-ES"/>
              </w:rPr>
              <w:t>SD</w:t>
            </w:r>
          </w:p>
        </w:tc>
        <w:tc>
          <w:tcPr>
            <w:tcW w:w="1177" w:type="dxa"/>
            <w:tcBorders>
              <w:bottom w:val="single" w:sz="4" w:space="0" w:color="000000"/>
            </w:tcBorders>
            <w:shd w:color="auto" w:fill="auto" w:val="clear"/>
          </w:tcPr>
          <w:p>
            <w:pPr>
              <w:pStyle w:val="Normal"/>
              <w:jc w:val="right"/>
              <w:rPr>
                <w:rFonts w:ascii="Arial" w:hAnsi="Arial" w:cs="Arial"/>
                <w:b/>
                <w:b/>
                <w:color w:val="000000"/>
                <w:sz w:val="18"/>
                <w:szCs w:val="18"/>
                <w:lang w:val="es-ES"/>
              </w:rPr>
            </w:pPr>
            <w:r>
              <w:rPr>
                <w:rFonts w:cs="Arial" w:ascii="Arial" w:hAnsi="Arial"/>
                <w:b/>
                <w:color w:val="000000"/>
                <w:sz w:val="18"/>
                <w:szCs w:val="18"/>
                <w:lang w:val="es-ES"/>
              </w:rPr>
              <w:t>4,6</w:t>
            </w:r>
          </w:p>
        </w:tc>
      </w:tr>
      <w:tr>
        <w:trPr>
          <w:trHeight w:val="290" w:hRule="atLeast"/>
        </w:trPr>
        <w:tc>
          <w:tcPr>
            <w:tcW w:w="993" w:type="dxa"/>
            <w:tcBorders>
              <w:top w:val="single" w:sz="4" w:space="0" w:color="000000"/>
            </w:tcBorders>
            <w:shd w:color="auto" w:fill="D0CECE" w:themeFill="background2" w:themeFillShade="e6" w:val="clear"/>
          </w:tcPr>
          <w:p>
            <w:pPr>
              <w:pStyle w:val="Normal"/>
              <w:rPr>
                <w:rFonts w:ascii="Arial" w:hAnsi="Arial" w:cs="Arial"/>
                <w:b/>
                <w:b/>
                <w:bCs/>
                <w:color w:val="000000"/>
                <w:sz w:val="18"/>
                <w:szCs w:val="18"/>
                <w:lang w:val="es-ES"/>
              </w:rPr>
            </w:pPr>
            <w:r>
              <w:rPr>
                <w:rFonts w:cs="Arial" w:ascii="Arial" w:hAnsi="Arial"/>
                <w:b/>
                <w:bCs/>
                <w:color w:val="000000"/>
                <w:sz w:val="18"/>
                <w:szCs w:val="18"/>
                <w:lang w:val="es-ES"/>
              </w:rPr>
              <w:t>P116</w:t>
            </w:r>
          </w:p>
        </w:tc>
        <w:tc>
          <w:tcPr>
            <w:tcW w:w="1137" w:type="dxa"/>
            <w:tcBorders>
              <w:top w:val="single" w:sz="4" w:space="0" w:color="000000"/>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1</w:t>
            </w:r>
          </w:p>
        </w:tc>
        <w:tc>
          <w:tcPr>
            <w:tcW w:w="747"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170</w:t>
            </w:r>
          </w:p>
        </w:tc>
        <w:tc>
          <w:tcPr>
            <w:tcW w:w="680"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5</w:t>
            </w:r>
          </w:p>
        </w:tc>
        <w:tc>
          <w:tcPr>
            <w:tcW w:w="701"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165</w:t>
            </w:r>
          </w:p>
        </w:tc>
        <w:tc>
          <w:tcPr>
            <w:tcW w:w="163"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112</w:t>
            </w:r>
          </w:p>
        </w:tc>
        <w:tc>
          <w:tcPr>
            <w:tcW w:w="850"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7</w:t>
            </w:r>
          </w:p>
        </w:tc>
        <w:tc>
          <w:tcPr>
            <w:tcW w:w="850" w:type="dxa"/>
            <w:tcBorders>
              <w:top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105</w:t>
            </w:r>
          </w:p>
        </w:tc>
        <w:tc>
          <w:tcPr>
            <w:tcW w:w="1087" w:type="dxa"/>
            <w:tcBorders>
              <w:top w:val="single" w:sz="4" w:space="0" w:color="000000"/>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60</w:t>
            </w:r>
          </w:p>
        </w:tc>
        <w:tc>
          <w:tcPr>
            <w:tcW w:w="1177" w:type="dxa"/>
            <w:tcBorders>
              <w:top w:val="single" w:sz="4" w:space="0" w:color="000000"/>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36,4</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2</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79</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7</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72</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45</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8</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37</w:t>
            </w:r>
          </w:p>
        </w:tc>
        <w:tc>
          <w:tcPr>
            <w:tcW w:w="108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35</w:t>
            </w:r>
          </w:p>
        </w:tc>
        <w:tc>
          <w:tcPr>
            <w:tcW w:w="117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48,6</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3</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51</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5</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46</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35</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5</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30</w:t>
            </w:r>
          </w:p>
        </w:tc>
        <w:tc>
          <w:tcPr>
            <w:tcW w:w="108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16</w:t>
            </w:r>
          </w:p>
        </w:tc>
        <w:tc>
          <w:tcPr>
            <w:tcW w:w="117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34,8</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4</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42</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5</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37</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30</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6</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24</w:t>
            </w:r>
          </w:p>
        </w:tc>
        <w:tc>
          <w:tcPr>
            <w:tcW w:w="108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13</w:t>
            </w:r>
          </w:p>
        </w:tc>
        <w:tc>
          <w:tcPr>
            <w:tcW w:w="117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35,1</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5</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61</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57</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31</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27</w:t>
            </w:r>
          </w:p>
        </w:tc>
        <w:tc>
          <w:tcPr>
            <w:tcW w:w="108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30</w:t>
            </w:r>
          </w:p>
        </w:tc>
        <w:tc>
          <w:tcPr>
            <w:tcW w:w="117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52,6</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right"/>
              <w:rPr>
                <w:rFonts w:ascii="Arial" w:hAnsi="Arial" w:cs="Arial"/>
                <w:b/>
                <w:b/>
                <w:bCs/>
                <w:color w:val="000000"/>
                <w:sz w:val="18"/>
                <w:szCs w:val="18"/>
                <w:lang w:val="es-ES"/>
              </w:rPr>
            </w:pPr>
            <w:r>
              <w:rPr>
                <w:rFonts w:cs="Arial" w:ascii="Arial" w:hAnsi="Arial"/>
                <w:b/>
                <w:bCs/>
                <w:color w:val="000000"/>
                <w:sz w:val="18"/>
                <w:szCs w:val="18"/>
                <w:lang w:val="es-ES"/>
              </w:rPr>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087" w:type="dxa"/>
            <w:tcBorders/>
            <w:shd w:color="auto" w:fill="auto" w:val="clear"/>
          </w:tcPr>
          <w:p>
            <w:pPr>
              <w:pStyle w:val="Normal"/>
              <w:rPr>
                <w:rFonts w:ascii="Arial" w:hAnsi="Arial" w:cs="Arial"/>
                <w:b/>
                <w:b/>
                <w:bCs/>
                <w:color w:val="000000"/>
                <w:sz w:val="18"/>
                <w:szCs w:val="18"/>
                <w:lang w:val="es-ES"/>
              </w:rPr>
            </w:pPr>
            <w:r>
              <w:rPr>
                <w:rFonts w:cs="Arial" w:ascii="Arial" w:hAnsi="Arial"/>
                <w:b/>
                <w:bCs/>
                <w:color w:val="000000"/>
                <w:sz w:val="18"/>
                <w:szCs w:val="18"/>
                <w:lang w:val="es-ES"/>
              </w:rPr>
              <w:t>Mean</w:t>
            </w:r>
          </w:p>
        </w:tc>
        <w:tc>
          <w:tcPr>
            <w:tcW w:w="1177" w:type="dxa"/>
            <w:tcBorders/>
            <w:shd w:color="auto" w:fill="auto" w:val="clear"/>
          </w:tcPr>
          <w:p>
            <w:pPr>
              <w:pStyle w:val="Normal"/>
              <w:jc w:val="right"/>
              <w:rPr>
                <w:rFonts w:ascii="Arial" w:hAnsi="Arial" w:cs="Arial"/>
                <w:b/>
                <w:b/>
                <w:bCs/>
                <w:color w:val="000000"/>
                <w:sz w:val="18"/>
                <w:szCs w:val="18"/>
                <w:lang w:val="es-ES"/>
              </w:rPr>
            </w:pPr>
            <w:r>
              <w:rPr>
                <w:rFonts w:cs="Arial" w:ascii="Arial" w:hAnsi="Arial"/>
                <w:b/>
                <w:bCs/>
                <w:color w:val="000000"/>
                <w:sz w:val="18"/>
                <w:szCs w:val="18"/>
                <w:lang w:val="es-ES"/>
              </w:rPr>
              <w:t>40,2</w:t>
            </w:r>
          </w:p>
        </w:tc>
      </w:tr>
      <w:tr>
        <w:trPr>
          <w:trHeight w:val="290" w:hRule="atLeast"/>
        </w:trPr>
        <w:tc>
          <w:tcPr>
            <w:tcW w:w="993"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bottom w:val="single" w:sz="4" w:space="0" w:color="000000"/>
            </w:tcBorders>
          </w:tcPr>
          <w:p>
            <w:pPr>
              <w:pStyle w:val="Normal"/>
              <w:jc w:val="right"/>
              <w:rPr>
                <w:rFonts w:ascii="Arial" w:hAnsi="Arial" w:cs="Arial"/>
                <w:b/>
                <w:b/>
                <w:bCs/>
                <w:color w:val="000000"/>
                <w:sz w:val="18"/>
                <w:szCs w:val="18"/>
                <w:lang w:val="es-ES"/>
              </w:rPr>
            </w:pPr>
            <w:r>
              <w:rPr>
                <w:rFonts w:cs="Arial" w:ascii="Arial" w:hAnsi="Arial"/>
                <w:b/>
                <w:bCs/>
                <w:color w:val="000000"/>
                <w:sz w:val="18"/>
                <w:szCs w:val="18"/>
                <w:lang w:val="es-ES"/>
              </w:rPr>
            </w:r>
          </w:p>
        </w:tc>
        <w:tc>
          <w:tcPr>
            <w:tcW w:w="747"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0"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701"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63"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087" w:type="dxa"/>
            <w:tcBorders>
              <w:bottom w:val="single" w:sz="4" w:space="0" w:color="000000"/>
            </w:tcBorders>
            <w:shd w:color="auto" w:fill="auto" w:val="clear"/>
          </w:tcPr>
          <w:p>
            <w:pPr>
              <w:pStyle w:val="Normal"/>
              <w:rPr>
                <w:rFonts w:ascii="Arial" w:hAnsi="Arial" w:cs="Arial"/>
                <w:b/>
                <w:b/>
                <w:bCs/>
                <w:color w:val="000000"/>
                <w:sz w:val="18"/>
                <w:szCs w:val="18"/>
                <w:lang w:val="es-ES"/>
              </w:rPr>
            </w:pPr>
            <w:r>
              <w:rPr>
                <w:rFonts w:cs="Arial" w:ascii="Arial" w:hAnsi="Arial"/>
                <w:b/>
                <w:bCs/>
                <w:color w:val="000000"/>
                <w:sz w:val="18"/>
                <w:szCs w:val="18"/>
                <w:lang w:val="es-ES"/>
              </w:rPr>
              <w:t>SD</w:t>
            </w:r>
          </w:p>
        </w:tc>
        <w:tc>
          <w:tcPr>
            <w:tcW w:w="1177" w:type="dxa"/>
            <w:tcBorders>
              <w:bottom w:val="single" w:sz="4" w:space="0" w:color="000000"/>
            </w:tcBorders>
            <w:shd w:color="auto" w:fill="auto" w:val="clear"/>
          </w:tcPr>
          <w:p>
            <w:pPr>
              <w:pStyle w:val="Normal"/>
              <w:jc w:val="right"/>
              <w:rPr>
                <w:rFonts w:ascii="Arial" w:hAnsi="Arial" w:cs="Arial"/>
                <w:b/>
                <w:b/>
                <w:color w:val="000000"/>
                <w:sz w:val="18"/>
                <w:szCs w:val="18"/>
                <w:lang w:val="es-ES"/>
              </w:rPr>
            </w:pPr>
            <w:r>
              <w:rPr>
                <w:rFonts w:cs="Arial" w:ascii="Arial" w:hAnsi="Arial"/>
                <w:b/>
                <w:color w:val="000000"/>
                <w:sz w:val="18"/>
                <w:szCs w:val="18"/>
                <w:lang w:val="es-ES"/>
              </w:rPr>
              <w:t>6,6</w:t>
            </w:r>
          </w:p>
        </w:tc>
      </w:tr>
      <w:tr>
        <w:trPr>
          <w:trHeight w:val="290" w:hRule="atLeast"/>
        </w:trPr>
        <w:tc>
          <w:tcPr>
            <w:tcW w:w="993" w:type="dxa"/>
            <w:vMerge w:val="restart"/>
            <w:tcBorders/>
            <w:shd w:color="auto" w:fill="D0CECE" w:themeFill="background2" w:themeFillShade="e6" w:val="clear"/>
          </w:tcPr>
          <w:p>
            <w:pPr>
              <w:pStyle w:val="Normal"/>
              <w:rPr>
                <w:rFonts w:ascii="Arial" w:hAnsi="Arial" w:cs="Arial"/>
                <w:b/>
                <w:b/>
                <w:bCs/>
                <w:color w:val="000000"/>
                <w:sz w:val="18"/>
                <w:szCs w:val="18"/>
                <w:lang w:val="es-ES"/>
              </w:rPr>
            </w:pPr>
            <w:r>
              <w:rPr>
                <w:rFonts w:cs="Arial" w:ascii="Arial" w:hAnsi="Arial"/>
                <w:b/>
                <w:bCs/>
                <w:color w:val="000000"/>
                <w:sz w:val="18"/>
                <w:szCs w:val="18"/>
                <w:lang w:val="es-ES"/>
              </w:rPr>
              <w:t>Negative control</w:t>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1</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29</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25</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12</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8</w:t>
            </w:r>
          </w:p>
        </w:tc>
        <w:tc>
          <w:tcPr>
            <w:tcW w:w="108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17</w:t>
            </w:r>
          </w:p>
        </w:tc>
        <w:tc>
          <w:tcPr>
            <w:tcW w:w="117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68,0</w:t>
            </w:r>
          </w:p>
        </w:tc>
      </w:tr>
      <w:tr>
        <w:trPr>
          <w:trHeight w:val="290" w:hRule="atLeast"/>
        </w:trPr>
        <w:tc>
          <w:tcPr>
            <w:tcW w:w="993" w:type="dxa"/>
            <w:vMerge w:val="continue"/>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2</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49</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2</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47</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31</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5</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26</w:t>
            </w:r>
          </w:p>
        </w:tc>
        <w:tc>
          <w:tcPr>
            <w:tcW w:w="108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21</w:t>
            </w:r>
          </w:p>
        </w:tc>
        <w:tc>
          <w:tcPr>
            <w:tcW w:w="117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44,7</w:t>
            </w:r>
          </w:p>
        </w:tc>
      </w:tr>
      <w:tr>
        <w:trPr>
          <w:trHeight w:val="290" w:hRule="atLeast"/>
        </w:trPr>
        <w:tc>
          <w:tcPr>
            <w:tcW w:w="993" w:type="dxa"/>
            <w:vMerge w:val="continue"/>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center"/>
              <w:rPr>
                <w:rFonts w:ascii="Arial" w:hAnsi="Arial" w:cs="Arial"/>
                <w:b/>
                <w:b/>
                <w:bCs/>
                <w:color w:val="000000"/>
                <w:sz w:val="18"/>
                <w:szCs w:val="18"/>
                <w:lang w:val="es-ES"/>
              </w:rPr>
            </w:pPr>
            <w:r>
              <w:rPr>
                <w:rFonts w:cs="Arial" w:ascii="Arial" w:hAnsi="Arial"/>
                <w:b/>
                <w:bCs/>
                <w:color w:val="000000"/>
                <w:sz w:val="18"/>
                <w:szCs w:val="18"/>
                <w:lang w:val="es-ES"/>
              </w:rPr>
              <w:t>3</w:t>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32</w:t>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w:t>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28</w:t>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17</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4</w:t>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t>13</w:t>
            </w:r>
          </w:p>
        </w:tc>
        <w:tc>
          <w:tcPr>
            <w:tcW w:w="108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15</w:t>
            </w:r>
          </w:p>
        </w:tc>
        <w:tc>
          <w:tcPr>
            <w:tcW w:w="1177" w:type="dxa"/>
            <w:tcBorders/>
            <w:shd w:color="auto" w:fill="auto" w:val="clear"/>
          </w:tcPr>
          <w:p>
            <w:pPr>
              <w:pStyle w:val="Normal"/>
              <w:jc w:val="right"/>
              <w:rPr>
                <w:rFonts w:ascii="Arial" w:hAnsi="Arial" w:cs="Arial"/>
                <w:color w:val="000000"/>
                <w:sz w:val="18"/>
                <w:szCs w:val="18"/>
                <w:lang w:val="es-ES"/>
              </w:rPr>
            </w:pPr>
            <w:r>
              <w:rPr>
                <w:rFonts w:cs="Arial" w:ascii="Arial" w:hAnsi="Arial"/>
                <w:color w:val="000000"/>
                <w:sz w:val="18"/>
                <w:szCs w:val="18"/>
                <w:lang w:val="es-ES"/>
              </w:rPr>
              <w:t>53,6</w:t>
            </w:r>
          </w:p>
        </w:tc>
      </w:tr>
      <w:tr>
        <w:trPr>
          <w:trHeight w:val="290" w:hRule="atLeast"/>
        </w:trPr>
        <w:tc>
          <w:tcPr>
            <w:tcW w:w="99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747"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701"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63"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087" w:type="dxa"/>
            <w:tcBorders/>
            <w:shd w:color="auto" w:fill="auto" w:val="clear"/>
          </w:tcPr>
          <w:p>
            <w:pPr>
              <w:pStyle w:val="Normal"/>
              <w:rPr>
                <w:rFonts w:ascii="Arial" w:hAnsi="Arial" w:cs="Arial"/>
                <w:b/>
                <w:b/>
                <w:bCs/>
                <w:color w:val="000000"/>
                <w:sz w:val="18"/>
                <w:szCs w:val="18"/>
                <w:lang w:val="es-ES"/>
              </w:rPr>
            </w:pPr>
            <w:r>
              <w:rPr>
                <w:rFonts w:cs="Arial" w:ascii="Arial" w:hAnsi="Arial"/>
                <w:b/>
                <w:bCs/>
                <w:color w:val="000000"/>
                <w:sz w:val="18"/>
                <w:szCs w:val="18"/>
                <w:lang w:val="es-ES"/>
              </w:rPr>
              <w:t>Mean</w:t>
            </w:r>
          </w:p>
        </w:tc>
        <w:tc>
          <w:tcPr>
            <w:tcW w:w="1177" w:type="dxa"/>
            <w:tcBorders/>
            <w:shd w:color="auto" w:fill="auto" w:val="clear"/>
          </w:tcPr>
          <w:p>
            <w:pPr>
              <w:pStyle w:val="Normal"/>
              <w:jc w:val="right"/>
              <w:rPr>
                <w:rFonts w:ascii="Arial" w:hAnsi="Arial" w:cs="Arial"/>
                <w:b/>
                <w:b/>
                <w:bCs/>
                <w:color w:val="000000"/>
                <w:sz w:val="18"/>
                <w:szCs w:val="18"/>
                <w:lang w:val="es-ES"/>
              </w:rPr>
            </w:pPr>
            <w:r>
              <w:rPr>
                <w:rFonts w:cs="Arial" w:ascii="Arial" w:hAnsi="Arial"/>
                <w:b/>
                <w:bCs/>
                <w:color w:val="000000"/>
                <w:sz w:val="18"/>
                <w:szCs w:val="18"/>
                <w:lang w:val="es-ES"/>
              </w:rPr>
              <w:t>53,8</w:t>
            </w:r>
          </w:p>
        </w:tc>
      </w:tr>
      <w:tr>
        <w:trPr>
          <w:trHeight w:val="290" w:hRule="atLeast"/>
        </w:trPr>
        <w:tc>
          <w:tcPr>
            <w:tcW w:w="993"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137"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747"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0"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701"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63"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685"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850" w:type="dxa"/>
            <w:tcBorders>
              <w:bottom w:val="single" w:sz="4" w:space="0" w:color="000000"/>
            </w:tcBorders>
          </w:tcPr>
          <w:p>
            <w:pPr>
              <w:pStyle w:val="Normal"/>
              <w:jc w:val="right"/>
              <w:rPr>
                <w:rFonts w:ascii="Arial" w:hAnsi="Arial" w:cs="Arial"/>
                <w:color w:val="000000"/>
                <w:sz w:val="18"/>
                <w:szCs w:val="18"/>
                <w:lang w:val="es-ES"/>
              </w:rPr>
            </w:pPr>
            <w:r>
              <w:rPr>
                <w:rFonts w:cs="Arial" w:ascii="Arial" w:hAnsi="Arial"/>
                <w:color w:val="000000"/>
                <w:sz w:val="18"/>
                <w:szCs w:val="18"/>
                <w:lang w:val="es-ES"/>
              </w:rPr>
            </w:r>
          </w:p>
        </w:tc>
        <w:tc>
          <w:tcPr>
            <w:tcW w:w="1087" w:type="dxa"/>
            <w:tcBorders>
              <w:bottom w:val="single" w:sz="4" w:space="0" w:color="000000"/>
            </w:tcBorders>
            <w:shd w:color="auto" w:fill="auto" w:val="clear"/>
          </w:tcPr>
          <w:p>
            <w:pPr>
              <w:pStyle w:val="Normal"/>
              <w:rPr>
                <w:rFonts w:ascii="Arial" w:hAnsi="Arial" w:cs="Arial"/>
                <w:b/>
                <w:b/>
                <w:bCs/>
                <w:color w:val="000000"/>
                <w:sz w:val="18"/>
                <w:szCs w:val="18"/>
                <w:lang w:val="es-ES"/>
              </w:rPr>
            </w:pPr>
            <w:r>
              <w:rPr>
                <w:rFonts w:cs="Arial" w:ascii="Arial" w:hAnsi="Arial"/>
                <w:b/>
                <w:bCs/>
                <w:color w:val="000000"/>
                <w:sz w:val="18"/>
                <w:szCs w:val="18"/>
                <w:lang w:val="es-ES"/>
              </w:rPr>
              <w:t>SD</w:t>
            </w:r>
          </w:p>
        </w:tc>
        <w:tc>
          <w:tcPr>
            <w:tcW w:w="1177" w:type="dxa"/>
            <w:tcBorders>
              <w:bottom w:val="single" w:sz="4" w:space="0" w:color="000000"/>
            </w:tcBorders>
            <w:shd w:color="auto" w:fill="auto" w:val="clear"/>
          </w:tcPr>
          <w:p>
            <w:pPr>
              <w:pStyle w:val="Normal"/>
              <w:jc w:val="right"/>
              <w:rPr>
                <w:rFonts w:ascii="Arial" w:hAnsi="Arial" w:cs="Arial"/>
                <w:b/>
                <w:b/>
                <w:color w:val="000000"/>
                <w:sz w:val="18"/>
                <w:szCs w:val="18"/>
                <w:lang w:val="es-ES"/>
              </w:rPr>
            </w:pPr>
            <w:r>
              <w:rPr>
                <w:rFonts w:cs="Arial" w:ascii="Arial" w:hAnsi="Arial"/>
                <w:b/>
                <w:color w:val="000000"/>
                <w:sz w:val="18"/>
                <w:szCs w:val="18"/>
                <w:lang w:val="es-ES"/>
              </w:rPr>
              <w:t>11,8</w:t>
            </w:r>
          </w:p>
        </w:tc>
      </w:tr>
    </w:tbl>
    <w:p>
      <w:pPr>
        <w:pStyle w:val="Normal"/>
        <w:rPr>
          <w:rFonts w:ascii="Arial" w:hAnsi="Arial" w:cs="Arial"/>
        </w:rPr>
      </w:pPr>
      <w:r>
        <w:rPr>
          <w:rFonts w:cs="Arial" w:ascii="Arial" w:hAnsi="Arial"/>
        </w:rPr>
      </w:r>
    </w:p>
    <w:p>
      <w:pPr>
        <w:pStyle w:val="Normal"/>
        <w:spacing w:lineRule="auto" w:line="360"/>
        <w:jc w:val="both"/>
        <w:rPr>
          <w:rFonts w:ascii="Arial" w:hAnsi="Arial" w:cs="Arial"/>
          <w:b/>
          <w:b/>
        </w:rPr>
      </w:pPr>
      <w:r>
        <w:rPr>
          <w:rFonts w:cs="Arial" w:ascii="Arial" w:hAnsi="Arial"/>
          <w:b/>
        </w:rPr>
      </w:r>
    </w:p>
    <w:p>
      <w:pPr>
        <w:pStyle w:val="Normal"/>
        <w:spacing w:lineRule="auto" w:line="360"/>
        <w:jc w:val="both"/>
        <w:rPr>
          <w:rFonts w:ascii="Arial" w:hAnsi="Arial" w:cs="Arial"/>
          <w:b/>
          <w:b/>
        </w:rPr>
      </w:pPr>
      <w:r>
        <w:rPr>
          <w:rFonts w:cs="Arial" w:ascii="Arial" w:hAnsi="Arial"/>
          <w:b/>
        </w:rPr>
        <w:t>Supplementary Table II. CryoEM data collection, refinement and validation statistics</w:t>
      </w:r>
    </w:p>
    <w:p>
      <w:pPr>
        <w:pStyle w:val="Normal"/>
        <w:spacing w:lineRule="auto" w:line="360"/>
        <w:jc w:val="both"/>
        <w:rPr>
          <w:rFonts w:ascii="Arial" w:hAnsi="Arial" w:cs="Arial"/>
          <w:b/>
          <w:b/>
        </w:rPr>
      </w:pPr>
      <w:r>
        <w:rPr>
          <w:rFonts w:cs="Arial" w:ascii="Arial" w:hAnsi="Arial"/>
          <w:b/>
        </w:rPr>
      </w:r>
    </w:p>
    <w:tbl>
      <w:tblPr>
        <w:tblStyle w:val="PlainTable4"/>
        <w:tblpPr w:bottomFromText="0" w:horzAnchor="text" w:leftFromText="141" w:rightFromText="141" w:tblpX="0" w:tblpY="1" w:topFromText="0" w:vertAnchor="text"/>
        <w:tblW w:w="9587" w:type="dxa"/>
        <w:jc w:val="left"/>
        <w:tblInd w:w="0" w:type="dxa"/>
        <w:tblCellMar>
          <w:top w:w="0" w:type="dxa"/>
          <w:left w:w="108" w:type="dxa"/>
          <w:bottom w:w="0" w:type="dxa"/>
          <w:right w:w="108" w:type="dxa"/>
        </w:tblCellMar>
        <w:tblLook w:val="04a0" w:noHBand="0" w:noVBand="1" w:firstColumn="1" w:lastRow="0" w:lastColumn="0" w:firstRow="1"/>
      </w:tblPr>
      <w:tblGrid>
        <w:gridCol w:w="2897"/>
        <w:gridCol w:w="1519"/>
        <w:gridCol w:w="1680"/>
        <w:gridCol w:w="1842"/>
        <w:gridCol w:w="1649"/>
      </w:tblGrid>
      <w:tr>
        <w:trPr>
          <w:trHeight w:val="300" w:hRule="atLeast"/>
          <w:cnfStyle w:val="100000000000" w:firstRow="1" w:lastRow="0" w:firstColumn="0" w:lastColumn="0" w:oddVBand="0" w:evenVBand="0" w:oddHBand="0"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bottom w:val="single" w:sz="4" w:space="0" w:color="000000"/>
            </w:tcBorders>
          </w:tcPr>
          <w:p>
            <w:pPr>
              <w:pStyle w:val="Normal"/>
              <w:spacing w:lineRule="auto" w:line="360"/>
              <w:jc w:val="both"/>
              <w:rPr>
                <w:rFonts w:ascii="Arial" w:hAnsi="Arial" w:cs="Arial"/>
              </w:rPr>
            </w:pPr>
            <w:r>
              <w:rPr>
                <w:rFonts w:cs="Arial" w:ascii="Arial" w:hAnsi="Arial"/>
                <w:b/>
                <w:bCs/>
                <w:szCs w:val="22"/>
              </w:rPr>
            </w:r>
          </w:p>
        </w:tc>
        <w:tc>
          <w:tcPr>
            <w:tcW w:w="1519" w:type="dxa"/>
            <w:tcBorders>
              <w:bottom w:val="single" w:sz="4" w:space="0" w:color="000000"/>
            </w:tcBorders>
          </w:tcPr>
          <w:p>
            <w:pPr>
              <w:pStyle w:val="Normal"/>
              <w:spacing w:lineRule="auto" w:line="360"/>
              <w:jc w:val="both"/>
              <w:cnfStyle w:val="100000000000" w:firstRow="1" w:lastRow="0" w:firstColumn="0" w:lastColumn="0" w:oddVBand="0" w:evenVBand="0" w:oddHBand="0" w:evenHBand="0" w:firstRowFirstColumn="0" w:firstRowLastColumn="0" w:lastRowFirstColumn="0" w:lastRowLastColumn="0"/>
              <w:rPr>
                <w:rFonts w:ascii="Arial" w:hAnsi="Arial" w:cs="Arial"/>
                <w:b w:val="false"/>
                <w:b w:val="false"/>
                <w:bCs w:val="false"/>
                <w:color w:val="000000"/>
              </w:rPr>
            </w:pPr>
            <w:r>
              <w:rPr>
                <w:rFonts w:cs="Arial" w:ascii="Arial" w:hAnsi="Arial"/>
                <w:b/>
                <w:bCs/>
                <w:color w:val="000000"/>
                <w:sz w:val="20"/>
                <w:szCs w:val="22"/>
              </w:rPr>
              <w:t>P116</w:t>
            </w:r>
          </w:p>
          <w:p>
            <w:pPr>
              <w:pStyle w:val="Normal"/>
              <w:spacing w:lineRule="auto" w:line="360"/>
              <w:jc w:val="both"/>
              <w:cnfStyle w:val="100000000000" w:firstRow="1" w:lastRow="0" w:firstColumn="0" w:lastColumn="0" w:oddVBand="0" w:evenVBand="0" w:oddHBand="0" w:evenHBand="0" w:firstRowFirstColumn="0" w:firstRowLastColumn="0" w:lastRowFirstColumn="0" w:lastRowLastColumn="0"/>
              <w:rPr>
                <w:rFonts w:ascii="Arial" w:hAnsi="Arial" w:cs="Arial"/>
                <w:b w:val="false"/>
                <w:b w:val="false"/>
                <w:bCs w:val="false"/>
                <w:color w:val="000000"/>
              </w:rPr>
            </w:pPr>
            <w:r>
              <w:rPr>
                <w:rFonts w:cs="Arial" w:ascii="Arial" w:hAnsi="Arial"/>
                <w:b/>
                <w:bCs/>
                <w:color w:val="000000"/>
                <w:sz w:val="20"/>
                <w:szCs w:val="22"/>
              </w:rPr>
              <w:t>EMDB</w:t>
            </w:r>
          </w:p>
        </w:tc>
        <w:tc>
          <w:tcPr>
            <w:tcW w:w="1680" w:type="dxa"/>
            <w:tcBorders>
              <w:bottom w:val="single" w:sz="4" w:space="0" w:color="000000"/>
            </w:tcBorders>
          </w:tcPr>
          <w:p>
            <w:pPr>
              <w:pStyle w:val="Normal"/>
              <w:spacing w:lineRule="auto" w:line="360"/>
              <w:jc w:val="both"/>
              <w:cnfStyle w:val="100000000000" w:firstRow="1" w:lastRow="0" w:firstColumn="0" w:lastColumn="0" w:oddVBand="0" w:evenVBand="0" w:oddHBand="0" w:evenHBand="0" w:firstRowFirstColumn="0" w:firstRowLastColumn="0" w:lastRowFirstColumn="0" w:lastRowLastColumn="0"/>
              <w:rPr>
                <w:rFonts w:ascii="Arial" w:hAnsi="Arial" w:cs="Arial"/>
                <w:b w:val="false"/>
                <w:b w:val="false"/>
                <w:bCs w:val="false"/>
                <w:color w:val="000000"/>
              </w:rPr>
            </w:pPr>
            <w:r>
              <w:rPr>
                <w:rFonts w:cs="Arial" w:ascii="Arial" w:hAnsi="Arial"/>
                <w:b/>
                <w:bCs/>
                <w:color w:val="000000"/>
                <w:sz w:val="20"/>
                <w:szCs w:val="22"/>
              </w:rPr>
              <w:t>P116 empty</w:t>
            </w:r>
          </w:p>
          <w:p>
            <w:pPr>
              <w:pStyle w:val="Normal"/>
              <w:spacing w:lineRule="auto" w:line="360"/>
              <w:jc w:val="both"/>
              <w:cnfStyle w:val="100000000000" w:firstRow="1" w:lastRow="0" w:firstColumn="0" w:lastColumn="0" w:oddVBand="0" w:evenVBand="0" w:oddHBand="0" w:evenHBand="0" w:firstRowFirstColumn="0" w:firstRowLastColumn="0" w:lastRowFirstColumn="0" w:lastRowLastColumn="0"/>
              <w:rPr>
                <w:rFonts w:ascii="Arial" w:hAnsi="Arial" w:cs="Arial"/>
                <w:b w:val="false"/>
                <w:b w:val="false"/>
                <w:bCs w:val="false"/>
                <w:color w:val="000000"/>
              </w:rPr>
            </w:pPr>
            <w:r>
              <w:rPr>
                <w:rFonts w:cs="Arial" w:ascii="Arial" w:hAnsi="Arial"/>
                <w:b/>
                <w:bCs/>
                <w:color w:val="000000"/>
                <w:sz w:val="20"/>
                <w:szCs w:val="22"/>
              </w:rPr>
              <w:t>EMDB</w:t>
            </w:r>
          </w:p>
        </w:tc>
        <w:tc>
          <w:tcPr>
            <w:tcW w:w="1842" w:type="dxa"/>
            <w:tcBorders>
              <w:bottom w:val="single" w:sz="4" w:space="0" w:color="000000"/>
            </w:tcBorders>
          </w:tcPr>
          <w:p>
            <w:pPr>
              <w:pStyle w:val="Normal"/>
              <w:spacing w:lineRule="auto" w:line="360"/>
              <w:jc w:val="both"/>
              <w:cnfStyle w:val="100000000000" w:firstRow="1" w:lastRow="0" w:firstColumn="0" w:lastColumn="0" w:oddVBand="0" w:evenVBand="0" w:oddHBand="0" w:evenHBand="0" w:firstRowFirstColumn="0" w:firstRowLastColumn="0" w:lastRowFirstColumn="0" w:lastRowLastColumn="0"/>
              <w:rPr>
                <w:rFonts w:ascii="Arial" w:hAnsi="Arial" w:cs="Arial"/>
                <w:b w:val="false"/>
                <w:b w:val="false"/>
                <w:bCs w:val="false"/>
                <w:color w:val="000000"/>
              </w:rPr>
            </w:pPr>
            <w:r>
              <w:rPr>
                <w:rFonts w:cs="Arial" w:ascii="Arial" w:hAnsi="Arial"/>
                <w:b/>
                <w:bCs/>
                <w:color w:val="000000"/>
                <w:sz w:val="20"/>
                <w:szCs w:val="22"/>
              </w:rPr>
              <w:t>P116 refilled</w:t>
            </w:r>
          </w:p>
          <w:p>
            <w:pPr>
              <w:pStyle w:val="Normal"/>
              <w:spacing w:lineRule="auto" w:line="360"/>
              <w:jc w:val="both"/>
              <w:cnfStyle w:val="100000000000" w:firstRow="1" w:lastRow="0" w:firstColumn="0" w:lastColumn="0" w:oddVBand="0" w:evenVBand="0" w:oddHBand="0" w:evenHBand="0" w:firstRowFirstColumn="0" w:firstRowLastColumn="0" w:lastRowFirstColumn="0" w:lastRowLastColumn="0"/>
              <w:rPr>
                <w:rFonts w:ascii="Arial" w:hAnsi="Arial" w:cs="Arial"/>
                <w:b w:val="false"/>
                <w:b w:val="false"/>
                <w:bCs w:val="false"/>
                <w:color w:val="000000"/>
              </w:rPr>
            </w:pPr>
            <w:r>
              <w:rPr>
                <w:rFonts w:cs="Arial" w:ascii="Arial" w:hAnsi="Arial"/>
                <w:b/>
                <w:bCs/>
                <w:color w:val="000000"/>
                <w:sz w:val="20"/>
                <w:szCs w:val="22"/>
              </w:rPr>
              <w:t>EMDB</w:t>
            </w:r>
          </w:p>
        </w:tc>
        <w:tc>
          <w:tcPr>
            <w:tcW w:w="1649" w:type="dxa"/>
            <w:tcBorders>
              <w:bottom w:val="single" w:sz="4" w:space="0" w:color="000000"/>
            </w:tcBorders>
          </w:tcPr>
          <w:p>
            <w:pPr>
              <w:pStyle w:val="Normal"/>
              <w:spacing w:lineRule="auto" w:line="360"/>
              <w:jc w:val="both"/>
              <w:cnfStyle w:val="100000000000" w:firstRow="1" w:lastRow="0" w:firstColumn="0" w:lastColumn="0" w:oddVBand="0" w:evenVBand="0" w:oddHBand="0" w:evenHBand="0" w:firstRowFirstColumn="0" w:firstRowLastColumn="0" w:lastRowFirstColumn="0" w:lastRowLastColumn="0"/>
              <w:rPr>
                <w:rFonts w:ascii="Arial" w:hAnsi="Arial" w:cs="Arial"/>
                <w:b w:val="false"/>
                <w:b w:val="false"/>
                <w:bCs w:val="false"/>
                <w:color w:val="000000"/>
              </w:rPr>
            </w:pPr>
            <w:r>
              <w:rPr>
                <w:rFonts w:cs="Arial" w:ascii="Arial" w:hAnsi="Arial"/>
                <w:b/>
                <w:bCs/>
                <w:color w:val="000000"/>
                <w:sz w:val="20"/>
                <w:szCs w:val="22"/>
              </w:rPr>
              <w:t>P116 + HDL</w:t>
            </w:r>
          </w:p>
          <w:p>
            <w:pPr>
              <w:pStyle w:val="Normal"/>
              <w:spacing w:lineRule="auto" w:line="360"/>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b/>
                <w:bCs/>
                <w:color w:val="000000"/>
                <w:sz w:val="20"/>
                <w:szCs w:val="22"/>
              </w:rPr>
              <w:t>EMDB</w:t>
            </w:r>
          </w:p>
        </w:tc>
      </w:tr>
      <w:tr>
        <w:trPr>
          <w:trHeight w:val="300"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top w:val="single" w:sz="4" w:space="0" w:color="000000"/>
            </w:tcBorders>
            <w:shd w:color="auto" w:fill="F2F2F2" w:themeFill="background1" w:themeFillShade="f2" w:val="clear"/>
          </w:tcPr>
          <w:p>
            <w:pPr>
              <w:pStyle w:val="Normal"/>
              <w:spacing w:lineRule="auto" w:line="360"/>
              <w:jc w:val="both"/>
              <w:rPr>
                <w:rFonts w:ascii="Arial" w:hAnsi="Arial" w:cs="Arial"/>
                <w:b w:val="false"/>
                <w:b w:val="false"/>
                <w:bCs w:val="false"/>
                <w:color w:val="000000"/>
                <w:u w:val="single"/>
              </w:rPr>
            </w:pPr>
            <w:r>
              <w:rPr>
                <w:rFonts w:cs="Arial" w:ascii="Arial" w:hAnsi="Arial"/>
                <w:b/>
                <w:bCs/>
                <w:color w:val="000000"/>
                <w:sz w:val="20"/>
                <w:szCs w:val="22"/>
                <w:u w:val="single"/>
              </w:rPr>
              <w:t>Data collection</w:t>
            </w:r>
          </w:p>
        </w:tc>
        <w:tc>
          <w:tcPr>
            <w:tcW w:w="1519" w:type="dxa"/>
            <w:tcBorders>
              <w:top w:val="single" w:sz="4" w:space="0" w:color="000000"/>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b/>
                <w:b/>
                <w:bCs/>
                <w:color w:val="000000"/>
              </w:rPr>
            </w:pPr>
            <w:r>
              <w:rPr>
                <w:rFonts w:cs="Arial" w:ascii="Arial" w:hAnsi="Arial"/>
                <w:b/>
                <w:bCs/>
                <w:color w:val="000000"/>
                <w:szCs w:val="22"/>
              </w:rPr>
            </w:r>
          </w:p>
        </w:tc>
        <w:tc>
          <w:tcPr>
            <w:tcW w:w="1680" w:type="dxa"/>
            <w:tcBorders>
              <w:top w:val="single" w:sz="4" w:space="0" w:color="000000"/>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cs="Arial" w:ascii="Arial" w:hAnsi="Arial"/>
                <w:szCs w:val="22"/>
              </w:rPr>
            </w:r>
          </w:p>
        </w:tc>
        <w:tc>
          <w:tcPr>
            <w:tcW w:w="1842" w:type="dxa"/>
            <w:tcBorders>
              <w:top w:val="single" w:sz="4" w:space="0" w:color="000000"/>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cs="Arial" w:ascii="Arial" w:hAnsi="Arial"/>
                <w:szCs w:val="22"/>
              </w:rPr>
            </w:r>
          </w:p>
        </w:tc>
        <w:tc>
          <w:tcPr>
            <w:tcW w:w="1649" w:type="dxa"/>
            <w:tcBorders>
              <w:top w:val="single" w:sz="4" w:space="0" w:color="000000"/>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cs="Arial" w:ascii="Arial" w:hAnsi="Arial"/>
                <w:szCs w:val="22"/>
              </w:rPr>
            </w:r>
          </w:p>
        </w:tc>
      </w:tr>
      <w:tr>
        <w:trPr>
          <w:trHeight w:val="285"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 w:val="20"/>
                <w:szCs w:val="22"/>
              </w:rPr>
              <w:t>Microscope</w:t>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FEI Titan Krios</w:t>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FEI Titan Krios</w:t>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FEI Titan Krios</w:t>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FEI Titan Krios</w:t>
            </w:r>
          </w:p>
        </w:tc>
      </w:tr>
      <w:tr>
        <w:trPr>
          <w:trHeight w:val="285"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color w:val="000000"/>
              </w:rPr>
            </w:pPr>
            <w:r>
              <w:rPr>
                <w:rFonts w:cs="Arial" w:ascii="Arial" w:hAnsi="Arial"/>
                <w:b/>
                <w:bCs/>
                <w:color w:val="000000"/>
                <w:sz w:val="20"/>
                <w:szCs w:val="22"/>
              </w:rPr>
              <w:t>Detector</w:t>
            </w:r>
          </w:p>
        </w:tc>
        <w:tc>
          <w:tcPr>
            <w:tcW w:w="151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Gatan K2 Summit</w:t>
            </w:r>
          </w:p>
        </w:tc>
        <w:tc>
          <w:tcPr>
            <w:tcW w:w="1680"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Gatan K3 Summit</w:t>
            </w:r>
          </w:p>
        </w:tc>
        <w:tc>
          <w:tcPr>
            <w:tcW w:w="1842"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Gatan K2 Summit</w:t>
            </w:r>
          </w:p>
        </w:tc>
        <w:tc>
          <w:tcPr>
            <w:tcW w:w="164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Gatan K2 Summit</w:t>
            </w:r>
          </w:p>
        </w:tc>
      </w:tr>
      <w:tr>
        <w:trPr>
          <w:trHeight w:val="285"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 w:val="20"/>
                <w:szCs w:val="22"/>
              </w:rPr>
              <w:t>Acquistion Software</w:t>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SerialEM 3.8</w:t>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EPU 2.12</w:t>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SerialEM 3.8</w:t>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SerialEM 3.8</w:t>
            </w:r>
          </w:p>
        </w:tc>
      </w:tr>
      <w:tr>
        <w:trPr>
          <w:trHeight w:val="285"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color w:val="000000"/>
              </w:rPr>
            </w:pPr>
            <w:r>
              <w:rPr>
                <w:rFonts w:cs="Arial" w:ascii="Arial" w:hAnsi="Arial"/>
                <w:b/>
                <w:bCs/>
                <w:color w:val="000000"/>
                <w:sz w:val="20"/>
                <w:szCs w:val="22"/>
              </w:rPr>
              <w:t>Magnification</w:t>
            </w:r>
          </w:p>
        </w:tc>
        <w:tc>
          <w:tcPr>
            <w:tcW w:w="151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130,000x</w:t>
            </w:r>
          </w:p>
        </w:tc>
        <w:tc>
          <w:tcPr>
            <w:tcW w:w="1680"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105,000x</w:t>
            </w:r>
          </w:p>
        </w:tc>
        <w:tc>
          <w:tcPr>
            <w:tcW w:w="1842"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130,000x</w:t>
            </w:r>
          </w:p>
        </w:tc>
        <w:tc>
          <w:tcPr>
            <w:tcW w:w="164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130,000x</w:t>
            </w:r>
          </w:p>
        </w:tc>
      </w:tr>
      <w:tr>
        <w:trPr>
          <w:trHeight w:val="285"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 w:val="20"/>
                <w:szCs w:val="22"/>
              </w:rPr>
              <w:t>Pixel size (Å)</w:t>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1,05</w:t>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0,831</w:t>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1,05</w:t>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1,05</w:t>
            </w:r>
          </w:p>
        </w:tc>
      </w:tr>
      <w:tr>
        <w:trPr>
          <w:trHeight w:val="330"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color w:val="000000"/>
              </w:rPr>
            </w:pPr>
            <w:r>
              <w:rPr>
                <w:rFonts w:cs="Arial" w:ascii="Arial" w:hAnsi="Arial"/>
                <w:b/>
                <w:bCs/>
                <w:color w:val="000000"/>
                <w:sz w:val="20"/>
                <w:szCs w:val="22"/>
              </w:rPr>
              <w:t>Total electron dose (e</w:t>
            </w:r>
            <w:r>
              <w:rPr>
                <w:rFonts w:cs="Arial" w:ascii="Arial" w:hAnsi="Arial"/>
                <w:b/>
                <w:bCs/>
                <w:color w:val="000000"/>
                <w:sz w:val="20"/>
                <w:szCs w:val="22"/>
                <w:vertAlign w:val="superscript"/>
              </w:rPr>
              <w:t>-</w:t>
            </w:r>
            <w:r>
              <w:rPr>
                <w:rFonts w:cs="Arial" w:ascii="Arial" w:hAnsi="Arial"/>
                <w:b/>
                <w:bCs/>
                <w:color w:val="000000"/>
                <w:sz w:val="20"/>
                <w:szCs w:val="22"/>
              </w:rPr>
              <w:t>/Å</w:t>
            </w:r>
            <w:r>
              <w:rPr>
                <w:rFonts w:cs="Arial" w:ascii="Arial" w:hAnsi="Arial"/>
                <w:b/>
                <w:bCs/>
                <w:color w:val="000000"/>
                <w:sz w:val="20"/>
                <w:szCs w:val="22"/>
                <w:vertAlign w:val="superscript"/>
              </w:rPr>
              <w:t>2</w:t>
            </w:r>
            <w:r>
              <w:rPr>
                <w:rFonts w:cs="Arial" w:ascii="Arial" w:hAnsi="Arial"/>
                <w:b/>
                <w:bCs/>
                <w:color w:val="000000"/>
                <w:sz w:val="20"/>
                <w:szCs w:val="22"/>
              </w:rPr>
              <w:t>)</w:t>
            </w:r>
          </w:p>
        </w:tc>
        <w:tc>
          <w:tcPr>
            <w:tcW w:w="151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50</w:t>
            </w:r>
          </w:p>
        </w:tc>
        <w:tc>
          <w:tcPr>
            <w:tcW w:w="1680"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50</w:t>
            </w:r>
          </w:p>
        </w:tc>
        <w:tc>
          <w:tcPr>
            <w:tcW w:w="1842"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50</w:t>
            </w:r>
          </w:p>
        </w:tc>
        <w:tc>
          <w:tcPr>
            <w:tcW w:w="164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50</w:t>
            </w:r>
          </w:p>
        </w:tc>
      </w:tr>
      <w:tr>
        <w:trPr>
          <w:trHeight w:val="330"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 w:val="20"/>
                <w:szCs w:val="22"/>
              </w:rPr>
              <w:t>Dose rate (Å</w:t>
            </w:r>
            <w:r>
              <w:rPr>
                <w:rFonts w:cs="Arial" w:ascii="Arial" w:hAnsi="Arial"/>
                <w:b/>
                <w:bCs/>
                <w:color w:val="000000"/>
                <w:sz w:val="20"/>
                <w:szCs w:val="22"/>
                <w:vertAlign w:val="superscript"/>
              </w:rPr>
              <w:t>2</w:t>
            </w:r>
            <w:r>
              <w:rPr>
                <w:rFonts w:cs="Arial" w:ascii="Arial" w:hAnsi="Arial"/>
                <w:b/>
                <w:bCs/>
                <w:color w:val="000000"/>
                <w:sz w:val="20"/>
                <w:szCs w:val="22"/>
              </w:rPr>
              <w:t>/s</w:t>
            </w:r>
            <w:r>
              <w:rPr>
                <w:rFonts w:cs="Arial" w:ascii="Arial" w:hAnsi="Arial"/>
                <w:b/>
                <w:bCs/>
                <w:color w:val="000000"/>
                <w:sz w:val="20"/>
                <w:szCs w:val="22"/>
                <w:vertAlign w:val="superscript"/>
              </w:rPr>
              <w:t>-1</w:t>
            </w:r>
            <w:r>
              <w:rPr>
                <w:rFonts w:cs="Arial" w:ascii="Arial" w:hAnsi="Arial"/>
                <w:b/>
                <w:bCs/>
                <w:color w:val="000000"/>
                <w:sz w:val="20"/>
                <w:szCs w:val="22"/>
              </w:rPr>
              <w:t>)</w:t>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8,2</w:t>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8,2</w:t>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8,2</w:t>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30</w:t>
            </w:r>
          </w:p>
        </w:tc>
      </w:tr>
      <w:tr>
        <w:trPr>
          <w:trHeight w:val="285"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color w:val="000000"/>
              </w:rPr>
            </w:pPr>
            <w:r>
              <w:rPr>
                <w:rFonts w:cs="Arial" w:ascii="Arial" w:hAnsi="Arial"/>
                <w:b/>
                <w:bCs/>
                <w:color w:val="000000"/>
                <w:sz w:val="20"/>
                <w:szCs w:val="22"/>
              </w:rPr>
              <w:t>Number of frames</w:t>
            </w:r>
          </w:p>
        </w:tc>
        <w:tc>
          <w:tcPr>
            <w:tcW w:w="151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34</w:t>
            </w:r>
          </w:p>
        </w:tc>
        <w:tc>
          <w:tcPr>
            <w:tcW w:w="1680"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50</w:t>
            </w:r>
          </w:p>
        </w:tc>
        <w:tc>
          <w:tcPr>
            <w:tcW w:w="1842"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29</w:t>
            </w:r>
          </w:p>
        </w:tc>
        <w:tc>
          <w:tcPr>
            <w:tcW w:w="164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 to -3.5</w:t>
            </w:r>
          </w:p>
        </w:tc>
      </w:tr>
      <w:tr>
        <w:trPr>
          <w:trHeight w:val="285"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 w:val="20"/>
                <w:szCs w:val="22"/>
              </w:rPr>
              <w:t>Defocus range (µm)</w:t>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-1 to -3.5</w:t>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-1 to -3.5</w:t>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-1 to -3.5</w:t>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3114</w:t>
            </w:r>
          </w:p>
        </w:tc>
      </w:tr>
      <w:tr>
        <w:trPr>
          <w:trHeight w:val="285"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color w:val="000000"/>
              </w:rPr>
            </w:pPr>
            <w:r>
              <w:rPr>
                <w:rFonts w:cs="Arial" w:ascii="Arial" w:hAnsi="Arial"/>
                <w:b/>
                <w:bCs/>
                <w:color w:val="000000"/>
                <w:sz w:val="20"/>
                <w:szCs w:val="22"/>
              </w:rPr>
              <w:t>Micrographs used</w:t>
            </w:r>
          </w:p>
        </w:tc>
        <w:tc>
          <w:tcPr>
            <w:tcW w:w="151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4367</w:t>
            </w:r>
          </w:p>
        </w:tc>
        <w:tc>
          <w:tcPr>
            <w:tcW w:w="1680"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15299</w:t>
            </w:r>
          </w:p>
        </w:tc>
        <w:tc>
          <w:tcPr>
            <w:tcW w:w="1842"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4019</w:t>
            </w:r>
          </w:p>
        </w:tc>
        <w:tc>
          <w:tcPr>
            <w:tcW w:w="164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Cs w:val="22"/>
              </w:rPr>
            </w:r>
          </w:p>
        </w:tc>
      </w:tr>
      <w:tr>
        <w:trPr>
          <w:trHeight w:val="285"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Cs w:val="22"/>
              </w:rPr>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cs="Arial" w:ascii="Arial" w:hAnsi="Arial"/>
                <w:szCs w:val="22"/>
              </w:rPr>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cs="Arial" w:ascii="Arial" w:hAnsi="Arial"/>
                <w:szCs w:val="22"/>
              </w:rPr>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cs="Arial" w:ascii="Arial" w:hAnsi="Arial"/>
                <w:szCs w:val="22"/>
              </w:rPr>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cs="Arial" w:ascii="Arial" w:hAnsi="Arial"/>
                <w:szCs w:val="22"/>
              </w:rPr>
            </w:r>
          </w:p>
        </w:tc>
      </w:tr>
      <w:tr>
        <w:trPr>
          <w:trHeight w:val="300"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b w:val="false"/>
                <w:b w:val="false"/>
                <w:bCs w:val="false"/>
                <w:color w:val="000000"/>
                <w:u w:val="single"/>
              </w:rPr>
            </w:pPr>
            <w:r>
              <w:rPr>
                <w:rFonts w:cs="Arial" w:ascii="Arial" w:hAnsi="Arial"/>
                <w:b/>
                <w:bCs/>
                <w:color w:val="000000"/>
                <w:sz w:val="20"/>
                <w:szCs w:val="22"/>
                <w:u w:val="single"/>
              </w:rPr>
              <w:t>Processing</w:t>
            </w:r>
          </w:p>
        </w:tc>
        <w:tc>
          <w:tcPr>
            <w:tcW w:w="151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b/>
                <w:b/>
                <w:bCs/>
                <w:color w:val="000000"/>
              </w:rPr>
            </w:pPr>
            <w:r>
              <w:rPr>
                <w:rFonts w:cs="Arial" w:ascii="Arial" w:hAnsi="Arial"/>
                <w:b/>
                <w:bCs/>
                <w:color w:val="000000"/>
                <w:szCs w:val="22"/>
              </w:rPr>
            </w:r>
          </w:p>
        </w:tc>
        <w:tc>
          <w:tcPr>
            <w:tcW w:w="1680"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cs="Arial" w:ascii="Arial" w:hAnsi="Arial"/>
                <w:szCs w:val="22"/>
              </w:rPr>
            </w:r>
          </w:p>
        </w:tc>
        <w:tc>
          <w:tcPr>
            <w:tcW w:w="1842"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cs="Arial" w:ascii="Arial" w:hAnsi="Arial"/>
                <w:szCs w:val="22"/>
              </w:rPr>
            </w:r>
          </w:p>
        </w:tc>
        <w:tc>
          <w:tcPr>
            <w:tcW w:w="164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cs="Arial" w:ascii="Arial" w:hAnsi="Arial"/>
                <w:szCs w:val="22"/>
              </w:rPr>
            </w:r>
          </w:p>
        </w:tc>
      </w:tr>
      <w:tr>
        <w:trPr>
          <w:trHeight w:val="285"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 w:val="20"/>
                <w:szCs w:val="22"/>
              </w:rPr>
              <w:t>Software</w:t>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r>
      <w:tr>
        <w:trPr>
          <w:trHeight w:val="285"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color w:val="000000"/>
              </w:rPr>
            </w:pPr>
            <w:r>
              <w:rPr>
                <w:rFonts w:cs="Arial" w:ascii="Arial" w:hAnsi="Arial"/>
                <w:b/>
                <w:bCs/>
                <w:color w:val="000000"/>
                <w:sz w:val="20"/>
                <w:szCs w:val="22"/>
              </w:rPr>
              <w:t>Motion correction</w:t>
            </w:r>
          </w:p>
        </w:tc>
        <w:tc>
          <w:tcPr>
            <w:tcW w:w="151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c>
          <w:tcPr>
            <w:tcW w:w="1680"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c>
          <w:tcPr>
            <w:tcW w:w="1842"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c>
          <w:tcPr>
            <w:tcW w:w="164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r>
      <w:tr>
        <w:trPr>
          <w:trHeight w:val="285"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 w:val="20"/>
                <w:szCs w:val="22"/>
              </w:rPr>
              <w:t>CTF estimation</w:t>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cryoSPARC v3.3.2</w:t>
            </w:r>
          </w:p>
        </w:tc>
      </w:tr>
      <w:tr>
        <w:trPr>
          <w:trHeight w:val="285"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color w:val="000000"/>
              </w:rPr>
            </w:pPr>
            <w:r>
              <w:rPr>
                <w:rFonts w:cs="Arial" w:ascii="Arial" w:hAnsi="Arial"/>
                <w:b/>
                <w:bCs/>
                <w:color w:val="000000"/>
                <w:sz w:val="20"/>
                <w:szCs w:val="22"/>
              </w:rPr>
              <w:t>Total extracted particles</w:t>
            </w:r>
          </w:p>
        </w:tc>
        <w:tc>
          <w:tcPr>
            <w:tcW w:w="151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3.463.490</w:t>
            </w:r>
          </w:p>
        </w:tc>
        <w:tc>
          <w:tcPr>
            <w:tcW w:w="1680"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4.532.601</w:t>
            </w:r>
          </w:p>
        </w:tc>
        <w:tc>
          <w:tcPr>
            <w:tcW w:w="1842"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2.930.863</w:t>
            </w:r>
          </w:p>
        </w:tc>
        <w:tc>
          <w:tcPr>
            <w:tcW w:w="164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262.981</w:t>
            </w:r>
          </w:p>
        </w:tc>
      </w:tr>
      <w:tr>
        <w:trPr>
          <w:trHeight w:val="285"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 w:val="20"/>
                <w:szCs w:val="22"/>
              </w:rPr>
              <w:t>After 2D classification</w:t>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1.324.330</w:t>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1.140.275</w:t>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1.311.526</w:t>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46.277</w:t>
            </w:r>
          </w:p>
        </w:tc>
      </w:tr>
      <w:tr>
        <w:trPr>
          <w:trHeight w:val="285"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color w:val="000000"/>
              </w:rPr>
            </w:pPr>
            <w:r>
              <w:rPr>
                <w:rFonts w:cs="Arial" w:ascii="Arial" w:hAnsi="Arial"/>
                <w:b/>
                <w:bCs/>
                <w:color w:val="000000"/>
                <w:sz w:val="20"/>
                <w:szCs w:val="22"/>
              </w:rPr>
              <w:t>Number of refined particles</w:t>
            </w:r>
          </w:p>
        </w:tc>
        <w:tc>
          <w:tcPr>
            <w:tcW w:w="151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1.315.362</w:t>
            </w:r>
          </w:p>
        </w:tc>
        <w:tc>
          <w:tcPr>
            <w:tcW w:w="1680"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633.322</w:t>
            </w:r>
          </w:p>
        </w:tc>
        <w:tc>
          <w:tcPr>
            <w:tcW w:w="1842"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1.311.526</w:t>
            </w:r>
          </w:p>
        </w:tc>
        <w:tc>
          <w:tcPr>
            <w:tcW w:w="164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46.277</w:t>
            </w:r>
          </w:p>
        </w:tc>
      </w:tr>
      <w:tr>
        <w:trPr>
          <w:trHeight w:val="285"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 w:val="20"/>
                <w:szCs w:val="22"/>
              </w:rPr>
              <w:t>Symmetry</w:t>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w:t>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w:t>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w:t>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w:t>
            </w:r>
          </w:p>
        </w:tc>
      </w:tr>
      <w:tr>
        <w:trPr>
          <w:trHeight w:val="285" w:hRule="atLeast"/>
          <w:cnfStyle w:val="000000100000" w:firstRow="0" w:lastRow="0" w:firstColumn="0" w:lastColumn="0" w:oddVBand="0" w:evenVBand="0" w:oddHBand="1" w:evenHBand="0" w:firstRowFirstColumn="0" w:firstRowLastColumn="0" w:lastRowFirstColumn="0" w:lastRowLastColumn="0"/>
        </w:trPr>
        <w:tc>
          <w:tcPr>
            <w:tcW w:w="2897" w:type="dxa"/>
            <w:cnfStyle w:val="001000000000" w:firstRow="0" w:lastRow="0" w:firstColumn="1" w:lastColumn="0" w:oddVBand="0"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color w:val="000000"/>
              </w:rPr>
            </w:pPr>
            <w:r>
              <w:rPr>
                <w:rFonts w:cs="Arial" w:ascii="Arial" w:hAnsi="Arial"/>
                <w:b/>
                <w:bCs/>
                <w:color w:val="000000"/>
                <w:sz w:val="20"/>
                <w:szCs w:val="22"/>
              </w:rPr>
              <w:t>Map sharpening B factor</w:t>
            </w:r>
          </w:p>
        </w:tc>
        <w:tc>
          <w:tcPr>
            <w:tcW w:w="151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-117</w:t>
            </w:r>
          </w:p>
        </w:tc>
        <w:tc>
          <w:tcPr>
            <w:tcW w:w="1680"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-105</w:t>
            </w:r>
          </w:p>
        </w:tc>
        <w:tc>
          <w:tcPr>
            <w:tcW w:w="1842"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-131</w:t>
            </w:r>
          </w:p>
        </w:tc>
        <w:tc>
          <w:tcPr>
            <w:tcW w:w="1649" w:type="dxa"/>
            <w:tcBorders/>
            <w:shd w:color="auto" w:fill="F2F2F2" w:themeFill="background1" w:themeFillShade="f2" w:val="clear"/>
          </w:tcPr>
          <w:p>
            <w:pPr>
              <w:pStyle w:val="Normal"/>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cs="Arial" w:ascii="Arial" w:hAnsi="Arial"/>
                <w:color w:val="000000"/>
                <w:sz w:val="20"/>
                <w:szCs w:val="22"/>
              </w:rPr>
              <w:t>-490</w:t>
            </w:r>
          </w:p>
        </w:tc>
      </w:tr>
      <w:tr>
        <w:trPr>
          <w:trHeight w:val="285" w:hRule="atLeast"/>
        </w:trPr>
        <w:tc>
          <w:tcPr>
            <w:tcW w:w="2897" w:type="dxa"/>
            <w:cnfStyle w:val="001000000000" w:firstRow="0" w:lastRow="0" w:firstColumn="1" w:lastColumn="0" w:oddVBand="0" w:evenVBand="0" w:oddHBand="0" w:evenHBand="0" w:firstRowFirstColumn="0" w:firstRowLastColumn="0" w:lastRowFirstColumn="0" w:lastRowLastColumn="0"/>
            <w:tcBorders/>
          </w:tcPr>
          <w:p>
            <w:pPr>
              <w:pStyle w:val="Normal"/>
              <w:spacing w:lineRule="auto" w:line="360"/>
              <w:jc w:val="both"/>
              <w:rPr>
                <w:rFonts w:ascii="Arial" w:hAnsi="Arial" w:cs="Arial"/>
                <w:color w:val="000000"/>
              </w:rPr>
            </w:pPr>
            <w:r>
              <w:rPr>
                <w:rFonts w:cs="Arial" w:ascii="Arial" w:hAnsi="Arial"/>
                <w:b/>
                <w:bCs/>
                <w:color w:val="000000"/>
                <w:sz w:val="20"/>
                <w:szCs w:val="22"/>
              </w:rPr>
              <w:t>Resolution (Å) FSC 0.143</w:t>
            </w:r>
          </w:p>
        </w:tc>
        <w:tc>
          <w:tcPr>
            <w:tcW w:w="151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3,3</w:t>
            </w:r>
          </w:p>
        </w:tc>
        <w:tc>
          <w:tcPr>
            <w:tcW w:w="1680"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4</w:t>
            </w:r>
          </w:p>
        </w:tc>
        <w:tc>
          <w:tcPr>
            <w:tcW w:w="1842"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3,5</w:t>
            </w:r>
          </w:p>
        </w:tc>
        <w:tc>
          <w:tcPr>
            <w:tcW w:w="1649" w:type="dxa"/>
            <w:tcBorders/>
          </w:tcPr>
          <w:p>
            <w:pPr>
              <w:pStyle w:val="Normal"/>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cs="Arial" w:ascii="Arial" w:hAnsi="Arial"/>
                <w:color w:val="000000"/>
                <w:sz w:val="20"/>
                <w:szCs w:val="22"/>
              </w:rPr>
              <w:t xml:space="preserve"> </w:t>
            </w:r>
            <w:r>
              <w:rPr>
                <w:rFonts w:cs="Arial" w:ascii="Arial" w:hAnsi="Arial"/>
                <w:color w:val="000000"/>
                <w:sz w:val="20"/>
                <w:szCs w:val="22"/>
              </w:rPr>
              <w:t>8.6</w:t>
            </w:r>
          </w:p>
        </w:tc>
      </w:tr>
    </w:tbl>
    <w:p>
      <w:pPr>
        <w:pStyle w:val="Normal"/>
        <w:spacing w:lineRule="auto" w:line="360"/>
        <w:jc w:val="both"/>
        <w:rPr>
          <w:rFonts w:ascii="Arial" w:hAnsi="Arial" w:cs="Arial"/>
          <w:b/>
          <w:b/>
        </w:rPr>
      </w:pPr>
      <w:r>
        <w:rPr>
          <w:rFonts w:cs="Arial" w:ascii="Arial" w:hAnsi="Arial"/>
          <w:b/>
        </w:rPr>
      </w:r>
    </w:p>
    <w:tbl>
      <w:tblPr>
        <w:tblStyle w:val="Tablanormal41"/>
        <w:tblW w:w="5670" w:type="dxa"/>
        <w:jc w:val="center"/>
        <w:tblInd w:w="0" w:type="dxa"/>
        <w:tblCellMar>
          <w:top w:w="0" w:type="dxa"/>
          <w:left w:w="108" w:type="dxa"/>
          <w:bottom w:w="0" w:type="dxa"/>
          <w:right w:w="108" w:type="dxa"/>
        </w:tblCellMar>
        <w:tblLook w:val="0000" w:noHBand="0" w:noVBand="0" w:firstColumn="0" w:lastRow="0" w:lastColumn="0" w:firstRow="0"/>
      </w:tblPr>
      <w:tblGrid>
        <w:gridCol w:w="4253"/>
        <w:gridCol w:w="1416"/>
      </w:tblGrid>
      <w:tr>
        <w:trPr>
          <w:trHeight w:val="298" w:hRule="atLeast"/>
          <w:cnfStyle w:val="000000100000" w:firstRow="0" w:lastRow="0" w:firstColumn="0" w:lastColumn="0" w:oddVBand="0" w:evenVBand="0" w:oddHBand="1" w:evenHBand="0" w:firstRowFirstColumn="0" w:firstRowLastColumn="0" w:lastRowFirstColumn="0" w:lastRowLastColumn="0"/>
        </w:trPr>
        <w:tc>
          <w:tcPr>
            <w:tcW w:w="4253" w:type="dxa"/>
            <w:cnfStyle w:val="000010000000" w:firstRow="0" w:lastRow="0" w:firstColumn="0" w:lastColumn="0" w:oddVBand="1" w:evenVBand="0" w:oddHBand="0" w:evenHBand="0" w:firstRowFirstColumn="0" w:firstRowLastColumn="0" w:lastRowFirstColumn="0" w:lastRowLastColumn="0"/>
            <w:tcBorders>
              <w:bottom w:val="single" w:sz="4" w:space="0" w:color="000000"/>
            </w:tcBorders>
            <w:shd w:color="auto" w:fill="FFFFFF" w:themeFill="background1" w:val="clear"/>
          </w:tcPr>
          <w:p>
            <w:pPr>
              <w:pStyle w:val="Normal"/>
              <w:spacing w:lineRule="auto" w:line="360"/>
              <w:jc w:val="both"/>
              <w:rPr>
                <w:rFonts w:ascii="Arial" w:hAnsi="Arial" w:cs="Arial"/>
                <w:b/>
                <w:b/>
                <w:bCs/>
                <w:sz w:val="20"/>
                <w:szCs w:val="20"/>
              </w:rPr>
            </w:pPr>
            <w:r>
              <w:rPr>
                <w:rFonts w:cs="Arial" w:ascii="Arial" w:hAnsi="Arial"/>
                <w:b/>
                <w:bCs/>
                <w:sz w:val="20"/>
                <w:szCs w:val="20"/>
              </w:rPr>
              <w:t>Refinement</w:t>
            </w:r>
          </w:p>
        </w:tc>
        <w:tc>
          <w:tcPr>
            <w:tcW w:w="1416" w:type="dxa"/>
            <w:tcBorders>
              <w:bottom w:val="single" w:sz="4" w:space="0" w:color="000000"/>
            </w:tcBorders>
            <w:shd w:color="auto" w:fill="FFFFFF" w:themeFill="background1" w:val="clear"/>
          </w:tcPr>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b/>
                <w:b/>
                <w:bCs/>
                <w:sz w:val="20"/>
                <w:szCs w:val="20"/>
              </w:rPr>
            </w:pPr>
            <w:r>
              <w:rPr>
                <w:rFonts w:cs="Arial" w:ascii="Arial" w:hAnsi="Arial"/>
                <w:b/>
                <w:bCs/>
                <w:sz w:val="20"/>
                <w:szCs w:val="20"/>
              </w:rPr>
              <w:t>P116</w:t>
            </w:r>
          </w:p>
        </w:tc>
      </w:tr>
      <w:tr>
        <w:trPr/>
        <w:tc>
          <w:tcPr>
            <w:tcW w:w="4253" w:type="dxa"/>
            <w:cnfStyle w:val="000010000000" w:firstRow="0" w:lastRow="0" w:firstColumn="0" w:lastColumn="0" w:oddVBand="1" w:evenVBand="0" w:oddHBand="0" w:evenHBand="0" w:firstRowFirstColumn="0" w:firstRowLastColumn="0" w:lastRowFirstColumn="0" w:lastRowLastColumn="0"/>
            <w:tcBorders>
              <w:top w:val="single" w:sz="4" w:space="0" w:color="000000"/>
            </w:tcBorders>
            <w:shd w:color="auto" w:fill="F2F2F2" w:themeFill="background1" w:themeFillShade="f2" w:val="clear"/>
          </w:tcPr>
          <w:p>
            <w:pPr>
              <w:pStyle w:val="Normal"/>
              <w:spacing w:lineRule="auto" w:line="360"/>
              <w:jc w:val="both"/>
              <w:rPr>
                <w:rFonts w:ascii="Arial" w:hAnsi="Arial" w:cs="Arial"/>
                <w:b/>
                <w:b/>
                <w:bCs/>
                <w:sz w:val="20"/>
                <w:szCs w:val="20"/>
              </w:rPr>
            </w:pPr>
            <w:r>
              <w:rPr>
                <w:rFonts w:cs="Arial" w:ascii="Arial" w:hAnsi="Arial"/>
                <w:b/>
                <w:bCs/>
                <w:sz w:val="20"/>
                <w:szCs w:val="20"/>
              </w:rPr>
              <w:t>Initial model used (PDB code)</w:t>
            </w:r>
          </w:p>
        </w:tc>
        <w:tc>
          <w:tcPr>
            <w:tcW w:w="1416" w:type="dxa"/>
            <w:tcBorders>
              <w:top w:val="single" w:sz="4" w:space="0" w:color="000000"/>
            </w:tcBorders>
            <w:shd w:color="auto" w:fill="F2F2F2" w:themeFill="background1" w:themeFillShade="f2" w:val="clear"/>
          </w:tcPr>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sz w:val="20"/>
                <w:szCs w:val="20"/>
              </w:rPr>
              <w:t>/</w:t>
            </w:r>
          </w:p>
        </w:tc>
      </w:tr>
      <w:tr>
        <w:trPr>
          <w:cnfStyle w:val="000000100000" w:firstRow="0" w:lastRow="0" w:firstColumn="0" w:lastColumn="0" w:oddVBand="0" w:evenVBand="0" w:oddHBand="1" w:evenHBand="0" w:firstRowFirstColumn="0" w:firstRowLastColumn="0" w:lastRowFirstColumn="0" w:lastRowLastColumn="0"/>
        </w:trPr>
        <w:tc>
          <w:tcPr>
            <w:tcW w:w="4253" w:type="dxa"/>
            <w:cnfStyle w:val="000010000000" w:firstRow="0" w:lastRow="0" w:firstColumn="0" w:lastColumn="0" w:oddVBand="1" w:evenVBand="0" w:oddHBand="0" w:evenHBand="0" w:firstRowFirstColumn="0" w:firstRowLastColumn="0" w:lastRowFirstColumn="0" w:lastRowLastColumn="0"/>
            <w:tcBorders/>
            <w:shd w:color="auto" w:fill="FFFFFF" w:themeFill="background1" w:val="clear"/>
          </w:tcPr>
          <w:p>
            <w:pPr>
              <w:pStyle w:val="Normal"/>
              <w:spacing w:lineRule="auto" w:line="360"/>
              <w:jc w:val="both"/>
              <w:rPr>
                <w:rFonts w:ascii="Arial" w:hAnsi="Arial" w:cs="Arial"/>
                <w:b/>
                <w:b/>
                <w:bCs/>
                <w:sz w:val="20"/>
                <w:szCs w:val="20"/>
              </w:rPr>
            </w:pPr>
            <w:r>
              <w:rPr>
                <w:rFonts w:cs="Arial" w:ascii="Arial" w:hAnsi="Arial"/>
                <w:b/>
                <w:bCs/>
                <w:sz w:val="20"/>
                <w:szCs w:val="20"/>
              </w:rPr>
              <w:t>Model resolution (Å)</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FSC threshold</w:t>
            </w:r>
          </w:p>
        </w:tc>
        <w:tc>
          <w:tcPr>
            <w:tcW w:w="1416" w:type="dxa"/>
            <w:tcBorders/>
            <w:shd w:color="auto" w:fill="FFFFFF" w:themeFill="background1" w:val="clear"/>
          </w:tcPr>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cs="Arial" w:ascii="Arial" w:hAnsi="Arial"/>
                <w:sz w:val="20"/>
                <w:szCs w:val="20"/>
              </w:rPr>
              <w:t>3.2</w:t>
            </w:r>
          </w:p>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cs="Arial" w:ascii="Arial" w:hAnsi="Arial"/>
                <w:sz w:val="20"/>
                <w:szCs w:val="20"/>
              </w:rPr>
              <w:t>0.143</w:t>
            </w:r>
          </w:p>
        </w:tc>
      </w:tr>
      <w:tr>
        <w:trPr/>
        <w:tc>
          <w:tcPr>
            <w:tcW w:w="4253" w:type="dxa"/>
            <w:cnfStyle w:val="000010000000" w:firstRow="0" w:lastRow="0" w:firstColumn="0" w:lastColumn="0" w:oddVBand="1"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b/>
                <w:b/>
                <w:bCs/>
                <w:sz w:val="20"/>
                <w:szCs w:val="20"/>
              </w:rPr>
            </w:pPr>
            <w:r>
              <w:rPr>
                <w:rFonts w:cs="Arial" w:ascii="Arial" w:hAnsi="Arial"/>
                <w:b/>
                <w:bCs/>
                <w:sz w:val="20"/>
                <w:szCs w:val="20"/>
              </w:rPr>
              <w:t>Model resolution range (Å)</w:t>
            </w:r>
          </w:p>
        </w:tc>
        <w:tc>
          <w:tcPr>
            <w:tcW w:w="1416" w:type="dxa"/>
            <w:tcBorders/>
            <w:shd w:color="auto" w:fill="F2F2F2" w:themeFill="background1" w:themeFillShade="f2" w:val="clear"/>
          </w:tcPr>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sz w:val="20"/>
                <w:szCs w:val="20"/>
              </w:rPr>
              <w:t>2.5-5.0</w:t>
            </w:r>
          </w:p>
        </w:tc>
      </w:tr>
      <w:tr>
        <w:trPr>
          <w:cnfStyle w:val="000000100000" w:firstRow="0" w:lastRow="0" w:firstColumn="0" w:lastColumn="0" w:oddVBand="0" w:evenVBand="0" w:oddHBand="1" w:evenHBand="0" w:firstRowFirstColumn="0" w:firstRowLastColumn="0" w:lastRowFirstColumn="0" w:lastRowLastColumn="0"/>
        </w:trPr>
        <w:tc>
          <w:tcPr>
            <w:tcW w:w="4253" w:type="dxa"/>
            <w:cnfStyle w:val="000010000000" w:firstRow="0" w:lastRow="0" w:firstColumn="0" w:lastColumn="0" w:oddVBand="1" w:evenVBand="0" w:oddHBand="0" w:evenHBand="0" w:firstRowFirstColumn="0" w:firstRowLastColumn="0" w:lastRowFirstColumn="0" w:lastRowLastColumn="0"/>
            <w:tcBorders/>
            <w:shd w:color="auto" w:fill="FFFFFF" w:themeFill="background1" w:val="clear"/>
          </w:tcPr>
          <w:p>
            <w:pPr>
              <w:pStyle w:val="Normal"/>
              <w:spacing w:lineRule="auto" w:line="360"/>
              <w:jc w:val="both"/>
              <w:rPr>
                <w:rFonts w:ascii="Arial" w:hAnsi="Arial" w:cs="Arial"/>
                <w:b/>
                <w:b/>
                <w:bCs/>
                <w:sz w:val="20"/>
                <w:szCs w:val="20"/>
              </w:rPr>
            </w:pPr>
            <w:r>
              <w:rPr>
                <w:rFonts w:cs="Arial" w:ascii="Arial" w:hAnsi="Arial"/>
                <w:b/>
                <w:bCs/>
                <w:iCs/>
                <w:sz w:val="20"/>
                <w:szCs w:val="20"/>
              </w:rPr>
              <w:t xml:space="preserve">Map sharpening </w:t>
            </w:r>
            <w:r>
              <w:rPr>
                <w:rFonts w:cs="Arial" w:ascii="Arial" w:hAnsi="Arial"/>
                <w:b/>
                <w:bCs/>
                <w:i/>
                <w:iCs/>
                <w:sz w:val="20"/>
                <w:szCs w:val="20"/>
              </w:rPr>
              <w:t>B</w:t>
            </w:r>
            <w:r>
              <w:rPr>
                <w:rFonts w:cs="Arial" w:ascii="Arial" w:hAnsi="Arial"/>
                <w:b/>
                <w:bCs/>
                <w:iCs/>
                <w:sz w:val="20"/>
                <w:szCs w:val="20"/>
              </w:rPr>
              <w:t xml:space="preserve"> factor (Å</w:t>
            </w:r>
            <w:r>
              <w:rPr>
                <w:rFonts w:cs="Arial" w:ascii="Arial" w:hAnsi="Arial"/>
                <w:b/>
                <w:bCs/>
                <w:iCs/>
                <w:sz w:val="20"/>
                <w:szCs w:val="20"/>
                <w:vertAlign w:val="superscript"/>
              </w:rPr>
              <w:t>2</w:t>
            </w:r>
            <w:r>
              <w:rPr>
                <w:rFonts w:cs="Arial" w:ascii="Arial" w:hAnsi="Arial"/>
                <w:b/>
                <w:bCs/>
                <w:sz w:val="20"/>
                <w:szCs w:val="20"/>
              </w:rPr>
              <w:t>)</w:t>
            </w:r>
          </w:p>
        </w:tc>
        <w:tc>
          <w:tcPr>
            <w:tcW w:w="1416" w:type="dxa"/>
            <w:tcBorders/>
            <w:shd w:color="auto" w:fill="FFFFFF" w:themeFill="background1" w:val="clear"/>
          </w:tcPr>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cs="Arial" w:ascii="Arial" w:hAnsi="Arial"/>
                <w:sz w:val="20"/>
                <w:szCs w:val="20"/>
              </w:rPr>
              <w:t>-94</w:t>
            </w:r>
          </w:p>
        </w:tc>
      </w:tr>
      <w:tr>
        <w:trPr/>
        <w:tc>
          <w:tcPr>
            <w:tcW w:w="4253" w:type="dxa"/>
            <w:cnfStyle w:val="000010000000" w:firstRow="0" w:lastRow="0" w:firstColumn="0" w:lastColumn="0" w:oddVBand="1"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b/>
                <w:b/>
                <w:bCs/>
                <w:sz w:val="20"/>
                <w:szCs w:val="20"/>
              </w:rPr>
            </w:pPr>
            <w:r>
              <w:rPr>
                <w:rFonts w:cs="Arial" w:ascii="Arial" w:hAnsi="Arial"/>
                <w:b/>
                <w:bCs/>
                <w:iCs/>
                <w:sz w:val="20"/>
                <w:szCs w:val="20"/>
              </w:rPr>
              <w:t>Model composition</w:t>
            </w:r>
          </w:p>
          <w:p>
            <w:pPr>
              <w:pStyle w:val="Normal"/>
              <w:spacing w:lineRule="auto" w:line="360"/>
              <w:jc w:val="both"/>
              <w:rPr>
                <w:rFonts w:ascii="Arial" w:hAnsi="Arial" w:cs="Arial"/>
                <w:b/>
                <w:b/>
                <w:bCs/>
                <w:sz w:val="20"/>
                <w:szCs w:val="20"/>
              </w:rPr>
            </w:pPr>
            <w:r>
              <w:rPr>
                <w:rFonts w:cs="Arial" w:ascii="Arial" w:hAnsi="Arial"/>
                <w:b/>
                <w:bCs/>
                <w:iCs/>
                <w:sz w:val="20"/>
                <w:szCs w:val="20"/>
              </w:rPr>
              <w:t xml:space="preserve">    </w:t>
            </w:r>
            <w:r>
              <w:rPr>
                <w:rFonts w:cs="Arial" w:ascii="Arial" w:hAnsi="Arial"/>
                <w:b/>
                <w:bCs/>
                <w:iCs/>
                <w:sz w:val="20"/>
                <w:szCs w:val="20"/>
              </w:rPr>
              <w:t>Non-hydrogen atoms</w:t>
            </w:r>
          </w:p>
          <w:p>
            <w:pPr>
              <w:pStyle w:val="Normal"/>
              <w:spacing w:lineRule="auto" w:line="360"/>
              <w:jc w:val="both"/>
              <w:rPr>
                <w:rFonts w:ascii="Arial" w:hAnsi="Arial" w:cs="Arial"/>
                <w:b/>
                <w:b/>
                <w:bCs/>
                <w:sz w:val="20"/>
                <w:szCs w:val="20"/>
              </w:rPr>
            </w:pPr>
            <w:r>
              <w:rPr>
                <w:rFonts w:cs="Arial" w:ascii="Arial" w:hAnsi="Arial"/>
                <w:b/>
                <w:bCs/>
                <w:iCs/>
                <w:sz w:val="20"/>
                <w:szCs w:val="20"/>
              </w:rPr>
              <w:t xml:space="preserve">    </w:t>
            </w:r>
            <w:r>
              <w:rPr>
                <w:rFonts w:cs="Arial" w:ascii="Arial" w:hAnsi="Arial"/>
                <w:b/>
                <w:bCs/>
                <w:iCs/>
                <w:sz w:val="20"/>
                <w:szCs w:val="20"/>
              </w:rPr>
              <w:t>Protein residues</w:t>
            </w:r>
          </w:p>
          <w:p>
            <w:pPr>
              <w:pStyle w:val="Normal"/>
              <w:spacing w:lineRule="auto" w:line="360"/>
              <w:jc w:val="both"/>
              <w:rPr>
                <w:rFonts w:ascii="Arial" w:hAnsi="Arial" w:cs="Arial"/>
                <w:b/>
                <w:b/>
                <w:bCs/>
                <w:sz w:val="20"/>
                <w:szCs w:val="20"/>
              </w:rPr>
            </w:pPr>
            <w:r>
              <w:rPr>
                <w:rFonts w:cs="Arial" w:ascii="Arial" w:hAnsi="Arial"/>
                <w:b/>
                <w:bCs/>
                <w:iCs/>
                <w:sz w:val="20"/>
                <w:szCs w:val="20"/>
              </w:rPr>
              <w:t xml:space="preserve">    </w:t>
            </w:r>
            <w:r>
              <w:rPr>
                <w:rFonts w:cs="Arial" w:ascii="Arial" w:hAnsi="Arial"/>
                <w:b/>
                <w:bCs/>
                <w:iCs/>
                <w:sz w:val="20"/>
                <w:szCs w:val="20"/>
              </w:rPr>
              <w:t>Ligands</w:t>
            </w:r>
          </w:p>
        </w:tc>
        <w:tc>
          <w:tcPr>
            <w:tcW w:w="1416" w:type="dxa"/>
            <w:tcBorders/>
            <w:shd w:color="auto" w:fill="F2F2F2" w:themeFill="background1" w:themeFillShade="f2" w:val="clear"/>
          </w:tcPr>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iCs/>
                <w:sz w:val="20"/>
                <w:szCs w:val="20"/>
              </w:rPr>
            </w:pPr>
            <w:r>
              <w:rPr>
                <w:rFonts w:cs="Arial" w:ascii="Arial" w:hAnsi="Arial"/>
                <w:iCs/>
                <w:sz w:val="20"/>
                <w:szCs w:val="20"/>
              </w:rPr>
            </w:r>
          </w:p>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iCs/>
                <w:sz w:val="20"/>
                <w:szCs w:val="20"/>
              </w:rPr>
              <w:t>12772</w:t>
            </w:r>
          </w:p>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iCs/>
                <w:sz w:val="20"/>
                <w:szCs w:val="20"/>
              </w:rPr>
              <w:t>1618</w:t>
            </w:r>
          </w:p>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iCs/>
                <w:sz w:val="20"/>
                <w:szCs w:val="20"/>
              </w:rPr>
              <w:t>0</w:t>
            </w:r>
          </w:p>
        </w:tc>
      </w:tr>
      <w:tr>
        <w:trPr>
          <w:cnfStyle w:val="000000100000" w:firstRow="0" w:lastRow="0" w:firstColumn="0" w:lastColumn="0" w:oddVBand="0" w:evenVBand="0" w:oddHBand="1" w:evenHBand="0" w:firstRowFirstColumn="0" w:firstRowLastColumn="0" w:lastRowFirstColumn="0" w:lastRowLastColumn="0"/>
        </w:trPr>
        <w:tc>
          <w:tcPr>
            <w:tcW w:w="4253" w:type="dxa"/>
            <w:cnfStyle w:val="000010000000" w:firstRow="0" w:lastRow="0" w:firstColumn="0" w:lastColumn="0" w:oddVBand="1" w:evenVBand="0" w:oddHBand="0" w:evenHBand="0" w:firstRowFirstColumn="0" w:firstRowLastColumn="0" w:lastRowFirstColumn="0" w:lastRowLastColumn="0"/>
            <w:tcBorders/>
            <w:shd w:color="auto" w:fill="FFFFFF" w:themeFill="background1" w:val="clear"/>
          </w:tcPr>
          <w:p>
            <w:pPr>
              <w:pStyle w:val="Normal"/>
              <w:spacing w:lineRule="auto" w:line="360"/>
              <w:jc w:val="both"/>
              <w:rPr>
                <w:rFonts w:ascii="Arial" w:hAnsi="Arial" w:cs="Arial"/>
                <w:b/>
                <w:b/>
                <w:bCs/>
                <w:sz w:val="20"/>
                <w:szCs w:val="20"/>
              </w:rPr>
            </w:pPr>
            <w:r>
              <w:rPr>
                <w:rFonts w:cs="Arial" w:ascii="Arial" w:hAnsi="Arial"/>
                <w:b/>
                <w:bCs/>
                <w:i/>
                <w:sz w:val="20"/>
                <w:szCs w:val="20"/>
              </w:rPr>
              <w:t>B</w:t>
            </w:r>
            <w:r>
              <w:rPr>
                <w:rFonts w:cs="Arial" w:ascii="Arial" w:hAnsi="Arial"/>
                <w:b/>
                <w:bCs/>
                <w:sz w:val="20"/>
                <w:szCs w:val="20"/>
              </w:rPr>
              <w:t xml:space="preserve"> factors (Å</w:t>
            </w:r>
            <w:r>
              <w:rPr>
                <w:rFonts w:cs="Arial" w:ascii="Arial" w:hAnsi="Arial"/>
                <w:b/>
                <w:bCs/>
                <w:sz w:val="20"/>
                <w:szCs w:val="20"/>
                <w:vertAlign w:val="superscript"/>
              </w:rPr>
              <w:t>2</w:t>
            </w:r>
            <w:r>
              <w:rPr>
                <w:rFonts w:cs="Arial" w:ascii="Arial" w:hAnsi="Arial"/>
                <w:b/>
                <w:bCs/>
                <w:sz w:val="20"/>
                <w:szCs w:val="20"/>
              </w:rPr>
              <w:t>)</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Protein</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Ligand</w:t>
            </w:r>
          </w:p>
        </w:tc>
        <w:tc>
          <w:tcPr>
            <w:tcW w:w="1416" w:type="dxa"/>
            <w:tcBorders/>
            <w:shd w:color="auto" w:fill="FFFFFF" w:themeFill="background1" w:val="clear"/>
          </w:tcPr>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cs="Arial" w:ascii="Arial" w:hAnsi="Arial"/>
                <w:sz w:val="20"/>
                <w:szCs w:val="20"/>
              </w:rPr>
            </w:r>
          </w:p>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cs="Arial" w:ascii="Arial" w:hAnsi="Arial"/>
                <w:sz w:val="20"/>
                <w:szCs w:val="20"/>
              </w:rPr>
              <w:t>51.22</w:t>
            </w:r>
          </w:p>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cs="Arial" w:ascii="Arial" w:hAnsi="Arial"/>
                <w:sz w:val="20"/>
                <w:szCs w:val="20"/>
              </w:rPr>
              <w:t>0</w:t>
            </w:r>
          </w:p>
        </w:tc>
      </w:tr>
      <w:tr>
        <w:trPr/>
        <w:tc>
          <w:tcPr>
            <w:tcW w:w="4253" w:type="dxa"/>
            <w:cnfStyle w:val="000010000000" w:firstRow="0" w:lastRow="0" w:firstColumn="0" w:lastColumn="0" w:oddVBand="1"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b/>
                <w:b/>
                <w:bCs/>
                <w:sz w:val="20"/>
                <w:szCs w:val="20"/>
              </w:rPr>
            </w:pPr>
            <w:r>
              <w:rPr>
                <w:rFonts w:cs="Arial" w:ascii="Arial" w:hAnsi="Arial"/>
                <w:b/>
                <w:bCs/>
                <w:sz w:val="20"/>
                <w:szCs w:val="20"/>
              </w:rPr>
              <w:t>R.m.s. deviations</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Bond lengths (Å)</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Bond angles (°)</w:t>
            </w:r>
          </w:p>
        </w:tc>
        <w:tc>
          <w:tcPr>
            <w:tcW w:w="1416" w:type="dxa"/>
            <w:tcBorders/>
            <w:shd w:color="auto" w:fill="F2F2F2" w:themeFill="background1" w:themeFillShade="f2" w:val="clear"/>
          </w:tcPr>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sz w:val="20"/>
                <w:szCs w:val="20"/>
              </w:rPr>
            </w:r>
          </w:p>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sz w:val="20"/>
                <w:szCs w:val="20"/>
              </w:rPr>
              <w:t>0.003</w:t>
            </w:r>
          </w:p>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sz w:val="20"/>
                <w:szCs w:val="20"/>
              </w:rPr>
              <w:t>0.651</w:t>
            </w:r>
          </w:p>
        </w:tc>
      </w:tr>
      <w:tr>
        <w:trPr>
          <w:cnfStyle w:val="000000100000" w:firstRow="0" w:lastRow="0" w:firstColumn="0" w:lastColumn="0" w:oddVBand="0" w:evenVBand="0" w:oddHBand="1" w:evenHBand="0" w:firstRowFirstColumn="0" w:firstRowLastColumn="0" w:lastRowFirstColumn="0" w:lastRowLastColumn="0"/>
        </w:trPr>
        <w:tc>
          <w:tcPr>
            <w:tcW w:w="4253" w:type="dxa"/>
            <w:cnfStyle w:val="000010000000" w:firstRow="0" w:lastRow="0" w:firstColumn="0" w:lastColumn="0" w:oddVBand="1" w:evenVBand="0" w:oddHBand="0" w:evenHBand="0" w:firstRowFirstColumn="0" w:firstRowLastColumn="0" w:lastRowFirstColumn="0" w:lastRowLastColumn="0"/>
            <w:tcBorders/>
            <w:shd w:color="auto" w:fill="FFFFFF" w:themeFill="background1" w:val="clear"/>
          </w:tcPr>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Validation</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MolProbity score</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Clashscore</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 xml:space="preserve">Poor rotamers (%)   </w:t>
            </w:r>
          </w:p>
        </w:tc>
        <w:tc>
          <w:tcPr>
            <w:tcW w:w="1416" w:type="dxa"/>
            <w:tcBorders/>
            <w:shd w:color="auto" w:fill="FFFFFF" w:themeFill="background1" w:val="clear"/>
          </w:tcPr>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cs="Arial" w:ascii="Arial" w:hAnsi="Arial"/>
                <w:sz w:val="20"/>
                <w:szCs w:val="20"/>
              </w:rPr>
            </w:r>
          </w:p>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cs="Arial" w:ascii="Arial" w:hAnsi="Arial"/>
                <w:sz w:val="20"/>
                <w:szCs w:val="20"/>
              </w:rPr>
              <w:t>2.18</w:t>
            </w:r>
          </w:p>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cs="Arial" w:ascii="Arial" w:hAnsi="Arial"/>
                <w:sz w:val="20"/>
                <w:szCs w:val="20"/>
              </w:rPr>
              <w:t>12</w:t>
            </w:r>
          </w:p>
          <w:p>
            <w:pPr>
              <w:pStyle w:val="Normal"/>
              <w:snapToGrid w:val="false"/>
              <w:spacing w:lineRule="auto" w:line="360"/>
              <w:jc w:val="both"/>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cs="Arial" w:ascii="Arial" w:hAnsi="Arial"/>
                <w:sz w:val="20"/>
                <w:szCs w:val="20"/>
              </w:rPr>
              <w:t>0.14</w:t>
            </w:r>
          </w:p>
        </w:tc>
      </w:tr>
      <w:tr>
        <w:trPr/>
        <w:tc>
          <w:tcPr>
            <w:tcW w:w="4253" w:type="dxa"/>
            <w:cnfStyle w:val="000010000000" w:firstRow="0" w:lastRow="0" w:firstColumn="0" w:lastColumn="0" w:oddVBand="1" w:evenVBand="0" w:oddHBand="0" w:evenHBand="0" w:firstRowFirstColumn="0" w:firstRowLastColumn="0" w:lastRowFirstColumn="0" w:lastRowLastColumn="0"/>
            <w:tcBorders/>
            <w:shd w:color="auto" w:fill="F2F2F2" w:themeFill="background1" w:themeFillShade="f2" w:val="clear"/>
          </w:tcPr>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Ramachandran plot</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Favored (%)</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Allowed (%)</w:t>
            </w:r>
          </w:p>
          <w:p>
            <w:pPr>
              <w:pStyle w:val="Normal"/>
              <w:spacing w:lineRule="auto" w:line="360"/>
              <w:jc w:val="both"/>
              <w:rPr>
                <w:rFonts w:ascii="Arial" w:hAnsi="Arial" w:cs="Arial"/>
                <w:b/>
                <w:b/>
                <w:bCs/>
                <w:sz w:val="20"/>
                <w:szCs w:val="20"/>
              </w:rPr>
            </w:pPr>
            <w:r>
              <w:rPr>
                <w:rFonts w:cs="Arial" w:ascii="Arial" w:hAnsi="Arial"/>
                <w:b/>
                <w:bCs/>
                <w:sz w:val="20"/>
                <w:szCs w:val="20"/>
              </w:rPr>
              <w:t xml:space="preserve">    </w:t>
            </w:r>
            <w:r>
              <w:rPr>
                <w:rFonts w:cs="Arial" w:ascii="Arial" w:hAnsi="Arial"/>
                <w:b/>
                <w:bCs/>
                <w:sz w:val="20"/>
                <w:szCs w:val="20"/>
              </w:rPr>
              <w:t>Disallowed (%)</w:t>
            </w:r>
          </w:p>
        </w:tc>
        <w:tc>
          <w:tcPr>
            <w:tcW w:w="1416" w:type="dxa"/>
            <w:tcBorders/>
            <w:shd w:color="auto" w:fill="F2F2F2" w:themeFill="background1" w:themeFillShade="f2" w:val="clear"/>
          </w:tcPr>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sz w:val="20"/>
                <w:szCs w:val="20"/>
              </w:rPr>
            </w:r>
          </w:p>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sz w:val="20"/>
                <w:szCs w:val="20"/>
              </w:rPr>
              <w:t>89.34</w:t>
            </w:r>
          </w:p>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sz w:val="20"/>
                <w:szCs w:val="20"/>
              </w:rPr>
              <w:t>10.53</w:t>
            </w:r>
          </w:p>
          <w:p>
            <w:pPr>
              <w:pStyle w:val="Normal"/>
              <w:snapToGrid w:val="false"/>
              <w:spacing w:lineRule="auto" w:line="360"/>
              <w:jc w:val="both"/>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cs="Arial" w:ascii="Arial" w:hAnsi="Arial"/>
                <w:sz w:val="20"/>
                <w:szCs w:val="20"/>
              </w:rPr>
              <w:t>0.13</w:t>
            </w:r>
          </w:p>
        </w:tc>
      </w:tr>
    </w:tbl>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rPr>
      </w:pPr>
      <w:r>
        <w:rPr>
          <w:rFonts w:cs="Arial" w:ascii="Arial" w:hAnsi="Arial"/>
        </w:rPr>
      </w:r>
      <w:r>
        <w:br w:type="page"/>
      </w:r>
    </w:p>
    <w:p>
      <w:pPr>
        <w:pStyle w:val="Normal"/>
        <w:spacing w:lineRule="auto" w:line="360"/>
        <w:jc w:val="both"/>
        <w:rPr>
          <w:rFonts w:ascii="Arial" w:hAnsi="Arial" w:cs="Arial"/>
          <w:b/>
          <w:b/>
          <w:bCs/>
        </w:rPr>
      </w:pPr>
      <w:r>
        <w:rPr>
          <w:rFonts w:cs="Arial" w:ascii="Arial" w:hAnsi="Arial"/>
          <w:b/>
        </w:rPr>
        <w:t xml:space="preserve">Supplementary Table III: </w:t>
      </w:r>
      <w:r>
        <w:rPr>
          <w:rFonts w:cs="Arial" w:ascii="Arial" w:hAnsi="Arial"/>
          <w:b/>
          <w:bCs/>
        </w:rPr>
        <w:t>Identified lipid compounds from of P116, P116-empty, P116-refilled and serum in positive and negative mode as used for heatmap generation.</w:t>
      </w:r>
    </w:p>
    <w:p>
      <w:pPr>
        <w:pStyle w:val="Normal"/>
        <w:spacing w:lineRule="auto" w:line="360"/>
        <w:jc w:val="both"/>
        <w:rPr>
          <w:rFonts w:ascii="Arial" w:hAnsi="Arial" w:cs="Arial"/>
        </w:rPr>
      </w:pPr>
      <w:r>
        <w:rPr>
          <w:rFonts w:cs="Arial" w:ascii="Arial" w:hAnsi="Arial"/>
        </w:rPr>
      </w:r>
      <w:r>
        <w:br w:type="page"/>
      </w:r>
    </w:p>
    <w:p>
      <w:pPr>
        <w:pStyle w:val="Normal"/>
        <w:spacing w:lineRule="auto" w:line="360"/>
        <w:jc w:val="both"/>
        <w:rPr>
          <w:rFonts w:ascii="Arial" w:hAnsi="Arial" w:cs="Arial"/>
          <w:b/>
          <w:b/>
        </w:rPr>
      </w:pPr>
      <w:bookmarkStart w:id="0" w:name="_Hlk110426966"/>
      <w:r>
        <w:rPr>
          <w:rFonts w:cs="Arial" w:ascii="Arial" w:hAnsi="Arial"/>
          <w:b/>
        </w:rPr>
        <w:t xml:space="preserve">Supplementary Movie 1: Microcinematography adding P1 polyclonal antibodies. </w:t>
      </w:r>
      <w:r>
        <w:rPr>
          <w:rFonts w:cs="Arial" w:ascii="Arial" w:hAnsi="Arial"/>
        </w:rPr>
        <w:t>Frames were taken each 0.5 seconds of observation and are showed at 20 frames per second in the movie. The blank frame/s in the first seconds of the movie denote when the polyclonal antibodies were added to cells.</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b/>
          <w:b/>
        </w:rPr>
      </w:pPr>
      <w:r>
        <w:rPr>
          <w:rFonts w:cs="Arial" w:ascii="Arial" w:hAnsi="Arial"/>
          <w:b/>
        </w:rPr>
        <w:t xml:space="preserve">Supplementary Movie 2: Microcinematography adding P1116 polyclonal antibodies. </w:t>
      </w:r>
      <w:r>
        <w:rPr>
          <w:rFonts w:cs="Arial" w:ascii="Arial" w:hAnsi="Arial"/>
        </w:rPr>
        <w:t>Frames were taken each 0.5 seconds of observation and are showed at 20 frames per second in the movie. The blank frame/s in the first seconds of the movie denote when the polyclonal antibodies were added to cells.</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rPr>
      </w:pPr>
      <w:r>
        <w:rPr>
          <w:rFonts w:cs="Arial" w:ascii="Arial" w:hAnsi="Arial"/>
          <w:b/>
        </w:rPr>
        <w:t xml:space="preserve">Supplementary Movie 3: Control microcinematography. </w:t>
      </w:r>
      <w:r>
        <w:rPr>
          <w:rFonts w:cs="Arial" w:ascii="Arial" w:hAnsi="Arial"/>
        </w:rPr>
        <w:t>Frames were taken each 0.5 seconds of observation and are showed at 20 frames per second in the movie.</w:t>
      </w:r>
      <w:bookmarkEnd w:id="0"/>
    </w:p>
    <w:p>
      <w:pPr>
        <w:pStyle w:val="Normal"/>
        <w:spacing w:lineRule="auto" w:line="360"/>
        <w:jc w:val="both"/>
        <w:rPr>
          <w:rFonts w:ascii="Arial" w:hAnsi="Arial" w:cs="Arial"/>
          <w:b/>
          <w:b/>
        </w:rPr>
      </w:pPr>
      <w:r>
        <w:rPr>
          <w:rFonts w:cs="Arial" w:ascii="Arial" w:hAnsi="Arial"/>
          <w:b/>
        </w:rPr>
      </w:r>
    </w:p>
    <w:p>
      <w:pPr>
        <w:pStyle w:val="Normal"/>
        <w:spacing w:lineRule="auto" w:line="360"/>
        <w:jc w:val="both"/>
        <w:rPr>
          <w:rFonts w:ascii="Arial" w:hAnsi="Arial" w:cs="Arial"/>
          <w:b/>
          <w:b/>
          <w:bCs/>
        </w:rPr>
      </w:pPr>
      <w:r>
        <w:rPr>
          <w:rFonts w:cs="Arial" w:ascii="Arial" w:hAnsi="Arial"/>
          <w:b/>
          <w:bCs/>
        </w:rPr>
        <w:t>Supplementary Movie 4: Density map of the P116 homodimer</w:t>
      </w:r>
    </w:p>
    <w:p>
      <w:pPr>
        <w:pStyle w:val="Normal"/>
        <w:spacing w:lineRule="auto" w:line="360"/>
        <w:jc w:val="both"/>
        <w:rPr>
          <w:rFonts w:ascii="Arial" w:hAnsi="Arial" w:cs="Arial"/>
        </w:rPr>
      </w:pPr>
      <w:r>
        <w:rPr>
          <w:rFonts w:cs="Arial" w:ascii="Arial" w:hAnsi="Arial"/>
        </w:rPr>
        <w:t>Rotation along the long axis of the cryoEM density map. The complete extracellular region of the P116 dimer at 3.3 Å resolution, 90 degrees</w:t>
      </w:r>
      <w:r>
        <w:rPr>
          <w:rFonts w:cs="Arial" w:ascii="Arial" w:hAnsi="Arial"/>
          <w:vertAlign w:val="superscript"/>
        </w:rPr>
        <w:t xml:space="preserve"> </w:t>
      </w:r>
      <w:r>
        <w:rPr>
          <w:rFonts w:cs="Arial" w:ascii="Arial" w:hAnsi="Arial"/>
        </w:rPr>
        <w:t xml:space="preserve">apart. The individual domains can be appreciated: The dimerization interface (shown in pink), the core domains with the four contiguous antiparallel helices (shown in blue) and a β-sheet with five antiparallel strands (shown in orange) as well as the N-terminal domain is shown in green (Color coding is identical to the coloring in the Figures 1 &amp;2).  </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b/>
          <w:b/>
          <w:bCs/>
        </w:rPr>
      </w:pPr>
      <w:r>
        <w:rPr>
          <w:rFonts w:cs="Arial" w:ascii="Arial" w:hAnsi="Arial"/>
          <w:b/>
          <w:bCs/>
        </w:rPr>
        <w:t>Supplementary Movie 5: Ribbon model of P116</w:t>
      </w:r>
    </w:p>
    <w:p>
      <w:pPr>
        <w:pStyle w:val="Normal"/>
        <w:spacing w:lineRule="auto" w:line="360"/>
        <w:jc w:val="both"/>
        <w:rPr>
          <w:rFonts w:ascii="Arial" w:hAnsi="Arial" w:cs="Arial"/>
        </w:rPr>
      </w:pPr>
      <w:r>
        <w:rPr>
          <w:rFonts w:cs="Arial" w:ascii="Arial" w:hAnsi="Arial"/>
        </w:rPr>
        <w:t>Ribbon representation of the P116 structure with the same coloring as in Movie 1</w:t>
      </w:r>
      <w:r>
        <w:rPr>
          <w:rFonts w:cs="Arial" w:ascii="Arial" w:hAnsi="Arial"/>
        </w:rPr>
        <w:t>.</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b/>
          <w:b/>
          <w:bCs/>
        </w:rPr>
      </w:pPr>
      <w:r>
        <w:rPr>
          <w:rFonts w:cs="Arial" w:ascii="Arial" w:hAnsi="Arial"/>
          <w:b/>
          <w:bCs/>
        </w:rPr>
        <w:t>Supplementary Movie 6: Flexibility of P116</w:t>
      </w:r>
    </w:p>
    <w:p>
      <w:pPr>
        <w:pStyle w:val="Normal"/>
        <w:spacing w:lineRule="auto" w:line="360"/>
        <w:jc w:val="both"/>
        <w:rPr>
          <w:rFonts w:ascii="Arial" w:hAnsi="Arial" w:cs="Arial"/>
        </w:rPr>
      </w:pPr>
      <w:r>
        <w:rPr>
          <w:rFonts w:cs="Arial" w:ascii="Arial" w:hAnsi="Arial"/>
        </w:rPr>
        <w:t xml:space="preserve">Animation of the wringing motion between the monomers as seen after classification of the cryoEM data. In some classes both cavities face the same direction, while in other they face 80 degrees apart. The speed of the movie may be adjusted in order to appreciate the conformational change. The N- terminal domains were computationally removed for the better visualization. </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b/>
          <w:b/>
          <w:bCs/>
        </w:rPr>
      </w:pPr>
      <w:r>
        <w:rPr>
          <w:rFonts w:cs="Arial" w:ascii="Arial" w:hAnsi="Arial"/>
          <w:b/>
          <w:bCs/>
        </w:rPr>
        <w:t>Supplementary Movie 7: Hydrophobicity map of the P116 homodimer</w:t>
      </w:r>
    </w:p>
    <w:p>
      <w:pPr>
        <w:pStyle w:val="Normal"/>
        <w:spacing w:lineRule="auto" w:line="360"/>
        <w:jc w:val="both"/>
        <w:rPr>
          <w:rFonts w:ascii="Arial" w:hAnsi="Arial" w:cs="Arial"/>
        </w:rPr>
      </w:pPr>
      <w:r>
        <w:rPr>
          <w:rFonts w:cs="Arial" w:ascii="Arial" w:hAnsi="Arial"/>
        </w:rPr>
        <w:t>Rotation along the long axis of the hydrophobic map of P116. The huge hydrophobic cavity that is fully accessible to solvent can be appreciated.</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b/>
          <w:b/>
          <w:bCs/>
        </w:rPr>
      </w:pPr>
      <w:r>
        <w:rPr>
          <w:rFonts w:cs="Arial" w:ascii="Arial" w:hAnsi="Arial"/>
          <w:b/>
          <w:bCs/>
        </w:rPr>
        <w:t>Supplementary Movie 8: Crosssection of one P116 monomer</w:t>
      </w:r>
    </w:p>
    <w:p>
      <w:pPr>
        <w:pStyle w:val="Normal"/>
        <w:spacing w:lineRule="auto" w:line="360"/>
        <w:jc w:val="both"/>
        <w:rPr>
          <w:rFonts w:ascii="Arial" w:hAnsi="Arial" w:cs="Arial"/>
        </w:rPr>
      </w:pPr>
      <w:r>
        <w:rPr>
          <w:rFonts w:cs="Arial" w:ascii="Arial" w:hAnsi="Arial"/>
        </w:rPr>
        <w:t>Cross-section of the hydrophobic map of the monomer reveals the positions of the ligands (in red).</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rPr>
      </w:pPr>
      <w:r>
        <w:rPr>
          <w:rFonts w:cs="Arial" w:ascii="Arial" w:hAnsi="Arial"/>
          <w:b/>
          <w:bCs/>
        </w:rPr>
        <w:t>Supplementary Movie 9: Ribbon model of a P116 monomer (colors as in Figure 2 &amp; 3) with the unaccounted elongated densities.</w:t>
      </w:r>
    </w:p>
    <w:p>
      <w:pPr>
        <w:pStyle w:val="Normal"/>
        <w:spacing w:lineRule="auto" w:line="360"/>
        <w:jc w:val="both"/>
        <w:rPr>
          <w:rFonts w:ascii="Arial" w:hAnsi="Arial" w:cs="Arial"/>
        </w:rPr>
      </w:pPr>
      <w:r>
        <w:rPr>
          <w:rFonts w:cs="Arial" w:ascii="Arial" w:hAnsi="Arial"/>
        </w:rPr>
        <w:t>Ribbon representation of the monomer with the ligands (in red). The alignment of the ligands along the bridge helix can be seen.</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b/>
          <w:b/>
          <w:bCs/>
        </w:rPr>
      </w:pPr>
      <w:r>
        <w:rPr>
          <w:rFonts w:cs="Arial" w:ascii="Arial" w:hAnsi="Arial"/>
          <w:b/>
          <w:bCs/>
        </w:rPr>
        <w:t>Supplementary Movie 10: Conformational change of P116 top view</w:t>
      </w:r>
    </w:p>
    <w:p>
      <w:pPr>
        <w:pStyle w:val="Normal"/>
        <w:spacing w:lineRule="auto" w:line="360"/>
        <w:jc w:val="both"/>
        <w:rPr>
          <w:rFonts w:ascii="Arial" w:hAnsi="Arial" w:cs="Arial"/>
        </w:rPr>
      </w:pPr>
      <w:r>
        <w:rPr>
          <w:rFonts w:cs="Arial" w:ascii="Arial" w:hAnsi="Arial"/>
        </w:rPr>
        <w:t>Morphing between the ribbon models from P116 and P116 empty. Conformational changes of the P116 shown from the top view. Starting from the structure of the full P116 (open) a morphing is shown towards the structure of the empty P116. The speed of the movie may be adjusted in order to appreciate the conformational change.</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b/>
          <w:b/>
          <w:bCs/>
        </w:rPr>
      </w:pPr>
      <w:r>
        <w:rPr>
          <w:rFonts w:cs="Arial" w:ascii="Arial" w:hAnsi="Arial"/>
          <w:b/>
          <w:bCs/>
        </w:rPr>
        <w:t>Supplementary Movie 11: Conformational change of P116 distal view</w:t>
      </w:r>
    </w:p>
    <w:p>
      <w:pPr>
        <w:pStyle w:val="Normal"/>
        <w:spacing w:lineRule="auto" w:line="360"/>
        <w:jc w:val="both"/>
        <w:rPr>
          <w:rFonts w:ascii="Arial" w:hAnsi="Arial" w:cs="Arial"/>
        </w:rPr>
      </w:pPr>
      <w:r>
        <w:rPr>
          <w:rFonts w:cs="Arial" w:ascii="Arial" w:hAnsi="Arial"/>
        </w:rPr>
        <w:t>Morphing between the ribbon models from P116 and P116 empty. Conformational changes of the P116 shown from an arbitrary view. The movement of the four fingers (in blue) towards the core domain (in orange) can be appreciated. The speed of the movie may be adjusted in order to appreciate the conformational change.</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b/>
          <w:b/>
          <w:bCs/>
        </w:rPr>
      </w:pPr>
      <w:r>
        <w:rPr>
          <w:rFonts w:cs="Arial" w:ascii="Arial" w:hAnsi="Arial"/>
          <w:b/>
          <w:bCs/>
        </w:rPr>
        <w:t>Supplementary Movie 12: Conformational change of P116 distal view with ligands</w:t>
      </w:r>
    </w:p>
    <w:p>
      <w:pPr>
        <w:pStyle w:val="Normal"/>
        <w:spacing w:lineRule="auto" w:line="360"/>
        <w:jc w:val="both"/>
        <w:rPr>
          <w:rFonts w:ascii="Arial" w:hAnsi="Arial" w:cs="Arial"/>
        </w:rPr>
      </w:pPr>
      <w:r>
        <w:rPr>
          <w:rFonts w:cs="Arial" w:ascii="Arial" w:hAnsi="Arial"/>
        </w:rPr>
        <w:t xml:space="preserve">Morphing between the ribbon models from P116 and P116 empty. Similar view as in movie 8, only the ligands (in red) present. In the closed conformation the 4 fingers (in blue) clash with the ligands. </w:t>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rPr>
      </w:pPr>
      <w:r>
        <w:rPr>
          <w:rFonts w:cs="Arial" w:ascii="Arial" w:hAnsi="Arial"/>
        </w:rPr>
      </w:r>
    </w:p>
    <w:p>
      <w:pPr>
        <w:pStyle w:val="Normal"/>
        <w:spacing w:lineRule="auto" w:line="360"/>
        <w:jc w:val="both"/>
        <w:rPr>
          <w:rFonts w:ascii="Arial" w:hAnsi="Arial" w:cs="Arial"/>
        </w:rPr>
      </w:pPr>
      <w:r>
        <w:rPr/>
      </w:r>
    </w:p>
    <w:sectPr>
      <w:footerReference w:type="default" r:id="rId14"/>
      <w:type w:val="nextPage"/>
      <w:pgSz w:w="11906" w:h="16838"/>
      <w:pgMar w:left="1417" w:right="1417" w:header="0" w:top="1417" w:footer="0" w:bottom="1134"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Calibri Light">
    <w:charset w:val="01"/>
    <w:family w:val="roman"/>
    <w:pitch w:val="variable"/>
  </w:font>
  <w:font w:name="Liberation Serif">
    <w:altName w:val="Times New Roman"/>
    <w:charset w:val="01"/>
    <w:family w:val="swiss"/>
    <w:pitch w:val="variable"/>
  </w:font>
  <w:font w:name="OpenSymbol">
    <w:altName w:val="Arial Unicode MS"/>
    <w:charset w:val="01"/>
    <w:family w:val="roman"/>
    <w:pitch w:val="variable"/>
  </w:font>
  <w:font w:name="Liberation Sans">
    <w:altName w:val="Arial"/>
    <w:charset w:val="01"/>
    <w:family w:val="roman"/>
    <w:pitch w:val="variable"/>
  </w:font>
  <w:font w:name="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027439177"/>
      <w:alias w:val="To edit, see citavi.com/edit"/>
    </w:sdtPr>
    <w:sdtContent>
      <w:p>
        <w:pPr>
          <w:pStyle w:val="Normal"/>
          <w:jc w:val="center"/>
          <w:rPr>
            <w:rFonts w:ascii="Arial" w:hAnsi="Arial" w:cs="Arial"/>
          </w:rPr>
        </w:pPr>
        <w:r>
          <w:rPr>
            <w:rFonts w:cs="Arial" w:ascii="Arial" w:hAnsi="Arial"/>
          </w:rPr>
          <w:fldChar w:fldCharType="begin"/>
        </w:r>
        <w:r>
          <w:rPr>
            <w:rFonts w:cs="Arial" w:ascii="Arial" w:hAnsi="Arial"/>
          </w:rPr>
          <w:instrText> PAGE </w:instrText>
        </w:r>
        <w:r>
          <w:rPr>
            <w:rFonts w:cs="Arial" w:ascii="Arial" w:hAnsi="Arial"/>
          </w:rPr>
          <w:fldChar w:fldCharType="separate"/>
        </w:r>
        <w:r>
          <w:rPr>
            <w:rFonts w:cs="Arial" w:ascii="Arial" w:hAnsi="Arial"/>
          </w:rPr>
          <w:t>18</w:t>
        </w:r>
        <w:r>
          <w:rPr>
            <w:rFonts w:cs="Arial" w:ascii="Arial" w:hAnsi="Arial"/>
          </w:rPr>
          <w:fldChar w:fldCharType="end"/>
        </w:r>
      </w:p>
    </w:sdtContent>
  </w:sdt>
  <w:p>
    <w:pPr>
      <w:pStyle w:val="Normal"/>
      <w:rPr/>
    </w:pPr>
    <w:r>
      <w:rPr/>
    </w:r>
  </w:p>
</w:ft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0034c"/>
    <w:pPr>
      <w:widowControl/>
      <w:suppressAutoHyphens w:val="true"/>
      <w:bidi w:val="0"/>
      <w:spacing w:before="0" w:after="0"/>
      <w:jc w:val="left"/>
    </w:pPr>
    <w:rPr>
      <w:rFonts w:ascii="Times New Roman" w:hAnsi="Times New Roman" w:eastAsia="Times New Roman" w:cs="Times New Roman"/>
      <w:color w:val="auto"/>
      <w:kern w:val="0"/>
      <w:sz w:val="24"/>
      <w:szCs w:val="24"/>
      <w:lang w:val="en-US" w:eastAsia="en-GB" w:bidi="ar-SA"/>
    </w:rPr>
  </w:style>
  <w:style w:type="paragraph" w:styleId="Heading1">
    <w:name w:val="Heading 1"/>
    <w:basedOn w:val="Normal"/>
    <w:next w:val="Normal"/>
    <w:link w:val="Heading1Char"/>
    <w:uiPriority w:val="9"/>
    <w:qFormat/>
    <w:rsid w:val="0060034c"/>
    <w:pPr>
      <w:keepNext w:val="true"/>
      <w:keepLines/>
      <w:spacing w:lineRule="auto" w:line="259" w:before="240" w:after="0"/>
      <w:outlineLvl w:val="0"/>
    </w:pPr>
    <w:rPr>
      <w:rFonts w:ascii="Calibri Light" w:hAnsi="Calibri Light" w:eastAsia="" w:cs="" w:asciiTheme="majorHAnsi" w:cstheme="majorBidi" w:eastAsiaTheme="majorEastAsia" w:hAnsiTheme="majorHAnsi"/>
      <w:color w:val="2F5496" w:themeColor="accent1" w:themeShade="bf"/>
      <w:sz w:val="32"/>
      <w:szCs w:val="32"/>
      <w:lang w:eastAsia="en-US"/>
    </w:rPr>
  </w:style>
  <w:style w:type="paragraph" w:styleId="Heading2">
    <w:name w:val="Heading 2"/>
    <w:basedOn w:val="Normal"/>
    <w:next w:val="Normal"/>
    <w:link w:val="Heading2Char"/>
    <w:uiPriority w:val="9"/>
    <w:semiHidden/>
    <w:unhideWhenUsed/>
    <w:qFormat/>
    <w:rsid w:val="0060034c"/>
    <w:pPr>
      <w:keepNext w:val="true"/>
      <w:keepLines/>
      <w:spacing w:lineRule="auto" w:line="259" w:before="40" w:after="0"/>
      <w:outlineLvl w:val="1"/>
    </w:pPr>
    <w:rPr>
      <w:rFonts w:ascii="Calibri Light" w:hAnsi="Calibri Light" w:eastAsia="" w:cs="" w:asciiTheme="majorHAnsi" w:cstheme="majorBidi" w:eastAsiaTheme="majorEastAsia" w:hAnsiTheme="majorHAnsi"/>
      <w:color w:val="2F5496" w:themeColor="accent1" w:themeShade="bf"/>
      <w:sz w:val="26"/>
      <w:szCs w:val="26"/>
      <w:lang w:eastAsia="en-US"/>
    </w:rPr>
  </w:style>
  <w:style w:type="paragraph" w:styleId="Heading3">
    <w:name w:val="Heading 3"/>
    <w:basedOn w:val="Heading"/>
    <w:link w:val="Heading3Char"/>
    <w:qFormat/>
    <w:rsid w:val="0060034c"/>
    <w:pPr>
      <w:suppressAutoHyphens w:val="true"/>
      <w:spacing w:lineRule="auto" w:line="240" w:before="140" w:after="120"/>
      <w:textAlignment w:val="baseline"/>
      <w:outlineLvl w:val="2"/>
    </w:pPr>
    <w:rPr>
      <w:rFonts w:ascii="Liberation Serif" w:hAnsi="Liberation Serif" w:eastAsia="DejaVu Sans" w:cs="FreeSans"/>
      <w:b/>
      <w:bCs/>
      <w:kern w:val="2"/>
      <w:lang w:eastAsia="zh-CN" w:bidi="hi-IN"/>
    </w:rPr>
  </w:style>
  <w:style w:type="paragraph" w:styleId="Heading4">
    <w:name w:val="Heading 4"/>
    <w:basedOn w:val="Normal"/>
    <w:next w:val="Normal"/>
    <w:link w:val="Heading4Char"/>
    <w:uiPriority w:val="9"/>
    <w:semiHidden/>
    <w:unhideWhenUsed/>
    <w:qFormat/>
    <w:rsid w:val="0060034c"/>
    <w:pPr>
      <w:keepNext w:val="true"/>
      <w:keepLines/>
      <w:spacing w:lineRule="auto" w:line="259" w:before="40" w:after="0"/>
      <w:outlineLvl w:val="3"/>
    </w:pPr>
    <w:rPr>
      <w:rFonts w:ascii="Calibri Light" w:hAnsi="Calibri Light" w:eastAsia="" w:cs="" w:asciiTheme="majorHAnsi" w:cstheme="majorBidi" w:eastAsiaTheme="majorEastAsia" w:hAnsiTheme="majorHAnsi"/>
      <w:i/>
      <w:iCs/>
      <w:color w:val="2F5496" w:themeColor="accent1" w:themeShade="bf"/>
      <w:sz w:val="22"/>
      <w:szCs w:val="22"/>
      <w:lang w:eastAsia="en-US"/>
    </w:rPr>
  </w:style>
  <w:style w:type="paragraph" w:styleId="Heading5">
    <w:name w:val="Heading 5"/>
    <w:basedOn w:val="Normal"/>
    <w:next w:val="Normal"/>
    <w:link w:val="Heading5Char"/>
    <w:uiPriority w:val="9"/>
    <w:semiHidden/>
    <w:unhideWhenUsed/>
    <w:qFormat/>
    <w:rsid w:val="0060034c"/>
    <w:pPr>
      <w:keepNext w:val="true"/>
      <w:keepLines/>
      <w:spacing w:lineRule="auto" w:line="259" w:before="40" w:after="0"/>
      <w:outlineLvl w:val="4"/>
    </w:pPr>
    <w:rPr>
      <w:rFonts w:ascii="Calibri Light" w:hAnsi="Calibri Light" w:eastAsia="" w:cs="" w:asciiTheme="majorHAnsi" w:cstheme="majorBidi" w:eastAsiaTheme="majorEastAsia" w:hAnsiTheme="majorHAnsi"/>
      <w:color w:val="2F5496" w:themeColor="accent1" w:themeShade="bf"/>
      <w:sz w:val="22"/>
      <w:szCs w:val="22"/>
      <w:lang w:eastAsia="en-US"/>
    </w:rPr>
  </w:style>
  <w:style w:type="paragraph" w:styleId="Heading6">
    <w:name w:val="Heading 6"/>
    <w:basedOn w:val="Normal"/>
    <w:next w:val="Normal"/>
    <w:link w:val="Heading6Char"/>
    <w:uiPriority w:val="9"/>
    <w:semiHidden/>
    <w:unhideWhenUsed/>
    <w:qFormat/>
    <w:rsid w:val="0060034c"/>
    <w:pPr>
      <w:keepNext w:val="true"/>
      <w:keepLines/>
      <w:spacing w:lineRule="auto" w:line="259" w:before="40" w:after="0"/>
      <w:outlineLvl w:val="5"/>
    </w:pPr>
    <w:rPr>
      <w:rFonts w:ascii="Calibri Light" w:hAnsi="Calibri Light" w:eastAsia="" w:cs="" w:asciiTheme="majorHAnsi" w:cstheme="majorBidi" w:eastAsiaTheme="majorEastAsia" w:hAnsiTheme="majorHAnsi"/>
      <w:color w:val="1F3763" w:themeColor="accent1" w:themeShade="7f"/>
      <w:sz w:val="22"/>
      <w:szCs w:val="22"/>
      <w:lang w:eastAsia="en-US"/>
    </w:rPr>
  </w:style>
  <w:style w:type="paragraph" w:styleId="Heading7">
    <w:name w:val="Heading 7"/>
    <w:basedOn w:val="Normal"/>
    <w:next w:val="Normal"/>
    <w:link w:val="Heading7Char"/>
    <w:uiPriority w:val="9"/>
    <w:semiHidden/>
    <w:unhideWhenUsed/>
    <w:qFormat/>
    <w:rsid w:val="0060034c"/>
    <w:pPr>
      <w:keepNext w:val="true"/>
      <w:keepLines/>
      <w:spacing w:lineRule="auto" w:line="259" w:before="40" w:after="0"/>
      <w:outlineLvl w:val="6"/>
    </w:pPr>
    <w:rPr>
      <w:rFonts w:ascii="Calibri Light" w:hAnsi="Calibri Light" w:eastAsia="" w:cs="" w:asciiTheme="majorHAnsi" w:cstheme="majorBidi" w:eastAsiaTheme="majorEastAsia" w:hAnsiTheme="majorHAnsi"/>
      <w:i/>
      <w:iCs/>
      <w:color w:val="1F3763" w:themeColor="accent1" w:themeShade="7f"/>
      <w:sz w:val="22"/>
      <w:szCs w:val="22"/>
      <w:lang w:eastAsia="en-US"/>
    </w:rPr>
  </w:style>
  <w:style w:type="paragraph" w:styleId="Heading8">
    <w:name w:val="Heading 8"/>
    <w:basedOn w:val="Normal"/>
    <w:next w:val="Normal"/>
    <w:link w:val="Heading8Char"/>
    <w:uiPriority w:val="9"/>
    <w:semiHidden/>
    <w:unhideWhenUsed/>
    <w:qFormat/>
    <w:rsid w:val="0060034c"/>
    <w:pPr>
      <w:keepNext w:val="true"/>
      <w:keepLines/>
      <w:spacing w:lineRule="auto" w:line="259" w:before="40" w:after="0"/>
      <w:outlineLvl w:val="7"/>
    </w:pPr>
    <w:rPr>
      <w:rFonts w:ascii="Calibri Light" w:hAnsi="Calibri Light" w:eastAsia="" w:cs="" w:asciiTheme="majorHAnsi" w:cstheme="majorBidi" w:eastAsiaTheme="majorEastAsia" w:hAnsiTheme="majorHAnsi"/>
      <w:color w:val="272727" w:themeColor="text1" w:themeTint="d8"/>
      <w:sz w:val="21"/>
      <w:szCs w:val="21"/>
      <w:lang w:eastAsia="en-US"/>
    </w:rPr>
  </w:style>
  <w:style w:type="paragraph" w:styleId="Heading9">
    <w:name w:val="Heading 9"/>
    <w:basedOn w:val="Normal"/>
    <w:next w:val="Normal"/>
    <w:link w:val="Heading9Char"/>
    <w:uiPriority w:val="9"/>
    <w:semiHidden/>
    <w:unhideWhenUsed/>
    <w:qFormat/>
    <w:rsid w:val="0060034c"/>
    <w:pPr>
      <w:keepNext w:val="true"/>
      <w:keepLines/>
      <w:spacing w:lineRule="auto" w:line="259" w:before="40" w:after="0"/>
      <w:outlineLvl w:val="8"/>
    </w:pPr>
    <w:rPr>
      <w:rFonts w:ascii="Calibri Light" w:hAnsi="Calibri Light" w:eastAsia="" w:cs="" w:asciiTheme="majorHAnsi" w:cstheme="majorBidi" w:eastAsiaTheme="majorEastAsia" w:hAnsiTheme="majorHAnsi"/>
      <w:i/>
      <w:iCs/>
      <w:color w:val="272727" w:themeColor="text1" w:themeTint="d8"/>
      <w:sz w:val="21"/>
      <w:szCs w:val="21"/>
      <w:lang w:eastAsia="en-US"/>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4176fa"/>
    <w:rPr>
      <w:rFonts w:ascii="Times New Roman" w:hAnsi="Times New Roman" w:cs="Times New Roman"/>
      <w:sz w:val="18"/>
      <w:szCs w:val="18"/>
    </w:rPr>
  </w:style>
  <w:style w:type="character" w:styleId="Heading1Char" w:customStyle="1">
    <w:name w:val="Heading 1 Char"/>
    <w:basedOn w:val="DefaultParagraphFont"/>
    <w:link w:val="Heading1"/>
    <w:uiPriority w:val="9"/>
    <w:qFormat/>
    <w:rsid w:val="0060034c"/>
    <w:rPr>
      <w:rFonts w:ascii="Calibri Light" w:hAnsi="Calibri Light" w:eastAsia="" w:cs="" w:asciiTheme="majorHAnsi" w:cstheme="majorBidi" w:eastAsiaTheme="majorEastAsia" w:hAnsiTheme="majorHAnsi"/>
      <w:color w:val="2F5496" w:themeColor="accent1" w:themeShade="bf"/>
      <w:sz w:val="32"/>
      <w:szCs w:val="32"/>
      <w:lang w:val="en-US"/>
    </w:rPr>
  </w:style>
  <w:style w:type="character" w:styleId="Heading2Char" w:customStyle="1">
    <w:name w:val="Heading 2 Char"/>
    <w:basedOn w:val="DefaultParagraphFont"/>
    <w:link w:val="Heading2"/>
    <w:uiPriority w:val="9"/>
    <w:semiHidden/>
    <w:qFormat/>
    <w:rsid w:val="0060034c"/>
    <w:rPr>
      <w:rFonts w:ascii="Calibri Light" w:hAnsi="Calibri Light" w:eastAsia="" w:cs="" w:asciiTheme="majorHAnsi" w:cstheme="majorBidi" w:eastAsiaTheme="majorEastAsia" w:hAnsiTheme="majorHAnsi"/>
      <w:color w:val="2F5496" w:themeColor="accent1" w:themeShade="bf"/>
      <w:sz w:val="26"/>
      <w:szCs w:val="26"/>
      <w:lang w:val="en-US"/>
    </w:rPr>
  </w:style>
  <w:style w:type="character" w:styleId="Heading3Char" w:customStyle="1">
    <w:name w:val="Heading 3 Char"/>
    <w:basedOn w:val="DefaultParagraphFont"/>
    <w:link w:val="Heading3"/>
    <w:qFormat/>
    <w:rsid w:val="0060034c"/>
    <w:rPr>
      <w:rFonts w:ascii="Liberation Serif" w:hAnsi="Liberation Serif" w:eastAsia="DejaVu Sans" w:cs="FreeSans"/>
      <w:b/>
      <w:bCs/>
      <w:kern w:val="2"/>
      <w:sz w:val="28"/>
      <w:szCs w:val="28"/>
      <w:lang w:val="en-US" w:eastAsia="zh-CN" w:bidi="hi-IN"/>
    </w:rPr>
  </w:style>
  <w:style w:type="character" w:styleId="Heading4Char" w:customStyle="1">
    <w:name w:val="Heading 4 Char"/>
    <w:basedOn w:val="DefaultParagraphFont"/>
    <w:link w:val="Heading4"/>
    <w:uiPriority w:val="9"/>
    <w:semiHidden/>
    <w:qFormat/>
    <w:rsid w:val="0060034c"/>
    <w:rPr>
      <w:rFonts w:ascii="Calibri Light" w:hAnsi="Calibri Light" w:eastAsia="" w:cs="" w:asciiTheme="majorHAnsi" w:cstheme="majorBidi" w:eastAsiaTheme="majorEastAsia" w:hAnsiTheme="majorHAnsi"/>
      <w:i/>
      <w:iCs/>
      <w:color w:val="2F5496" w:themeColor="accent1" w:themeShade="bf"/>
      <w:sz w:val="22"/>
      <w:szCs w:val="22"/>
      <w:lang w:val="en-US"/>
    </w:rPr>
  </w:style>
  <w:style w:type="character" w:styleId="Heading5Char" w:customStyle="1">
    <w:name w:val="Heading 5 Char"/>
    <w:basedOn w:val="DefaultParagraphFont"/>
    <w:link w:val="Heading5"/>
    <w:uiPriority w:val="9"/>
    <w:semiHidden/>
    <w:qFormat/>
    <w:rsid w:val="0060034c"/>
    <w:rPr>
      <w:rFonts w:ascii="Calibri Light" w:hAnsi="Calibri Light" w:eastAsia="" w:cs="" w:asciiTheme="majorHAnsi" w:cstheme="majorBidi" w:eastAsiaTheme="majorEastAsia" w:hAnsiTheme="majorHAnsi"/>
      <w:color w:val="2F5496" w:themeColor="accent1" w:themeShade="bf"/>
      <w:sz w:val="22"/>
      <w:szCs w:val="22"/>
      <w:lang w:val="en-US"/>
    </w:rPr>
  </w:style>
  <w:style w:type="character" w:styleId="Heading6Char" w:customStyle="1">
    <w:name w:val="Heading 6 Char"/>
    <w:basedOn w:val="DefaultParagraphFont"/>
    <w:link w:val="Heading6"/>
    <w:uiPriority w:val="9"/>
    <w:semiHidden/>
    <w:qFormat/>
    <w:rsid w:val="0060034c"/>
    <w:rPr>
      <w:rFonts w:ascii="Calibri Light" w:hAnsi="Calibri Light" w:eastAsia="" w:cs="" w:asciiTheme="majorHAnsi" w:cstheme="majorBidi" w:eastAsiaTheme="majorEastAsia" w:hAnsiTheme="majorHAnsi"/>
      <w:color w:val="1F3763" w:themeColor="accent1" w:themeShade="7f"/>
      <w:sz w:val="22"/>
      <w:szCs w:val="22"/>
      <w:lang w:val="en-US"/>
    </w:rPr>
  </w:style>
  <w:style w:type="character" w:styleId="Heading7Char" w:customStyle="1">
    <w:name w:val="Heading 7 Char"/>
    <w:basedOn w:val="DefaultParagraphFont"/>
    <w:link w:val="Heading7"/>
    <w:uiPriority w:val="9"/>
    <w:semiHidden/>
    <w:qFormat/>
    <w:rsid w:val="0060034c"/>
    <w:rPr>
      <w:rFonts w:ascii="Calibri Light" w:hAnsi="Calibri Light" w:eastAsia="" w:cs="" w:asciiTheme="majorHAnsi" w:cstheme="majorBidi" w:eastAsiaTheme="majorEastAsia" w:hAnsiTheme="majorHAnsi"/>
      <w:i/>
      <w:iCs/>
      <w:color w:val="1F3763" w:themeColor="accent1" w:themeShade="7f"/>
      <w:sz w:val="22"/>
      <w:szCs w:val="22"/>
      <w:lang w:val="en-US"/>
    </w:rPr>
  </w:style>
  <w:style w:type="character" w:styleId="Heading8Char" w:customStyle="1">
    <w:name w:val="Heading 8 Char"/>
    <w:basedOn w:val="DefaultParagraphFont"/>
    <w:link w:val="Heading8"/>
    <w:uiPriority w:val="9"/>
    <w:semiHidden/>
    <w:qFormat/>
    <w:rsid w:val="0060034c"/>
    <w:rPr>
      <w:rFonts w:ascii="Calibri Light" w:hAnsi="Calibri Light" w:eastAsia="" w:cs="" w:asciiTheme="majorHAnsi" w:cstheme="majorBidi" w:eastAsiaTheme="majorEastAsia" w:hAnsiTheme="majorHAnsi"/>
      <w:color w:val="272727" w:themeColor="text1" w:themeTint="d8"/>
      <w:sz w:val="21"/>
      <w:szCs w:val="21"/>
      <w:lang w:val="en-US"/>
    </w:rPr>
  </w:style>
  <w:style w:type="character" w:styleId="Heading9Char" w:customStyle="1">
    <w:name w:val="Heading 9 Char"/>
    <w:basedOn w:val="DefaultParagraphFont"/>
    <w:link w:val="Heading9"/>
    <w:uiPriority w:val="9"/>
    <w:semiHidden/>
    <w:qFormat/>
    <w:rsid w:val="0060034c"/>
    <w:rPr>
      <w:rFonts w:ascii="Calibri Light" w:hAnsi="Calibri Light" w:eastAsia="" w:cs="" w:asciiTheme="majorHAnsi" w:cstheme="majorBidi" w:eastAsiaTheme="majorEastAsia" w:hAnsiTheme="majorHAnsi"/>
      <w:i/>
      <w:iCs/>
      <w:color w:val="272727" w:themeColor="text1" w:themeTint="d8"/>
      <w:sz w:val="21"/>
      <w:szCs w:val="21"/>
      <w:lang w:val="en-US"/>
    </w:rPr>
  </w:style>
  <w:style w:type="character" w:styleId="BodyTextChar" w:customStyle="1">
    <w:name w:val="Body Text Char"/>
    <w:basedOn w:val="DefaultParagraphFont"/>
    <w:link w:val="BodyText"/>
    <w:qFormat/>
    <w:rsid w:val="0060034c"/>
    <w:rPr>
      <w:sz w:val="22"/>
      <w:szCs w:val="22"/>
      <w:lang w:val="en-US"/>
    </w:rPr>
  </w:style>
  <w:style w:type="character" w:styleId="HeaderChar" w:customStyle="1">
    <w:name w:val="Header Char"/>
    <w:basedOn w:val="DefaultParagraphFont"/>
    <w:link w:val="Header"/>
    <w:uiPriority w:val="99"/>
    <w:qFormat/>
    <w:rsid w:val="0060034c"/>
    <w:rPr>
      <w:sz w:val="22"/>
    </w:rPr>
  </w:style>
  <w:style w:type="character" w:styleId="HeaderChar1" w:customStyle="1">
    <w:name w:val="Header Char1"/>
    <w:basedOn w:val="DefaultParagraphFont"/>
    <w:uiPriority w:val="99"/>
    <w:semiHidden/>
    <w:qFormat/>
    <w:rsid w:val="0060034c"/>
    <w:rPr>
      <w:rFonts w:ascii="Times New Roman" w:hAnsi="Times New Roman" w:eastAsia="Times New Roman" w:cs="Times New Roman"/>
      <w:lang w:val="en-US" w:eastAsia="en-GB"/>
    </w:rPr>
  </w:style>
  <w:style w:type="character" w:styleId="FooterChar" w:customStyle="1">
    <w:name w:val="Footer Char"/>
    <w:basedOn w:val="DefaultParagraphFont"/>
    <w:link w:val="Footer"/>
    <w:uiPriority w:val="99"/>
    <w:qFormat/>
    <w:rsid w:val="0060034c"/>
    <w:rPr>
      <w:sz w:val="22"/>
    </w:rPr>
  </w:style>
  <w:style w:type="character" w:styleId="FooterChar1" w:customStyle="1">
    <w:name w:val="Footer Char1"/>
    <w:basedOn w:val="DefaultParagraphFont"/>
    <w:uiPriority w:val="99"/>
    <w:semiHidden/>
    <w:qFormat/>
    <w:rsid w:val="0060034c"/>
    <w:rPr>
      <w:rFonts w:ascii="Times New Roman" w:hAnsi="Times New Roman" w:eastAsia="Times New Roman" w:cs="Times New Roman"/>
      <w:lang w:val="en-US" w:eastAsia="en-GB"/>
    </w:rPr>
  </w:style>
  <w:style w:type="character" w:styleId="Annotationreference">
    <w:name w:val="annotation reference"/>
    <w:basedOn w:val="DefaultParagraphFont"/>
    <w:uiPriority w:val="99"/>
    <w:semiHidden/>
    <w:unhideWhenUsed/>
    <w:qFormat/>
    <w:rsid w:val="0060034c"/>
    <w:rPr>
      <w:sz w:val="16"/>
      <w:szCs w:val="16"/>
    </w:rPr>
  </w:style>
  <w:style w:type="character" w:styleId="CommentTextChar" w:customStyle="1">
    <w:name w:val="Comment Text Char"/>
    <w:basedOn w:val="DefaultParagraphFont"/>
    <w:link w:val="CommentText"/>
    <w:uiPriority w:val="99"/>
    <w:qFormat/>
    <w:rsid w:val="0060034c"/>
    <w:rPr>
      <w:sz w:val="20"/>
      <w:szCs w:val="20"/>
    </w:rPr>
  </w:style>
  <w:style w:type="character" w:styleId="CommentTextChar1" w:customStyle="1">
    <w:name w:val="Comment Text Char1"/>
    <w:basedOn w:val="DefaultParagraphFont"/>
    <w:uiPriority w:val="99"/>
    <w:semiHidden/>
    <w:qFormat/>
    <w:rsid w:val="0060034c"/>
    <w:rPr>
      <w:rFonts w:ascii="Times New Roman" w:hAnsi="Times New Roman" w:eastAsia="Times New Roman" w:cs="Times New Roman"/>
      <w:sz w:val="20"/>
      <w:szCs w:val="20"/>
      <w:lang w:val="en-US" w:eastAsia="en-GB"/>
    </w:rPr>
  </w:style>
  <w:style w:type="character" w:styleId="CommentSubjectChar" w:customStyle="1">
    <w:name w:val="Comment Subject Char"/>
    <w:basedOn w:val="CommentTextChar"/>
    <w:link w:val="CommentSubject"/>
    <w:uiPriority w:val="99"/>
    <w:semiHidden/>
    <w:qFormat/>
    <w:rsid w:val="0060034c"/>
    <w:rPr>
      <w:b/>
      <w:bCs/>
      <w:sz w:val="20"/>
      <w:szCs w:val="20"/>
    </w:rPr>
  </w:style>
  <w:style w:type="character" w:styleId="CommentSubjectChar1" w:customStyle="1">
    <w:name w:val="Comment Subject Char1"/>
    <w:basedOn w:val="CommentTextChar1"/>
    <w:uiPriority w:val="99"/>
    <w:semiHidden/>
    <w:qFormat/>
    <w:rsid w:val="0060034c"/>
    <w:rPr>
      <w:rFonts w:ascii="Times New Roman" w:hAnsi="Times New Roman" w:eastAsia="Times New Roman" w:cs="Times New Roman"/>
      <w:b/>
      <w:bCs/>
      <w:sz w:val="20"/>
      <w:szCs w:val="20"/>
      <w:lang w:val="en-US" w:eastAsia="en-GB"/>
    </w:rPr>
  </w:style>
  <w:style w:type="character" w:styleId="Bullets" w:customStyle="1">
    <w:name w:val="Bullets"/>
    <w:qFormat/>
    <w:rsid w:val="0060034c"/>
    <w:rPr>
      <w:rFonts w:ascii="OpenSymbol" w:hAnsi="OpenSymbol" w:eastAsia="OpenSymbol" w:cs="OpenSymbol"/>
    </w:rPr>
  </w:style>
  <w:style w:type="character" w:styleId="Strong">
    <w:name w:val="Strong"/>
    <w:basedOn w:val="DefaultParagraphFont"/>
    <w:uiPriority w:val="22"/>
    <w:qFormat/>
    <w:rsid w:val="0060034c"/>
    <w:rPr>
      <w:b/>
      <w:bCs/>
    </w:rPr>
  </w:style>
  <w:style w:type="character" w:styleId="Emphasis">
    <w:name w:val="Emphasis"/>
    <w:uiPriority w:val="20"/>
    <w:qFormat/>
    <w:rsid w:val="0060034c"/>
    <w:rPr>
      <w:i/>
      <w:iCs/>
    </w:rPr>
  </w:style>
  <w:style w:type="character" w:styleId="It" w:customStyle="1">
    <w:name w:val="it"/>
    <w:basedOn w:val="DefaultParagraphFont"/>
    <w:qFormat/>
    <w:rsid w:val="0060034c"/>
    <w:rPr/>
  </w:style>
  <w:style w:type="character" w:styleId="B" w:customStyle="1">
    <w:name w:val="b"/>
    <w:basedOn w:val="DefaultParagraphFont"/>
    <w:qFormat/>
    <w:rsid w:val="0060034c"/>
    <w:rPr/>
  </w:style>
  <w:style w:type="character" w:styleId="InternetLink">
    <w:name w:val="Hyperlink"/>
    <w:basedOn w:val="DefaultParagraphFont"/>
    <w:uiPriority w:val="99"/>
    <w:rsid w:val="0060034c"/>
    <w:rPr>
      <w:color w:val="0000FF"/>
      <w:u w:val="single"/>
    </w:rPr>
  </w:style>
  <w:style w:type="character" w:styleId="Doi" w:customStyle="1">
    <w:name w:val="doi"/>
    <w:basedOn w:val="DefaultParagraphFont"/>
    <w:qFormat/>
    <w:rsid w:val="0060034c"/>
    <w:rPr/>
  </w:style>
  <w:style w:type="character" w:styleId="VisitedInternetLink">
    <w:name w:val="FollowedHyperlink"/>
    <w:basedOn w:val="DefaultParagraphFont"/>
    <w:uiPriority w:val="99"/>
    <w:semiHidden/>
    <w:unhideWhenUsed/>
    <w:qFormat/>
    <w:rsid w:val="0060034c"/>
    <w:rPr>
      <w:color w:val="954F72" w:themeColor="followedHyperlink"/>
      <w:u w:val="single"/>
    </w:rPr>
  </w:style>
  <w:style w:type="character" w:styleId="PlaceholderText">
    <w:name w:val="Placeholder Text"/>
    <w:basedOn w:val="DefaultParagraphFont"/>
    <w:uiPriority w:val="99"/>
    <w:semiHidden/>
    <w:qFormat/>
    <w:rsid w:val="0060034c"/>
    <w:rPr>
      <w:color w:val="808080"/>
    </w:rPr>
  </w:style>
  <w:style w:type="character" w:styleId="CitaviBibliographyEntryZchn" w:customStyle="1">
    <w:name w:val="Citavi Bibliography Entry Zchn"/>
    <w:basedOn w:val="DefaultParagraphFont"/>
    <w:link w:val="CitaviBibliographyEntry"/>
    <w:uiPriority w:val="99"/>
    <w:qFormat/>
    <w:rsid w:val="0060034c"/>
    <w:rPr>
      <w:sz w:val="22"/>
    </w:rPr>
  </w:style>
  <w:style w:type="character" w:styleId="CitaviBibliographyHeadingZchn" w:customStyle="1">
    <w:name w:val="Citavi Bibliography Heading Zchn"/>
    <w:basedOn w:val="DefaultParagraphFont"/>
    <w:link w:val="CitaviBibliographyHeading"/>
    <w:uiPriority w:val="99"/>
    <w:qFormat/>
    <w:rsid w:val="0060034c"/>
    <w:rPr>
      <w:rFonts w:ascii="Calibri Light" w:hAnsi="Calibri Light" w:eastAsia="" w:cs="" w:asciiTheme="majorHAnsi" w:cstheme="majorBidi" w:eastAsiaTheme="majorEastAsia" w:hAnsiTheme="majorHAnsi"/>
      <w:color w:val="2F5496" w:themeColor="accent1" w:themeShade="bf"/>
      <w:sz w:val="32"/>
      <w:szCs w:val="32"/>
    </w:rPr>
  </w:style>
  <w:style w:type="character" w:styleId="CitaviChapterBibliographyHeadingZchn" w:customStyle="1">
    <w:name w:val="Citavi Chapter Bibliography Heading Zchn"/>
    <w:basedOn w:val="DefaultParagraphFont"/>
    <w:link w:val="CitaviChapterBibliographyHeading"/>
    <w:uiPriority w:val="99"/>
    <w:qFormat/>
    <w:rsid w:val="0060034c"/>
    <w:rPr>
      <w:rFonts w:ascii="Calibri Light" w:hAnsi="Calibri Light" w:eastAsia="" w:cs="" w:asciiTheme="majorHAnsi" w:cstheme="majorBidi" w:eastAsiaTheme="majorEastAsia" w:hAnsiTheme="majorHAnsi"/>
      <w:color w:val="2F5496" w:themeColor="accent1" w:themeShade="bf"/>
      <w:sz w:val="26"/>
      <w:szCs w:val="26"/>
    </w:rPr>
  </w:style>
  <w:style w:type="character" w:styleId="CitaviBibliographySubheading1Zchn" w:customStyle="1">
    <w:name w:val="Citavi Bibliography Subheading 1 Zchn"/>
    <w:basedOn w:val="DefaultParagraphFont"/>
    <w:link w:val="CitaviBibliographySubheading1"/>
    <w:uiPriority w:val="99"/>
    <w:qFormat/>
    <w:rsid w:val="0060034c"/>
    <w:rPr>
      <w:rFonts w:ascii="Calibri Light" w:hAnsi="Calibri Light" w:eastAsia="" w:cs="Calibri" w:asciiTheme="majorHAnsi" w:cstheme="minorHAnsi" w:eastAsiaTheme="majorEastAsia" w:hAnsiTheme="majorHAnsi"/>
      <w:color w:val="2F5496" w:themeColor="accent1" w:themeShade="bf"/>
      <w:sz w:val="26"/>
      <w:szCs w:val="26"/>
    </w:rPr>
  </w:style>
  <w:style w:type="character" w:styleId="CitaviBibliographySubheading2Zchn" w:customStyle="1">
    <w:name w:val="Citavi Bibliography Subheading 2 Zchn"/>
    <w:basedOn w:val="DefaultParagraphFont"/>
    <w:link w:val="CitaviBibliographySubheading2"/>
    <w:uiPriority w:val="99"/>
    <w:qFormat/>
    <w:rsid w:val="0060034c"/>
    <w:rPr>
      <w:rFonts w:ascii="Liberation Serif" w:hAnsi="Liberation Serif" w:eastAsia="DejaVu Sans" w:cs="Calibri" w:cstheme="minorHAnsi"/>
      <w:b/>
      <w:bCs/>
      <w:kern w:val="2"/>
      <w:sz w:val="28"/>
      <w:szCs w:val="28"/>
      <w:lang w:eastAsia="zh-CN" w:bidi="hi-IN"/>
    </w:rPr>
  </w:style>
  <w:style w:type="character" w:styleId="CitaviBibliographySubheading3Zchn" w:customStyle="1">
    <w:name w:val="Citavi Bibliography Subheading 3 Zchn"/>
    <w:basedOn w:val="DefaultParagraphFont"/>
    <w:link w:val="CitaviBibliographySubheading3"/>
    <w:uiPriority w:val="99"/>
    <w:qFormat/>
    <w:rsid w:val="0060034c"/>
    <w:rPr>
      <w:rFonts w:ascii="Calibri Light" w:hAnsi="Calibri Light" w:eastAsia="" w:cs="Calibri" w:asciiTheme="majorHAnsi" w:cstheme="minorHAnsi" w:eastAsiaTheme="majorEastAsia" w:hAnsiTheme="majorHAnsi"/>
      <w:i/>
      <w:iCs/>
      <w:color w:val="2F5496" w:themeColor="accent1" w:themeShade="bf"/>
      <w:sz w:val="22"/>
    </w:rPr>
  </w:style>
  <w:style w:type="character" w:styleId="CitaviBibliographySubheading4Zchn" w:customStyle="1">
    <w:name w:val="Citavi Bibliography Subheading 4 Zchn"/>
    <w:basedOn w:val="DefaultParagraphFont"/>
    <w:link w:val="CitaviBibliographySubheading4"/>
    <w:uiPriority w:val="99"/>
    <w:qFormat/>
    <w:rsid w:val="0060034c"/>
    <w:rPr>
      <w:rFonts w:ascii="Calibri Light" w:hAnsi="Calibri Light" w:eastAsia="" w:cs="Calibri" w:asciiTheme="majorHAnsi" w:cstheme="minorHAnsi" w:eastAsiaTheme="majorEastAsia" w:hAnsiTheme="majorHAnsi"/>
      <w:color w:val="2F5496" w:themeColor="accent1" w:themeShade="bf"/>
      <w:sz w:val="22"/>
    </w:rPr>
  </w:style>
  <w:style w:type="character" w:styleId="CitaviBibliographySubheading5Zchn" w:customStyle="1">
    <w:name w:val="Citavi Bibliography Subheading 5 Zchn"/>
    <w:basedOn w:val="DefaultParagraphFont"/>
    <w:link w:val="CitaviBibliographySubheading5"/>
    <w:uiPriority w:val="99"/>
    <w:qFormat/>
    <w:rsid w:val="0060034c"/>
    <w:rPr>
      <w:rFonts w:ascii="Calibri Light" w:hAnsi="Calibri Light" w:eastAsia="" w:cs="Calibri" w:asciiTheme="majorHAnsi" w:cstheme="minorHAnsi" w:eastAsiaTheme="majorEastAsia" w:hAnsiTheme="majorHAnsi"/>
      <w:color w:val="1F3763" w:themeColor="accent1" w:themeShade="7f"/>
      <w:sz w:val="22"/>
    </w:rPr>
  </w:style>
  <w:style w:type="character" w:styleId="CitaviBibliographySubheading6Zchn" w:customStyle="1">
    <w:name w:val="Citavi Bibliography Subheading 6 Zchn"/>
    <w:basedOn w:val="DefaultParagraphFont"/>
    <w:link w:val="CitaviBibliographySubheading6"/>
    <w:uiPriority w:val="99"/>
    <w:qFormat/>
    <w:rsid w:val="0060034c"/>
    <w:rPr>
      <w:rFonts w:ascii="Calibri Light" w:hAnsi="Calibri Light" w:eastAsia="" w:cs="Calibri" w:asciiTheme="majorHAnsi" w:cstheme="minorHAnsi" w:eastAsiaTheme="majorEastAsia" w:hAnsiTheme="majorHAnsi"/>
      <w:i/>
      <w:iCs/>
      <w:color w:val="1F3763" w:themeColor="accent1" w:themeShade="7f"/>
      <w:sz w:val="22"/>
    </w:rPr>
  </w:style>
  <w:style w:type="character" w:styleId="CitaviBibliographySubheading7Zchn" w:customStyle="1">
    <w:name w:val="Citavi Bibliography Subheading 7 Zchn"/>
    <w:basedOn w:val="DefaultParagraphFont"/>
    <w:link w:val="CitaviBibliographySubheading7"/>
    <w:uiPriority w:val="99"/>
    <w:qFormat/>
    <w:rsid w:val="0060034c"/>
    <w:rPr>
      <w:rFonts w:ascii="Calibri Light" w:hAnsi="Calibri Light" w:eastAsia="" w:cs="Calibri" w:asciiTheme="majorHAnsi" w:cstheme="minorHAnsi" w:eastAsiaTheme="majorEastAsia" w:hAnsiTheme="majorHAnsi"/>
      <w:color w:val="272727" w:themeColor="text1" w:themeTint="d8"/>
      <w:sz w:val="21"/>
      <w:szCs w:val="21"/>
    </w:rPr>
  </w:style>
  <w:style w:type="character" w:styleId="CitaviBibliographySubheading8Zchn" w:customStyle="1">
    <w:name w:val="Citavi Bibliography Subheading 8 Zchn"/>
    <w:basedOn w:val="DefaultParagraphFont"/>
    <w:link w:val="CitaviBibliographySubheading8"/>
    <w:uiPriority w:val="99"/>
    <w:qFormat/>
    <w:rsid w:val="0060034c"/>
    <w:rPr>
      <w:rFonts w:ascii="Calibri Light" w:hAnsi="Calibri Light" w:eastAsia="" w:cs="Calibri" w:asciiTheme="majorHAnsi" w:cstheme="minorHAnsi" w:eastAsiaTheme="majorEastAsia" w:hAnsiTheme="majorHAnsi"/>
      <w:i/>
      <w:iCs/>
      <w:color w:val="272727" w:themeColor="text1" w:themeTint="d8"/>
      <w:sz w:val="21"/>
      <w:szCs w:val="21"/>
    </w:rPr>
  </w:style>
  <w:style w:type="character" w:styleId="FootnoteTextChar" w:customStyle="1">
    <w:name w:val="Footnote Text Char"/>
    <w:basedOn w:val="DefaultParagraphFont"/>
    <w:link w:val="FootnoteText"/>
    <w:uiPriority w:val="99"/>
    <w:semiHidden/>
    <w:qFormat/>
    <w:rsid w:val="0060034c"/>
    <w:rPr>
      <w:sz w:val="20"/>
      <w:szCs w:val="20"/>
      <w:lang w:val="en-US"/>
    </w:rPr>
  </w:style>
  <w:style w:type="character" w:styleId="FootnoteCharacters">
    <w:name w:val="Footnote Characters"/>
    <w:basedOn w:val="DefaultParagraphFont"/>
    <w:uiPriority w:val="99"/>
    <w:semiHidden/>
    <w:unhideWhenUsed/>
    <w:qFormat/>
    <w:rsid w:val="0060034c"/>
    <w:rPr>
      <w:vertAlign w:val="superscript"/>
    </w:rPr>
  </w:style>
  <w:style w:type="character" w:styleId="FootnoteAnchor">
    <w:name w:val="Footnote Anchor"/>
    <w:rPr>
      <w:vertAlign w:val="superscript"/>
    </w:rPr>
  </w:style>
  <w:style w:type="paragraph" w:styleId="Heading" w:customStyle="1">
    <w:name w:val="Heading"/>
    <w:basedOn w:val="Normal"/>
    <w:next w:val="TextBody"/>
    <w:qFormat/>
    <w:rsid w:val="0060034c"/>
    <w:pPr>
      <w:keepNext w:val="true"/>
      <w:spacing w:lineRule="auto" w:line="259" w:before="240" w:after="120"/>
    </w:pPr>
    <w:rPr>
      <w:rFonts w:ascii="Liberation Sans" w:hAnsi="Liberation Sans" w:eastAsia="AR PL SungtiL GB" w:cs="Lohit Devanagari"/>
      <w:sz w:val="28"/>
      <w:szCs w:val="28"/>
      <w:lang w:eastAsia="en-US"/>
    </w:rPr>
  </w:style>
  <w:style w:type="paragraph" w:styleId="TextBody">
    <w:name w:val="Body Text"/>
    <w:basedOn w:val="Normal"/>
    <w:link w:val="BodyTextChar"/>
    <w:rsid w:val="0060034c"/>
    <w:pPr>
      <w:spacing w:lineRule="auto" w:line="276" w:before="0" w:after="140"/>
    </w:pPr>
    <w:rPr>
      <w:rFonts w:ascii="Calibri" w:hAnsi="Calibri" w:eastAsia="Calibri" w:cs="" w:asciiTheme="minorHAnsi" w:cstheme="minorBidi" w:eastAsiaTheme="minorHAnsi" w:hAnsiTheme="minorHAnsi"/>
      <w:sz w:val="22"/>
      <w:szCs w:val="22"/>
      <w:lang w:eastAsia="en-US"/>
    </w:rPr>
  </w:style>
  <w:style w:type="paragraph" w:styleId="List">
    <w:name w:val="List"/>
    <w:basedOn w:val="TextBody"/>
    <w:rsid w:val="0060034c"/>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rsid w:val="0060034c"/>
    <w:pPr>
      <w:suppressLineNumbers/>
      <w:spacing w:lineRule="auto" w:line="259" w:before="0" w:after="160"/>
    </w:pPr>
    <w:rPr>
      <w:rFonts w:ascii="Calibri" w:hAnsi="Calibri" w:eastAsia="Calibri" w:cs="Lohit Devanagari" w:asciiTheme="minorHAnsi" w:eastAsiaTheme="minorHAnsi" w:hAnsiTheme="minorHAnsi"/>
      <w:sz w:val="22"/>
      <w:szCs w:val="22"/>
      <w:lang w:eastAsia="en-US"/>
    </w:rPr>
  </w:style>
  <w:style w:type="paragraph" w:styleId="BalloonText">
    <w:name w:val="Balloon Text"/>
    <w:basedOn w:val="Normal"/>
    <w:link w:val="BalloonTextChar"/>
    <w:uiPriority w:val="99"/>
    <w:semiHidden/>
    <w:unhideWhenUsed/>
    <w:qFormat/>
    <w:rsid w:val="004176fa"/>
    <w:pPr/>
    <w:rPr>
      <w:sz w:val="18"/>
      <w:szCs w:val="18"/>
    </w:rPr>
  </w:style>
  <w:style w:type="paragraph" w:styleId="HeaderandFooter">
    <w:name w:val="Header and Footer"/>
    <w:basedOn w:val="Normal"/>
    <w:qFormat/>
    <w:pPr/>
    <w:rPr/>
  </w:style>
  <w:style w:type="paragraph" w:styleId="Header">
    <w:name w:val="Header"/>
    <w:basedOn w:val="Normal"/>
    <w:link w:val="HeaderChar"/>
    <w:uiPriority w:val="99"/>
    <w:unhideWhenUsed/>
    <w:rsid w:val="0060034c"/>
    <w:pPr>
      <w:tabs>
        <w:tab w:val="clear" w:pos="720"/>
        <w:tab w:val="center" w:pos="4703" w:leader="none"/>
        <w:tab w:val="right" w:pos="9406" w:leader="none"/>
      </w:tabs>
    </w:pPr>
    <w:rPr>
      <w:rFonts w:ascii="Calibri" w:hAnsi="Calibri" w:eastAsia="Calibri" w:cs="" w:asciiTheme="minorHAnsi" w:cstheme="minorBidi" w:eastAsiaTheme="minorHAnsi" w:hAnsiTheme="minorHAnsi"/>
      <w:sz w:val="22"/>
      <w:lang w:eastAsia="en-US"/>
    </w:rPr>
  </w:style>
  <w:style w:type="paragraph" w:styleId="Footer">
    <w:name w:val="Footer"/>
    <w:basedOn w:val="Normal"/>
    <w:link w:val="FooterChar"/>
    <w:uiPriority w:val="99"/>
    <w:unhideWhenUsed/>
    <w:rsid w:val="0060034c"/>
    <w:pPr>
      <w:tabs>
        <w:tab w:val="clear" w:pos="720"/>
        <w:tab w:val="center" w:pos="4703" w:leader="none"/>
        <w:tab w:val="right" w:pos="9406" w:leader="none"/>
      </w:tabs>
    </w:pPr>
    <w:rPr>
      <w:rFonts w:ascii="Calibri" w:hAnsi="Calibri" w:eastAsia="Calibri" w:cs="" w:asciiTheme="minorHAnsi" w:cstheme="minorBidi" w:eastAsiaTheme="minorHAnsi" w:hAnsiTheme="minorHAnsi"/>
      <w:sz w:val="22"/>
      <w:lang w:eastAsia="en-US"/>
    </w:rPr>
  </w:style>
  <w:style w:type="paragraph" w:styleId="Annotationtext">
    <w:name w:val="annotation text"/>
    <w:basedOn w:val="Normal"/>
    <w:link w:val="CommentTextChar"/>
    <w:uiPriority w:val="99"/>
    <w:unhideWhenUsed/>
    <w:qFormat/>
    <w:rsid w:val="0060034c"/>
    <w:pPr>
      <w:spacing w:before="0" w:after="160"/>
    </w:pPr>
    <w:rPr>
      <w:rFonts w:ascii="Calibri" w:hAnsi="Calibri" w:eastAsia="Calibri" w:cs="" w:asciiTheme="minorHAnsi" w:cstheme="minorBidi" w:eastAsiaTheme="minorHAnsi" w:hAnsiTheme="minorHAnsi"/>
      <w:sz w:val="20"/>
      <w:szCs w:val="20"/>
      <w:lang w:eastAsia="en-US"/>
    </w:rPr>
  </w:style>
  <w:style w:type="paragraph" w:styleId="Annotationsubject">
    <w:name w:val="annotation subject"/>
    <w:basedOn w:val="Annotationtext"/>
    <w:link w:val="CommentSubjectChar"/>
    <w:uiPriority w:val="99"/>
    <w:semiHidden/>
    <w:unhideWhenUsed/>
    <w:qFormat/>
    <w:rsid w:val="0060034c"/>
    <w:pPr/>
    <w:rPr>
      <w:b/>
      <w:bCs/>
    </w:rPr>
  </w:style>
  <w:style w:type="paragraph" w:styleId="CitaviBibliographyEntry" w:customStyle="1">
    <w:name w:val="Citavi Bibliography Entry"/>
    <w:basedOn w:val="Normal"/>
    <w:link w:val="CitaviBibliographyEntryZchn"/>
    <w:uiPriority w:val="99"/>
    <w:qFormat/>
    <w:rsid w:val="0060034c"/>
    <w:pPr>
      <w:tabs>
        <w:tab w:val="clear" w:pos="720"/>
        <w:tab w:val="left" w:pos="340" w:leader="none"/>
      </w:tabs>
      <w:spacing w:lineRule="auto" w:line="259" w:before="0" w:after="120"/>
      <w:ind w:left="340" w:hanging="340"/>
    </w:pPr>
    <w:rPr>
      <w:rFonts w:ascii="Calibri" w:hAnsi="Calibri" w:eastAsia="Calibri" w:cs="" w:asciiTheme="minorHAnsi" w:cstheme="minorBidi" w:eastAsiaTheme="minorHAnsi" w:hAnsiTheme="minorHAnsi"/>
      <w:sz w:val="22"/>
      <w:lang w:eastAsia="en-US"/>
    </w:rPr>
  </w:style>
  <w:style w:type="paragraph" w:styleId="CitaviBibliographyHeading" w:customStyle="1">
    <w:name w:val="Citavi Bibliography Heading"/>
    <w:basedOn w:val="Heading1"/>
    <w:link w:val="CitaviBibliographyHeadingZchn"/>
    <w:uiPriority w:val="99"/>
    <w:qFormat/>
    <w:rsid w:val="0060034c"/>
    <w:pPr/>
    <w:rPr/>
  </w:style>
  <w:style w:type="paragraph" w:styleId="CitaviChapterBibliographyHeading" w:customStyle="1">
    <w:name w:val="Citavi Chapter Bibliography Heading"/>
    <w:basedOn w:val="Heading2"/>
    <w:link w:val="CitaviChapterBibliographyHeadingZchn"/>
    <w:uiPriority w:val="99"/>
    <w:qFormat/>
    <w:rsid w:val="0060034c"/>
    <w:pPr/>
    <w:rPr/>
  </w:style>
  <w:style w:type="paragraph" w:styleId="CitaviBibliographySubheading1" w:customStyle="1">
    <w:name w:val="Citavi Bibliography Subheading 1"/>
    <w:basedOn w:val="Heading2"/>
    <w:link w:val="CitaviBibliographySubheading1Zchn"/>
    <w:uiPriority w:val="99"/>
    <w:qFormat/>
    <w:rsid w:val="0060034c"/>
    <w:pPr>
      <w:spacing w:lineRule="auto" w:line="360"/>
    </w:pPr>
    <w:rPr>
      <w:rFonts w:cs="Calibri" w:cstheme="minorHAnsi"/>
    </w:rPr>
  </w:style>
  <w:style w:type="paragraph" w:styleId="CitaviBibliographySubheading2" w:customStyle="1">
    <w:name w:val="Citavi Bibliography Subheading 2"/>
    <w:basedOn w:val="Heading3"/>
    <w:link w:val="CitaviBibliographySubheading2Zchn"/>
    <w:uiPriority w:val="99"/>
    <w:qFormat/>
    <w:rsid w:val="0060034c"/>
    <w:pPr>
      <w:spacing w:lineRule="auto" w:line="360" w:before="140" w:after="0"/>
    </w:pPr>
    <w:rPr>
      <w:rFonts w:cs="Calibri" w:cstheme="minorHAnsi"/>
    </w:rPr>
  </w:style>
  <w:style w:type="paragraph" w:styleId="CitaviBibliographySubheading3" w:customStyle="1">
    <w:name w:val="Citavi Bibliography Subheading 3"/>
    <w:basedOn w:val="Heading4"/>
    <w:link w:val="CitaviBibliographySubheading3Zchn"/>
    <w:uiPriority w:val="99"/>
    <w:qFormat/>
    <w:rsid w:val="0060034c"/>
    <w:pPr>
      <w:spacing w:lineRule="auto" w:line="360"/>
    </w:pPr>
    <w:rPr>
      <w:rFonts w:cs="Calibri" w:cstheme="minorHAnsi"/>
      <w:szCs w:val="24"/>
    </w:rPr>
  </w:style>
  <w:style w:type="paragraph" w:styleId="CitaviBibliographySubheading4" w:customStyle="1">
    <w:name w:val="Citavi Bibliography Subheading 4"/>
    <w:basedOn w:val="Heading5"/>
    <w:link w:val="CitaviBibliographySubheading4Zchn"/>
    <w:uiPriority w:val="99"/>
    <w:qFormat/>
    <w:rsid w:val="0060034c"/>
    <w:pPr>
      <w:spacing w:lineRule="auto" w:line="360"/>
    </w:pPr>
    <w:rPr>
      <w:rFonts w:cs="Calibri" w:cstheme="minorHAnsi"/>
      <w:szCs w:val="24"/>
    </w:rPr>
  </w:style>
  <w:style w:type="paragraph" w:styleId="CitaviBibliographySubheading5" w:customStyle="1">
    <w:name w:val="Citavi Bibliography Subheading 5"/>
    <w:basedOn w:val="Heading6"/>
    <w:link w:val="CitaviBibliographySubheading5Zchn"/>
    <w:uiPriority w:val="99"/>
    <w:qFormat/>
    <w:rsid w:val="0060034c"/>
    <w:pPr>
      <w:spacing w:lineRule="auto" w:line="360"/>
    </w:pPr>
    <w:rPr>
      <w:rFonts w:cs="Calibri" w:cstheme="minorHAnsi"/>
      <w:szCs w:val="24"/>
    </w:rPr>
  </w:style>
  <w:style w:type="paragraph" w:styleId="CitaviBibliographySubheading6" w:customStyle="1">
    <w:name w:val="Citavi Bibliography Subheading 6"/>
    <w:basedOn w:val="Heading7"/>
    <w:link w:val="CitaviBibliographySubheading6Zchn"/>
    <w:uiPriority w:val="99"/>
    <w:qFormat/>
    <w:rsid w:val="0060034c"/>
    <w:pPr>
      <w:spacing w:lineRule="auto" w:line="360"/>
    </w:pPr>
    <w:rPr>
      <w:rFonts w:cs="Calibri" w:cstheme="minorHAnsi"/>
      <w:szCs w:val="24"/>
    </w:rPr>
  </w:style>
  <w:style w:type="paragraph" w:styleId="CitaviBibliographySubheading7" w:customStyle="1">
    <w:name w:val="Citavi Bibliography Subheading 7"/>
    <w:basedOn w:val="Heading8"/>
    <w:link w:val="CitaviBibliographySubheading7Zchn"/>
    <w:uiPriority w:val="99"/>
    <w:qFormat/>
    <w:rsid w:val="0060034c"/>
    <w:pPr>
      <w:spacing w:lineRule="auto" w:line="360"/>
    </w:pPr>
    <w:rPr>
      <w:rFonts w:cs="Calibri" w:cstheme="minorHAnsi"/>
    </w:rPr>
  </w:style>
  <w:style w:type="paragraph" w:styleId="CitaviBibliographySubheading8" w:customStyle="1">
    <w:name w:val="Citavi Bibliography Subheading 8"/>
    <w:basedOn w:val="Heading9"/>
    <w:link w:val="CitaviBibliographySubheading8Zchn"/>
    <w:uiPriority w:val="99"/>
    <w:qFormat/>
    <w:rsid w:val="0060034c"/>
    <w:pPr>
      <w:spacing w:lineRule="auto" w:line="360"/>
    </w:pPr>
    <w:rPr>
      <w:rFonts w:cs="Calibri" w:cstheme="minorHAnsi"/>
    </w:rPr>
  </w:style>
  <w:style w:type="paragraph" w:styleId="Caption1">
    <w:name w:val="caption"/>
    <w:basedOn w:val="Normal"/>
    <w:uiPriority w:val="35"/>
    <w:unhideWhenUsed/>
    <w:qFormat/>
    <w:rsid w:val="0060034c"/>
    <w:pPr>
      <w:spacing w:before="0" w:after="200"/>
    </w:pPr>
    <w:rPr>
      <w:rFonts w:ascii="Calibri" w:hAnsi="Calibri" w:eastAsia="Calibri" w:cs="" w:asciiTheme="minorHAnsi" w:cstheme="minorBidi" w:eastAsiaTheme="minorHAnsi" w:hAnsiTheme="minorHAnsi"/>
      <w:i/>
      <w:iCs/>
      <w:color w:val="44546A" w:themeColor="text2"/>
      <w:sz w:val="18"/>
      <w:szCs w:val="18"/>
      <w:lang w:eastAsia="en-US"/>
    </w:rPr>
  </w:style>
  <w:style w:type="paragraph" w:styleId="Standard1" w:customStyle="1">
    <w:name w:val="Standard1"/>
    <w:qFormat/>
    <w:rsid w:val="0060034c"/>
    <w:pPr>
      <w:widowControl/>
      <w:suppressAutoHyphens w:val="true"/>
      <w:bidi w:val="0"/>
      <w:spacing w:before="0" w:after="0"/>
      <w:jc w:val="left"/>
      <w:textAlignment w:val="baseline"/>
    </w:pPr>
    <w:rPr>
      <w:rFonts w:ascii="Liberation Serif" w:hAnsi="Liberation Serif" w:eastAsia="AR PL SungtiL GB" w:cs="Lohit Devanagari"/>
      <w:color w:val="auto"/>
      <w:kern w:val="2"/>
      <w:sz w:val="24"/>
      <w:szCs w:val="24"/>
      <w:lang w:val="en-US" w:eastAsia="zh-CN" w:bidi="hi-IN"/>
    </w:rPr>
  </w:style>
  <w:style w:type="paragraph" w:styleId="Revision">
    <w:name w:val="Revision"/>
    <w:uiPriority w:val="99"/>
    <w:semiHidden/>
    <w:qFormat/>
    <w:rsid w:val="0060034c"/>
    <w:pPr>
      <w:widowControl/>
      <w:suppressAutoHyphens w:val="true"/>
      <w:bidi w:val="0"/>
      <w:spacing w:before="0" w:after="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Aff" w:customStyle="1">
    <w:name w:val="aff"/>
    <w:basedOn w:val="Normal"/>
    <w:uiPriority w:val="99"/>
    <w:qFormat/>
    <w:rsid w:val="0060034c"/>
    <w:pPr>
      <w:spacing w:lineRule="atLeast" w:line="480" w:before="0" w:after="240"/>
    </w:pPr>
    <w:rPr>
      <w:i/>
      <w:szCs w:val="20"/>
      <w:lang w:val="en-GB" w:eastAsia="en-US"/>
    </w:rPr>
  </w:style>
  <w:style w:type="paragraph" w:styleId="Textbody1" w:customStyle="1">
    <w:name w:val="Text body"/>
    <w:basedOn w:val="Normal"/>
    <w:qFormat/>
    <w:rsid w:val="0060034c"/>
    <w:pPr>
      <w:suppressAutoHyphens w:val="true"/>
      <w:spacing w:lineRule="auto" w:line="276" w:before="0" w:after="140"/>
      <w:textAlignment w:val="baseline"/>
    </w:pPr>
    <w:rPr>
      <w:rFonts w:ascii="Liberation Serif" w:hAnsi="Liberation Serif" w:eastAsia="AR PL SungtiL GB" w:cs="Lohit Devanagari"/>
      <w:kern w:val="2"/>
      <w:lang w:eastAsia="zh-CN" w:bidi="hi-IN"/>
    </w:rPr>
  </w:style>
  <w:style w:type="paragraph" w:styleId="NormalWeb">
    <w:name w:val="Normal (Web)"/>
    <w:basedOn w:val="Normal"/>
    <w:uiPriority w:val="99"/>
    <w:unhideWhenUsed/>
    <w:qFormat/>
    <w:rsid w:val="0060034c"/>
    <w:pPr>
      <w:spacing w:beforeAutospacing="1" w:afterAutospacing="1"/>
    </w:pPr>
    <w:rPr/>
  </w:style>
  <w:style w:type="paragraph" w:styleId="ListParagraph">
    <w:name w:val="List Paragraph"/>
    <w:basedOn w:val="Normal"/>
    <w:uiPriority w:val="34"/>
    <w:qFormat/>
    <w:rsid w:val="0060034c"/>
    <w:pPr>
      <w:spacing w:lineRule="auto" w:line="259" w:before="0" w:after="160"/>
      <w:ind w:left="720" w:hanging="0"/>
      <w:contextualSpacing/>
    </w:pPr>
    <w:rPr>
      <w:rFonts w:ascii="Calibri" w:hAnsi="Calibri" w:eastAsia="Calibri" w:cs="" w:asciiTheme="minorHAnsi" w:cstheme="minorBidi" w:eastAsiaTheme="minorHAnsi" w:hAnsiTheme="minorHAnsi"/>
      <w:sz w:val="22"/>
      <w:szCs w:val="22"/>
      <w:lang w:eastAsia="en-US"/>
    </w:rPr>
  </w:style>
  <w:style w:type="paragraph" w:styleId="NoSpacing">
    <w:name w:val="No Spacing"/>
    <w:uiPriority w:val="1"/>
    <w:qFormat/>
    <w:rsid w:val="0060034c"/>
    <w:pPr>
      <w:widowControl/>
      <w:suppressAutoHyphens w:val="true"/>
      <w:bidi w:val="0"/>
      <w:spacing w:before="0" w:after="0"/>
      <w:jc w:val="left"/>
    </w:pPr>
    <w:rPr>
      <w:rFonts w:ascii="Calibri" w:hAnsi="Calibri" w:eastAsia="Calibri" w:cs="" w:asciiTheme="minorHAnsi" w:cstheme="minorBidi" w:eastAsiaTheme="minorHAnsi" w:hAnsiTheme="minorHAnsi"/>
      <w:color w:val="auto"/>
      <w:kern w:val="0"/>
      <w:sz w:val="22"/>
      <w:szCs w:val="22"/>
      <w:lang w:val="es-ES" w:eastAsia="en-US" w:bidi="ar-SA"/>
    </w:rPr>
  </w:style>
  <w:style w:type="paragraph" w:styleId="Footnote">
    <w:name w:val="Footnote Text"/>
    <w:basedOn w:val="Normal"/>
    <w:link w:val="FootnoteTextChar"/>
    <w:uiPriority w:val="99"/>
    <w:semiHidden/>
    <w:unhideWhenUsed/>
    <w:rsid w:val="0060034c"/>
    <w:pPr/>
    <w:rPr>
      <w:rFonts w:ascii="Calibri" w:hAnsi="Calibri" w:eastAsia="Calibri" w:cs="" w:asciiTheme="minorHAnsi" w:cstheme="minorBidi" w:eastAsiaTheme="minorHAnsi" w:hAnsiTheme="minorHAnsi"/>
      <w:sz w:val="20"/>
      <w:szCs w:val="20"/>
      <w:lang w:eastAsia="en-US"/>
    </w:rPr>
  </w:style>
  <w:style w:type="paragraph" w:styleId="Acknowledgement" w:customStyle="1">
    <w:name w:val="Acknowledgement"/>
    <w:basedOn w:val="Normal"/>
    <w:qFormat/>
    <w:rsid w:val="0060034c"/>
    <w:pPr>
      <w:spacing w:before="120" w:after="0"/>
      <w:ind w:left="720" w:hanging="720"/>
    </w:pPr>
    <w:rPr>
      <w:lang w:eastAsia="en-US"/>
    </w:rPr>
  </w:style>
  <w:style w:type="paragraph" w:styleId="Standard" w:customStyle="1">
    <w:name w:val="Standard"/>
    <w:qFormat/>
    <w:rsid w:val="0060034c"/>
    <w:pPr>
      <w:widowControl/>
      <w:suppressAutoHyphens w:val="true"/>
      <w:bidi w:val="0"/>
      <w:spacing w:before="0" w:after="0"/>
      <w:jc w:val="left"/>
    </w:pPr>
    <w:rPr>
      <w:rFonts w:ascii="Liberation Serif" w:hAnsi="Liberation Serif" w:eastAsia="AR PL SungtiL GB" w:cs="Lohit Devanagari"/>
      <w:color w:val="auto"/>
      <w:kern w:val="2"/>
      <w:sz w:val="24"/>
      <w:szCs w:val="24"/>
      <w:lang w:val="en-US" w:eastAsia="zh-CN" w:bidi="hi-IN"/>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customStyle="1" w:styleId="Tablanormal41">
    <w:name w:val="Tabla normal 41"/>
    <w:basedOn w:val="TableNormal"/>
    <w:uiPriority w:val="44"/>
    <w:rsid w:val="0060034c"/>
    <w:tblPr>
      <w:tblStyleRowBandSize w:val="1"/>
      <w:tblStyleColBandSize w:val="1"/>
    </w:tblPr>
    <w:tblStylePr w:type="firstRow">
      <w:rPr>
        <w:b/>
        <w:bCs/>
      </w:rPr>
      <w:tblPr/>
    </w:tblStylePr>
    <w:tblStylePr w:type="lastRow">
      <w:rPr>
        <w:b/>
        <w:bCs/>
      </w:rPr>
      <w:tblPr/>
    </w:tblStylePr>
    <w:tblStylePr w:type="firstCol">
      <w:rPr>
        <w:b/>
        <w:bCs/>
      </w:rPr>
      <w:tblPr/>
    </w:tblStylePr>
    <w:tblStylePr w:type="lastCol">
      <w:rPr>
        <w:b/>
        <w:bCs/>
      </w:rPr>
      <w:tbl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60034c"/>
    <w:rPr>
      <w:sz w:val="20"/>
      <w:szCs w:val="22"/>
    </w:rPr>
    <w:tblPr>
      <w:tblStyleRowBandSize w:val="1"/>
      <w:tblStyleColBandSize w:val="1"/>
    </w:tblPr>
    <w:tblStylePr w:type="firstRow">
      <w:rPr>
        <w:b/>
        <w:bCs/>
      </w:rPr>
      <w:tblPr/>
    </w:tblStylePr>
    <w:tblStylePr w:type="lastRow">
      <w:rPr>
        <w:b/>
        <w:bCs/>
      </w:rPr>
      <w:tblPr/>
    </w:tblStylePr>
    <w:tblStylePr w:type="firstCol">
      <w:rPr>
        <w:b/>
        <w:bCs/>
      </w:rPr>
      <w:tblPr/>
    </w:tblStylePr>
    <w:tblStylePr w:type="lastCol">
      <w:rPr>
        <w:b/>
        <w:bCs/>
      </w:rPr>
      <w:tbl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tif"/><Relationship Id="rId9" Type="http://schemas.openxmlformats.org/officeDocument/2006/relationships/image" Target="media/image8.tif"/><Relationship Id="rId10" Type="http://schemas.openxmlformats.org/officeDocument/2006/relationships/image" Target="media/image9.tif"/><Relationship Id="rId11" Type="http://schemas.openxmlformats.org/officeDocument/2006/relationships/image" Target="media/image10.png"/><Relationship Id="rId12" Type="http://schemas.openxmlformats.org/officeDocument/2006/relationships/image" Target="media/image11.jpeg"/><Relationship Id="rId13" Type="http://schemas.openxmlformats.org/officeDocument/2006/relationships/image" Target="media/image12.png"/><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Relationship Id="rId18"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A7C5B-AE20-4C6A-B61E-1A55E0108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Application>LibreOffice/6.4.7.2$Linux_X86_64 LibreOffice_project/40$Build-2</Application>
  <Pages>15</Pages>
  <Words>1691</Words>
  <Characters>8599</Characters>
  <CharactersWithSpaces>10035</CharactersWithSpaces>
  <Paragraphs>343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2022-07-27T07:29:00Z</dcterms:created>
  <dc:creator>AF</dc:creator>
  <dc:description/>
  <dc:language>en-US</dc:language>
  <cp:lastModifiedBy>Lasse Sprankel</cp:lastModifiedBy>
  <dcterms:modified xsi:type="dcterms:W3CDTF">2022-08-26T10:27:32Z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