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172" w:rsidRDefault="00F64172" w:rsidP="00F64172">
      <w:pPr>
        <w:pStyle w:val="Ttulo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Appendix </w:t>
      </w:r>
    </w:p>
    <w:p w:rsidR="00F64172" w:rsidRPr="008D39CD" w:rsidRDefault="00F64172" w:rsidP="00F64172">
      <w:pPr>
        <w:pStyle w:val="Ttulo1"/>
        <w:spacing w:after="120"/>
        <w:rPr>
          <w:color w:val="auto"/>
          <w:lang w:val="en-GB"/>
        </w:rPr>
      </w:pPr>
      <w:bookmarkStart w:id="0" w:name="_Toc5018637"/>
      <w:bookmarkStart w:id="1" w:name="_Toc5196649"/>
      <w:bookmarkStart w:id="2" w:name="_Toc13481279"/>
      <w:r w:rsidRPr="008D39CD">
        <w:rPr>
          <w:color w:val="auto"/>
          <w:lang w:val="en-GB"/>
        </w:rPr>
        <w:t>Geriatric scores can predict long-term survival rate after hip fracture surgery.</w:t>
      </w:r>
      <w:bookmarkEnd w:id="0"/>
      <w:bookmarkEnd w:id="1"/>
      <w:bookmarkEnd w:id="2"/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id w:val="1094135688"/>
        <w:docPartObj>
          <w:docPartGallery w:val="Table of Contents"/>
          <w:docPartUnique/>
        </w:docPartObj>
      </w:sdtPr>
      <w:sdtEndPr/>
      <w:sdtContent>
        <w:p w:rsidR="008D39CD" w:rsidRDefault="008D39CD" w:rsidP="008D39CD">
          <w:pPr>
            <w:pStyle w:val="TtuloTDC"/>
          </w:pPr>
          <w:r w:rsidRPr="008D39CD">
            <w:rPr>
              <w:lang w:val="en-GB"/>
            </w:rPr>
            <w:t>Contents</w:t>
          </w:r>
        </w:p>
        <w:p w:rsidR="007F1297" w:rsidRDefault="007F1297" w:rsidP="007F1297">
          <w:pPr>
            <w:pStyle w:val="TDC1"/>
            <w:rPr>
              <w:noProof/>
              <w:lang w:eastAsia="es-ES"/>
            </w:rPr>
          </w:pPr>
          <w:r>
            <w:t xml:space="preserve">     </w:t>
          </w:r>
          <w:r w:rsidR="008D39CD">
            <w:fldChar w:fldCharType="begin"/>
          </w:r>
          <w:r w:rsidR="008D39CD">
            <w:instrText xml:space="preserve"> TOC \o "1-3" \h \z \u </w:instrText>
          </w:r>
          <w:r w:rsidR="008D39CD">
            <w:fldChar w:fldCharType="separate"/>
          </w:r>
          <w:hyperlink w:anchor="_Toc13481280" w:history="1">
            <w:r w:rsidRPr="00D95047">
              <w:rPr>
                <w:rStyle w:val="Hipervnculo"/>
                <w:noProof/>
                <w:lang w:val="en-US"/>
              </w:rPr>
              <w:t>Table 1. Descriptive analysis for geriatric scores studied. Survival outcomes and estimation.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_Toc13481280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1297" w:rsidRDefault="00E27B86" w:rsidP="007F1297">
          <w:pPr>
            <w:pStyle w:val="TDC2"/>
            <w:tabs>
              <w:tab w:val="right" w:leader="dot" w:pos="8494"/>
            </w:tabs>
            <w:rPr>
              <w:noProof/>
              <w:lang w:eastAsia="es-ES"/>
            </w:rPr>
          </w:pPr>
          <w:hyperlink w:anchor="_Toc13481281" w:history="1">
            <w:r w:rsidR="007F1297" w:rsidRPr="00D95047">
              <w:rPr>
                <w:rStyle w:val="Hipervnculo"/>
                <w:noProof/>
                <w:lang w:val="en-US"/>
              </w:rPr>
              <w:t>Table 2. Lawton-Brody Index frequencies by gender of the patient</w:t>
            </w:r>
            <w:r w:rsidR="007F1297">
              <w:rPr>
                <w:noProof/>
                <w:webHidden/>
              </w:rPr>
              <w:tab/>
            </w:r>
            <w:r w:rsidR="007F1297">
              <w:rPr>
                <w:noProof/>
                <w:webHidden/>
              </w:rPr>
              <w:fldChar w:fldCharType="begin"/>
            </w:r>
            <w:r w:rsidR="007F1297">
              <w:rPr>
                <w:noProof/>
                <w:webHidden/>
              </w:rPr>
              <w:instrText xml:space="preserve"> PAGEREF _Toc13481281 \h </w:instrText>
            </w:r>
            <w:r w:rsidR="007F1297">
              <w:rPr>
                <w:noProof/>
                <w:webHidden/>
              </w:rPr>
            </w:r>
            <w:r w:rsidR="007F1297">
              <w:rPr>
                <w:noProof/>
                <w:webHidden/>
              </w:rPr>
              <w:fldChar w:fldCharType="separate"/>
            </w:r>
            <w:r w:rsidR="007F1297">
              <w:rPr>
                <w:noProof/>
                <w:webHidden/>
              </w:rPr>
              <w:t>4</w:t>
            </w:r>
            <w:r w:rsidR="007F1297">
              <w:rPr>
                <w:noProof/>
                <w:webHidden/>
              </w:rPr>
              <w:fldChar w:fldCharType="end"/>
            </w:r>
          </w:hyperlink>
        </w:p>
        <w:p w:rsidR="007F1297" w:rsidRDefault="00E27B86" w:rsidP="00886BF0">
          <w:pPr>
            <w:pStyle w:val="TDC2"/>
            <w:tabs>
              <w:tab w:val="right" w:leader="dot" w:pos="8494"/>
            </w:tabs>
            <w:rPr>
              <w:noProof/>
              <w:lang w:eastAsia="es-ES"/>
            </w:rPr>
          </w:pPr>
          <w:hyperlink w:anchor="_Toc13481282" w:history="1">
            <w:r w:rsidR="007F1297" w:rsidRPr="00D95047">
              <w:rPr>
                <w:rStyle w:val="Hipervnculo"/>
                <w:noProof/>
                <w:lang w:val="en-US"/>
              </w:rPr>
              <w:t>Table 3. Inflection points v</w:t>
            </w:r>
            <w:r w:rsidR="00886BF0">
              <w:rPr>
                <w:rStyle w:val="Hipervnculo"/>
                <w:noProof/>
                <w:lang w:val="en-US"/>
              </w:rPr>
              <w:t>alidation. Adjusted HRs</w:t>
            </w:r>
            <w:bookmarkStart w:id="3" w:name="_GoBack"/>
            <w:bookmarkEnd w:id="3"/>
            <w:r w:rsidR="007F1297">
              <w:rPr>
                <w:rStyle w:val="Hipervnculo"/>
                <w:noProof/>
                <w:lang w:val="en-US"/>
              </w:rPr>
              <w:t>.</w:t>
            </w:r>
            <w:r w:rsidR="007F1297">
              <w:rPr>
                <w:noProof/>
                <w:webHidden/>
              </w:rPr>
              <w:tab/>
            </w:r>
            <w:r w:rsidR="007F1297">
              <w:rPr>
                <w:noProof/>
                <w:webHidden/>
              </w:rPr>
              <w:fldChar w:fldCharType="begin"/>
            </w:r>
            <w:r w:rsidR="007F1297">
              <w:rPr>
                <w:noProof/>
                <w:webHidden/>
              </w:rPr>
              <w:instrText xml:space="preserve"> PAGEREF _Toc13481282 \h </w:instrText>
            </w:r>
            <w:r w:rsidR="007F1297">
              <w:rPr>
                <w:noProof/>
                <w:webHidden/>
              </w:rPr>
            </w:r>
            <w:r w:rsidR="007F1297">
              <w:rPr>
                <w:noProof/>
                <w:webHidden/>
              </w:rPr>
              <w:fldChar w:fldCharType="separate"/>
            </w:r>
            <w:r w:rsidR="007F1297">
              <w:rPr>
                <w:noProof/>
                <w:webHidden/>
              </w:rPr>
              <w:t>5</w:t>
            </w:r>
            <w:r w:rsidR="007F1297">
              <w:rPr>
                <w:noProof/>
                <w:webHidden/>
              </w:rPr>
              <w:fldChar w:fldCharType="end"/>
            </w:r>
          </w:hyperlink>
        </w:p>
        <w:p w:rsidR="007F1297" w:rsidRDefault="00E27B86" w:rsidP="007F1297">
          <w:pPr>
            <w:pStyle w:val="TDC2"/>
            <w:tabs>
              <w:tab w:val="right" w:leader="dot" w:pos="8494"/>
            </w:tabs>
            <w:rPr>
              <w:noProof/>
              <w:lang w:eastAsia="es-ES"/>
            </w:rPr>
          </w:pPr>
          <w:hyperlink w:anchor="_Toc13481283" w:history="1">
            <w:r w:rsidR="007F1297" w:rsidRPr="00D95047">
              <w:rPr>
                <w:rStyle w:val="Hipervnculo"/>
                <w:noProof/>
                <w:lang w:val="en-US"/>
              </w:rPr>
              <w:t>Figure 1. Time until first readmission outcome on Katz index cat</w:t>
            </w:r>
            <w:r w:rsidR="007F1297">
              <w:rPr>
                <w:rStyle w:val="Hipervnculo"/>
                <w:noProof/>
                <w:lang w:val="en-US"/>
              </w:rPr>
              <w:t>egories</w:t>
            </w:r>
            <w:r w:rsidR="007F1297">
              <w:rPr>
                <w:noProof/>
                <w:webHidden/>
              </w:rPr>
              <w:tab/>
            </w:r>
            <w:r w:rsidR="007F1297">
              <w:rPr>
                <w:noProof/>
                <w:webHidden/>
              </w:rPr>
              <w:fldChar w:fldCharType="begin"/>
            </w:r>
            <w:r w:rsidR="007F1297">
              <w:rPr>
                <w:noProof/>
                <w:webHidden/>
              </w:rPr>
              <w:instrText xml:space="preserve"> PAGEREF _Toc13481283 \h </w:instrText>
            </w:r>
            <w:r w:rsidR="007F1297">
              <w:rPr>
                <w:noProof/>
                <w:webHidden/>
              </w:rPr>
            </w:r>
            <w:r w:rsidR="007F1297">
              <w:rPr>
                <w:noProof/>
                <w:webHidden/>
              </w:rPr>
              <w:fldChar w:fldCharType="separate"/>
            </w:r>
            <w:r w:rsidR="007F1297">
              <w:rPr>
                <w:noProof/>
                <w:webHidden/>
              </w:rPr>
              <w:t>6</w:t>
            </w:r>
            <w:r w:rsidR="007F1297">
              <w:rPr>
                <w:noProof/>
                <w:webHidden/>
              </w:rPr>
              <w:fldChar w:fldCharType="end"/>
            </w:r>
          </w:hyperlink>
        </w:p>
        <w:p w:rsidR="008D39CD" w:rsidRDefault="008D39CD">
          <w:r>
            <w:rPr>
              <w:b/>
              <w:bCs/>
            </w:rPr>
            <w:fldChar w:fldCharType="end"/>
          </w:r>
        </w:p>
      </w:sdtContent>
    </w:sdt>
    <w:p w:rsidR="008D39CD" w:rsidRDefault="008D39CD">
      <w:pPr>
        <w:rPr>
          <w:lang w:val="en-GB"/>
        </w:rPr>
      </w:pPr>
      <w:r>
        <w:rPr>
          <w:lang w:val="en-GB"/>
        </w:rPr>
        <w:br w:type="page"/>
      </w:r>
    </w:p>
    <w:p w:rsidR="00AF02B7" w:rsidRPr="008D39CD" w:rsidRDefault="00AF02B7" w:rsidP="008D39CD">
      <w:pPr>
        <w:pStyle w:val="Ttulo2"/>
        <w:rPr>
          <w:b w:val="0"/>
          <w:bCs w:val="0"/>
          <w:color w:val="auto"/>
          <w:lang w:val="en-US"/>
        </w:rPr>
      </w:pPr>
      <w:bookmarkStart w:id="4" w:name="_Toc13481280"/>
      <w:r w:rsidRPr="008D39CD">
        <w:rPr>
          <w:b w:val="0"/>
          <w:bCs w:val="0"/>
          <w:color w:val="auto"/>
          <w:lang w:val="en-US"/>
        </w:rPr>
        <w:lastRenderedPageBreak/>
        <w:t>Table 1. Descriptive analysis for geriatric scores studied. Survival outcomes and estimation.</w:t>
      </w:r>
      <w:bookmarkEnd w:id="4"/>
    </w:p>
    <w:tbl>
      <w:tblPr>
        <w:tblStyle w:val="Tabladecuadrcula1clara"/>
        <w:tblW w:w="5000" w:type="pct"/>
        <w:tblLook w:val="04A0" w:firstRow="1" w:lastRow="0" w:firstColumn="1" w:lastColumn="0" w:noHBand="0" w:noVBand="1"/>
      </w:tblPr>
      <w:tblGrid>
        <w:gridCol w:w="1683"/>
        <w:gridCol w:w="1684"/>
        <w:gridCol w:w="1685"/>
        <w:gridCol w:w="1757"/>
        <w:gridCol w:w="1685"/>
      </w:tblGrid>
      <w:tr w:rsidR="00AF02B7" w:rsidRPr="00F64172" w:rsidTr="00F64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vMerge w:val="restar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991" w:type="pct"/>
            <w:vMerge w:val="restar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Frequency</w:t>
            </w:r>
          </w:p>
        </w:tc>
        <w:tc>
          <w:tcPr>
            <w:tcW w:w="2026" w:type="pct"/>
            <w:gridSpan w:val="2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Survival rate (months)</w:t>
            </w:r>
          </w:p>
        </w:tc>
        <w:tc>
          <w:tcPr>
            <w:tcW w:w="992" w:type="pct"/>
            <w:vMerge w:val="restar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KM estimation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(months)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[95% CI]</w:t>
            </w:r>
          </w:p>
        </w:tc>
      </w:tr>
      <w:tr w:rsidR="00AF02B7" w:rsidRPr="00F64172" w:rsidTr="00F64172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vMerge/>
            <w:tcBorders>
              <w:bottom w:val="single" w:sz="12" w:space="0" w:color="666666" w:themeColor="text1" w:themeTint="99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991" w:type="pct"/>
            <w:vMerge/>
            <w:tcBorders>
              <w:bottom w:val="single" w:sz="12" w:space="0" w:color="666666" w:themeColor="text1" w:themeTint="99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  <w:tc>
          <w:tcPr>
            <w:tcW w:w="992" w:type="pct"/>
            <w:tcBorders>
              <w:bottom w:val="single" w:sz="12" w:space="0" w:color="666666" w:themeColor="text1" w:themeTint="99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Mean ± SD</w:t>
            </w:r>
          </w:p>
        </w:tc>
        <w:tc>
          <w:tcPr>
            <w:tcW w:w="1034" w:type="pct"/>
            <w:tcBorders>
              <w:bottom w:val="single" w:sz="12" w:space="0" w:color="666666" w:themeColor="text1" w:themeTint="99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Median[Q1,</w:t>
            </w:r>
            <w:r w:rsidR="00626F41">
              <w:rPr>
                <w:rFonts w:asciiTheme="majorBidi" w:hAnsiTheme="majorBidi" w:cstheme="majorBidi"/>
                <w:sz w:val="22"/>
                <w:szCs w:val="22"/>
                <w:lang w:val="en-US"/>
              </w:rPr>
              <w:t xml:space="preserve"> </w:t>
            </w: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Q3]</w:t>
            </w:r>
          </w:p>
        </w:tc>
        <w:tc>
          <w:tcPr>
            <w:tcW w:w="992" w:type="pct"/>
            <w:vMerge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BARTHEL INDEX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top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Independent (100)</w:t>
            </w:r>
          </w:p>
        </w:tc>
        <w:tc>
          <w:tcPr>
            <w:tcW w:w="991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21.3%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(n=44)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40.27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±17.66</w:t>
            </w:r>
          </w:p>
        </w:tc>
        <w:tc>
          <w:tcPr>
            <w:tcW w:w="1034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47.5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[37.3,52.8]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47.7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[43.4,52.0]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Slight dependence (60-95)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54.6%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(n=113)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32.13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±19.14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[11.5,49.5]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36.0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[32.1,39.9]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Moderate dependence (40-55)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13.5%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(n=28)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21.21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±19.48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13.5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[3,44]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[16.9,32.5]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Severe dependence (20-35)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9.7%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26.0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±21.33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[1.25,47]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30.3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[21.0,39.7]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bottom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Complete dependence (&lt;20)</w:t>
            </w:r>
          </w:p>
        </w:tc>
        <w:tc>
          <w:tcPr>
            <w:tcW w:w="991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1.0%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(n=2)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±0.71</w:t>
            </w:r>
          </w:p>
        </w:tc>
        <w:tc>
          <w:tcPr>
            <w:tcW w:w="1034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[0,1]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0.5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[0,1.5]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KATZ INDEX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top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A</w:t>
            </w:r>
          </w:p>
        </w:tc>
        <w:tc>
          <w:tcPr>
            <w:tcW w:w="991" w:type="pct"/>
            <w:tcBorders>
              <w:top w:val="single" w:sz="12" w:space="0" w:color="7F7F7F" w:themeColor="text1" w:themeTint="80"/>
            </w:tcBorders>
            <w:vAlign w:val="center"/>
          </w:tcPr>
          <w:p w:rsid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31.4%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(n=65)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39.37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±17.11</w:t>
            </w:r>
          </w:p>
        </w:tc>
        <w:tc>
          <w:tcPr>
            <w:tcW w:w="1034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47 [35.5,52]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46.2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[42.3,50.1]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B</w:t>
            </w:r>
          </w:p>
        </w:tc>
        <w:tc>
          <w:tcPr>
            <w:tcW w:w="991" w:type="pct"/>
            <w:vAlign w:val="center"/>
          </w:tcPr>
          <w:p w:rsid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20.3%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(n=42)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35.64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±17.70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[25,50.3]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39.0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[33.4,44.6]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C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14.5%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(n=30)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24.60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±19.39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18.5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[6.3,46]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26.9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[19.4,34.4]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D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13.5%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(n=28)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20.46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±21.27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7.5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[2,45.5]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[16.5,33.9]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E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11.6%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(n=24)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±20.20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[6,47]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31.2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[22.7,39.4]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F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6.8%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(n=14)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25.36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±20.85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[0.8,53]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[14.9,36.4]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bottom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G</w:t>
            </w:r>
          </w:p>
        </w:tc>
        <w:tc>
          <w:tcPr>
            <w:tcW w:w="991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(n=4)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37.0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±24.43</w:t>
            </w:r>
          </w:p>
        </w:tc>
        <w:tc>
          <w:tcPr>
            <w:tcW w:w="1034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46.5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[11.5,53]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[18.3,63,2]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vAlign w:val="center"/>
          </w:tcPr>
          <w:p w:rsidR="008D39CD" w:rsidRDefault="008D39CD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lastRenderedPageBreak/>
              <w:t>LAWTON-BRODY INDEX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top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lastRenderedPageBreak/>
              <w:t>0</w:t>
            </w:r>
          </w:p>
        </w:tc>
        <w:tc>
          <w:tcPr>
            <w:tcW w:w="991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22.7%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(n=47)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22.26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±20.85</w:t>
            </w:r>
          </w:p>
        </w:tc>
        <w:tc>
          <w:tcPr>
            <w:tcW w:w="1034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[2,45]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[19.3,32.3]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1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19.3%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(n=40)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31.05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±19.12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34.5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[12.3,48.8]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35.3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[29.2,41.5]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14.5%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(n=30)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25.17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±19.56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[5,43.25]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[20.1,35.3]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3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9.7%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(n=20)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32.5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±20.32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[12,50.75]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36.4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[26.7,46.0]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4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(n=6)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41.17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±13.81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[26.5,54.3]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42.0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[31.3,52.7]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5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(n=6)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39.17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±14.78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41.5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[30,52]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[29.2,52.1]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6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8.2%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(n=17)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41.0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±14.54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[33.5,51.5]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tabs>
                <w:tab w:val="left" w:pos="915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43.4</w:t>
            </w:r>
          </w:p>
          <w:p w:rsidR="00AF02B7" w:rsidRPr="00F64172" w:rsidRDefault="00AF02B7" w:rsidP="00F64172">
            <w:pPr>
              <w:tabs>
                <w:tab w:val="left" w:pos="915"/>
              </w:tabs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[36.0,50.7]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7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8.2%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(n=17)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39.29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±18.29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[31,53.5]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48.1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[41.4,54.8]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bottom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8</w:t>
            </w:r>
          </w:p>
        </w:tc>
        <w:tc>
          <w:tcPr>
            <w:tcW w:w="991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11.6%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(n=24)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40.75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±18.02</w:t>
            </w:r>
          </w:p>
        </w:tc>
        <w:tc>
          <w:tcPr>
            <w:tcW w:w="1034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48.5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[39,52]</w:t>
            </w:r>
          </w:p>
        </w:tc>
        <w:tc>
          <w:tcPr>
            <w:tcW w:w="992" w:type="pct"/>
            <w:tcBorders>
              <w:bottom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50.5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[33.2,39.0]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PHYSICAL RED CROSS SCALE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  <w:tcBorders>
              <w:top w:val="single" w:sz="12" w:space="0" w:color="7F7F7F" w:themeColor="text1" w:themeTint="80"/>
            </w:tcBorders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0</w:t>
            </w:r>
          </w:p>
        </w:tc>
        <w:tc>
          <w:tcPr>
            <w:tcW w:w="991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4.8%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(n=10)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44.5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±16.46</w:t>
            </w:r>
          </w:p>
        </w:tc>
        <w:tc>
          <w:tcPr>
            <w:tcW w:w="1034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[44.5,53.25]</w:t>
            </w:r>
          </w:p>
        </w:tc>
        <w:tc>
          <w:tcPr>
            <w:tcW w:w="992" w:type="pct"/>
            <w:tcBorders>
              <w:top w:val="single" w:sz="12" w:space="0" w:color="7F7F7F" w:themeColor="text1" w:themeTint="80"/>
            </w:tcBorders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54.0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[52.2,55.8]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1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35.3%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(n=73)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36.6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±19.25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45.0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[25,52]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43.6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[39.3,47.9]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41.1%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(n=85)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28.88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±19.01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[10.5,47.5]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32.2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[27.8,36.6]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3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15.9%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(n=33)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24.82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±19.97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[5.5,47]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27.1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[20.0,34.2]</w:t>
            </w:r>
          </w:p>
        </w:tc>
      </w:tr>
      <w:tr w:rsidR="00AF02B7" w:rsidRPr="00F64172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:rsidR="00AF02B7" w:rsidRPr="00F64172" w:rsidRDefault="00AF02B7" w:rsidP="002E1DD2">
            <w:pPr>
              <w:spacing w:line="360" w:lineRule="auto"/>
              <w:contextualSpacing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lang w:val="en-US"/>
              </w:rPr>
              <w:t>4</w:t>
            </w:r>
          </w:p>
        </w:tc>
        <w:tc>
          <w:tcPr>
            <w:tcW w:w="991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2.9%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(n=6)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21.17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±26.62</w:t>
            </w:r>
          </w:p>
        </w:tc>
        <w:tc>
          <w:tcPr>
            <w:tcW w:w="1034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9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[0,54.25]</w:t>
            </w:r>
          </w:p>
        </w:tc>
        <w:tc>
          <w:tcPr>
            <w:tcW w:w="992" w:type="pct"/>
            <w:vAlign w:val="center"/>
          </w:tcPr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21.3</w:t>
            </w:r>
          </w:p>
          <w:p w:rsidR="00AF02B7" w:rsidRPr="00F64172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F64172">
              <w:rPr>
                <w:rFonts w:asciiTheme="majorBidi" w:hAnsiTheme="majorBidi" w:cstheme="majorBidi"/>
                <w:sz w:val="22"/>
                <w:szCs w:val="22"/>
                <w:lang w:val="en-US"/>
              </w:rPr>
              <w:t>[1.7,41.0]</w:t>
            </w:r>
          </w:p>
        </w:tc>
      </w:tr>
    </w:tbl>
    <w:p w:rsidR="00AF02B7" w:rsidRPr="00F64172" w:rsidRDefault="00F64172" w:rsidP="00626F41">
      <w:pPr>
        <w:pStyle w:val="Cita"/>
        <w:spacing w:line="360" w:lineRule="auto"/>
        <w:contextualSpacing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>KM:</w:t>
      </w:r>
      <w:r w:rsidR="00AF02B7" w:rsidRPr="00F64172">
        <w:rPr>
          <w:rFonts w:asciiTheme="majorBidi" w:hAnsiTheme="majorBidi" w:cstheme="majorBidi"/>
          <w:lang w:val="en-US"/>
        </w:rPr>
        <w:t xml:space="preserve"> Kaplan-Meier.</w:t>
      </w:r>
    </w:p>
    <w:p w:rsidR="00AF02B7" w:rsidRDefault="00AF02B7" w:rsidP="002E1DD2">
      <w:pPr>
        <w:pStyle w:val="Descripcin"/>
        <w:keepNext/>
        <w:spacing w:line="360" w:lineRule="auto"/>
        <w:contextualSpacing/>
        <w:rPr>
          <w:rFonts w:asciiTheme="majorBidi" w:hAnsiTheme="majorBidi" w:cstheme="majorBidi"/>
          <w:b w:val="0"/>
          <w:bCs w:val="0"/>
          <w:caps/>
          <w:sz w:val="24"/>
          <w:szCs w:val="24"/>
          <w:lang w:val="en-US"/>
        </w:rPr>
      </w:pPr>
    </w:p>
    <w:p w:rsidR="008D39CD" w:rsidRPr="008D39CD" w:rsidRDefault="008D39CD" w:rsidP="008D39CD">
      <w:pPr>
        <w:rPr>
          <w:lang w:val="en-US"/>
        </w:rPr>
      </w:pPr>
    </w:p>
    <w:p w:rsidR="00AF02B7" w:rsidRPr="008D39CD" w:rsidRDefault="00AF02B7" w:rsidP="008D39CD">
      <w:pPr>
        <w:pStyle w:val="Ttulo2"/>
        <w:rPr>
          <w:b w:val="0"/>
          <w:bCs w:val="0"/>
          <w:caps/>
          <w:color w:val="auto"/>
          <w:lang w:val="en-US"/>
        </w:rPr>
      </w:pPr>
      <w:bookmarkStart w:id="5" w:name="_Toc13481281"/>
      <w:r w:rsidRPr="008D39CD">
        <w:rPr>
          <w:b w:val="0"/>
          <w:bCs w:val="0"/>
          <w:color w:val="auto"/>
          <w:lang w:val="en-US"/>
        </w:rPr>
        <w:lastRenderedPageBreak/>
        <w:t xml:space="preserve">Table 2. Lawton-Brody Index frequencies by gender of </w:t>
      </w:r>
      <w:r w:rsidR="00626F41">
        <w:rPr>
          <w:b w:val="0"/>
          <w:bCs w:val="0"/>
          <w:color w:val="auto"/>
          <w:lang w:val="en-US"/>
        </w:rPr>
        <w:t xml:space="preserve">the </w:t>
      </w:r>
      <w:r w:rsidRPr="008D39CD">
        <w:rPr>
          <w:b w:val="0"/>
          <w:bCs w:val="0"/>
          <w:color w:val="auto"/>
          <w:lang w:val="en-US"/>
        </w:rPr>
        <w:t>patient.</w:t>
      </w:r>
      <w:bookmarkEnd w:id="5"/>
    </w:p>
    <w:tbl>
      <w:tblPr>
        <w:tblStyle w:val="Tabladecuadrcula1clara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709"/>
        <w:gridCol w:w="714"/>
        <w:gridCol w:w="794"/>
        <w:gridCol w:w="794"/>
        <w:gridCol w:w="682"/>
        <w:gridCol w:w="832"/>
        <w:gridCol w:w="682"/>
        <w:gridCol w:w="682"/>
        <w:gridCol w:w="682"/>
        <w:gridCol w:w="794"/>
      </w:tblGrid>
      <w:tr w:rsidR="00AF02B7" w:rsidRPr="00D81DC7" w:rsidTr="00F64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left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0</w:t>
            </w:r>
          </w:p>
        </w:tc>
        <w:tc>
          <w:tcPr>
            <w:tcW w:w="71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</w:p>
        </w:tc>
        <w:tc>
          <w:tcPr>
            <w:tcW w:w="83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≥4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6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7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8</w:t>
            </w:r>
          </w:p>
        </w:tc>
      </w:tr>
      <w:tr w:rsidR="00AF02B7" w:rsidRPr="00D81DC7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</w:t>
            </w:r>
          </w:p>
        </w:tc>
        <w:tc>
          <w:tcPr>
            <w:tcW w:w="70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24.3</w:t>
            </w:r>
          </w:p>
        </w:tc>
        <w:tc>
          <w:tcPr>
            <w:tcW w:w="71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5.4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18.9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10.8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8.1</w:t>
            </w:r>
          </w:p>
        </w:tc>
        <w:tc>
          <w:tcPr>
            <w:tcW w:w="83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40.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5.4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5.4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8.1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13.5</w:t>
            </w:r>
          </w:p>
        </w:tc>
      </w:tr>
      <w:tr w:rsidR="00AF02B7" w:rsidRPr="00D81DC7" w:rsidTr="00F6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D81DC7">
              <w:rPr>
                <w:rFonts w:asciiTheme="majorBidi" w:hAnsiTheme="majorBidi" w:cstheme="majorBidi"/>
                <w:sz w:val="24"/>
                <w:szCs w:val="24"/>
                <w:lang w:val="en-US"/>
              </w:rPr>
              <w:t>Women</w:t>
            </w:r>
          </w:p>
        </w:tc>
        <w:tc>
          <w:tcPr>
            <w:tcW w:w="709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22.4</w:t>
            </w:r>
          </w:p>
        </w:tc>
        <w:tc>
          <w:tcPr>
            <w:tcW w:w="71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22.4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13.5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9.4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1.8</w:t>
            </w:r>
          </w:p>
        </w:tc>
        <w:tc>
          <w:tcPr>
            <w:tcW w:w="83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32.4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2.4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8.8</w:t>
            </w:r>
          </w:p>
        </w:tc>
        <w:tc>
          <w:tcPr>
            <w:tcW w:w="682" w:type="dxa"/>
            <w:vAlign w:val="center"/>
          </w:tcPr>
          <w:p w:rsidR="00AF02B7" w:rsidRPr="00D81DC7" w:rsidRDefault="00AF02B7" w:rsidP="00F64172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8.2</w:t>
            </w:r>
          </w:p>
        </w:tc>
        <w:tc>
          <w:tcPr>
            <w:tcW w:w="794" w:type="dxa"/>
            <w:vAlign w:val="center"/>
          </w:tcPr>
          <w:p w:rsidR="00AF02B7" w:rsidRPr="00D81DC7" w:rsidRDefault="00AF02B7" w:rsidP="00F64172">
            <w:pPr>
              <w:keepNext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11.2</w:t>
            </w:r>
          </w:p>
        </w:tc>
      </w:tr>
    </w:tbl>
    <w:p w:rsidR="00AF02B7" w:rsidRDefault="00AF02B7" w:rsidP="002E1DD2">
      <w:pPr>
        <w:pStyle w:val="Cita"/>
        <w:spacing w:line="360" w:lineRule="auto"/>
        <w:contextualSpacing/>
        <w:rPr>
          <w:rFonts w:asciiTheme="majorBidi" w:hAnsiTheme="majorBidi" w:cstheme="majorBidi"/>
          <w:lang w:val="en-US"/>
        </w:rPr>
      </w:pPr>
      <w:r w:rsidRPr="00F64172">
        <w:rPr>
          <w:rFonts w:asciiTheme="majorBidi" w:hAnsiTheme="majorBidi" w:cstheme="majorBidi"/>
          <w:lang w:val="en-US"/>
        </w:rPr>
        <w:t xml:space="preserve">Data showing absolute percentages. </w:t>
      </w:r>
    </w:p>
    <w:p w:rsidR="007F1297" w:rsidRPr="007F1297" w:rsidRDefault="007F1297" w:rsidP="007F1297">
      <w:pPr>
        <w:rPr>
          <w:lang w:val="en-US"/>
        </w:rPr>
      </w:pPr>
    </w:p>
    <w:p w:rsidR="007F1297" w:rsidRDefault="007F1297">
      <w:pPr>
        <w:rPr>
          <w:rFonts w:asciiTheme="majorHAnsi" w:eastAsiaTheme="majorEastAsia" w:hAnsiTheme="majorHAnsi" w:cstheme="majorBidi"/>
          <w:sz w:val="26"/>
          <w:szCs w:val="26"/>
          <w:lang w:val="en-US"/>
        </w:rPr>
      </w:pPr>
      <w:r>
        <w:rPr>
          <w:b/>
          <w:bCs/>
          <w:lang w:val="en-US"/>
        </w:rPr>
        <w:br w:type="page"/>
      </w:r>
    </w:p>
    <w:p w:rsidR="0052625C" w:rsidRPr="0052625C" w:rsidRDefault="0052625C" w:rsidP="0052625C">
      <w:pPr>
        <w:pStyle w:val="Ttulo2"/>
        <w:rPr>
          <w:b w:val="0"/>
          <w:bCs w:val="0"/>
          <w:color w:val="auto"/>
          <w:lang w:val="en-US"/>
        </w:rPr>
      </w:pPr>
      <w:bookmarkStart w:id="6" w:name="_Toc13481282"/>
      <w:r w:rsidRPr="0052625C">
        <w:rPr>
          <w:b w:val="0"/>
          <w:bCs w:val="0"/>
          <w:color w:val="auto"/>
          <w:lang w:val="en-US"/>
        </w:rPr>
        <w:lastRenderedPageBreak/>
        <w:t>Table 3</w:t>
      </w:r>
      <w:r>
        <w:rPr>
          <w:b w:val="0"/>
          <w:bCs w:val="0"/>
          <w:color w:val="auto"/>
          <w:lang w:val="en-US"/>
        </w:rPr>
        <w:t xml:space="preserve">. </w:t>
      </w:r>
      <w:r w:rsidR="007F1297">
        <w:rPr>
          <w:b w:val="0"/>
          <w:bCs w:val="0"/>
          <w:color w:val="auto"/>
          <w:lang w:val="en-US"/>
        </w:rPr>
        <w:t xml:space="preserve">Inflection points validation. </w:t>
      </w:r>
      <w:r>
        <w:rPr>
          <w:b w:val="0"/>
          <w:bCs w:val="0"/>
          <w:color w:val="auto"/>
          <w:lang w:val="en-US"/>
        </w:rPr>
        <w:t xml:space="preserve">Unadjusted and adjusted HR </w:t>
      </w:r>
      <w:r w:rsidR="007F1297">
        <w:rPr>
          <w:b w:val="0"/>
          <w:bCs w:val="0"/>
          <w:color w:val="auto"/>
          <w:lang w:val="en-US"/>
        </w:rPr>
        <w:t>on Cox Regression analyses.</w:t>
      </w:r>
      <w:bookmarkEnd w:id="6"/>
    </w:p>
    <w:tbl>
      <w:tblPr>
        <w:tblStyle w:val="Tabladecuadrcula1clara"/>
        <w:tblW w:w="5000" w:type="pct"/>
        <w:tblLook w:val="04A0" w:firstRow="1" w:lastRow="0" w:firstColumn="1" w:lastColumn="0" w:noHBand="0" w:noVBand="1"/>
      </w:tblPr>
      <w:tblGrid>
        <w:gridCol w:w="4281"/>
        <w:gridCol w:w="1405"/>
        <w:gridCol w:w="1405"/>
        <w:gridCol w:w="1403"/>
      </w:tblGrid>
      <w:tr w:rsidR="0052625C" w:rsidRPr="0052625C" w:rsidTr="005262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BI IP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KI IP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LBI IP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Unadjusted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2.37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2.66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3.40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52625C" w:rsidRPr="0052625C" w:rsidRDefault="0052625C" w:rsidP="000C1D2D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Gender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Women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2.58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2.43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3.11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Men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1.704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(0.408)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5.02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(0.001)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5.46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(0.003)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52625C" w:rsidRPr="0052625C" w:rsidRDefault="0052625C" w:rsidP="000C1D2D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Age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65-79 years-old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1.94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(0.532)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2.90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(0.082)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3.15</w:t>
            </w:r>
          </w:p>
          <w:p w:rsidR="0052625C" w:rsidRPr="0052625C" w:rsidRDefault="0052625C" w:rsidP="005262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(0.060)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≥ 80 years-old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2.19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2.43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3.054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52625C" w:rsidRPr="0052625C" w:rsidRDefault="0052625C" w:rsidP="000C1D2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Place of residence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Town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2.74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2.11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(0.006)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4.09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Rural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2.088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(0.012)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3.556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2.84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(0.003)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52625C" w:rsidRPr="0052625C" w:rsidRDefault="0052625C" w:rsidP="000C1D2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Institution-living at admission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No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4.22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3.40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3.54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Yes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1.34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(0.324)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1.55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(0.194)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22.05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(0.306)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52625C" w:rsidRPr="0052625C" w:rsidRDefault="0052625C" w:rsidP="000C1D2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Charlson Index (CI)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No comorbidity (CI=0-1)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1.50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(0.255)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2.37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(0.004)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2.91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(0.002)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Medium comorbidity (CI=2)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4.59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(0.002)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1.67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(0.262)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4.26</w:t>
            </w:r>
          </w:p>
          <w:p w:rsidR="0052625C" w:rsidRPr="0052625C" w:rsidRDefault="0052625C" w:rsidP="005262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(0.054)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High comorbidity (CI≥3)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2.20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(0.012)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2.94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(0.002)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2.81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(0.019)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52625C" w:rsidRPr="0052625C" w:rsidRDefault="0052625C" w:rsidP="000C1D2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ASA Class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I-II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1.77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(0.206)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2.63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(0.005)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2.05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(0.050)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III-IV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2.35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2.52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4.65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52625C" w:rsidRPr="0052625C" w:rsidRDefault="0052625C" w:rsidP="000C1D2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Surgical intervention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</w:t>
            </w:r>
            <w:proofErr w:type="spellStart"/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>Osteosynthesis</w:t>
            </w:r>
            <w:proofErr w:type="spellEnd"/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2.54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(0.001)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3.02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3.68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(&lt;0.001)</w:t>
            </w:r>
          </w:p>
        </w:tc>
      </w:tr>
      <w:tr w:rsidR="0052625C" w:rsidRPr="0052625C" w:rsidTr="0052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:rsidR="0052625C" w:rsidRPr="0052625C" w:rsidRDefault="0052625C" w:rsidP="000C1D2D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 xml:space="preserve">     Partial hip replacement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2.35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(0.007)</w:t>
            </w:r>
          </w:p>
        </w:tc>
        <w:tc>
          <w:tcPr>
            <w:tcW w:w="827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3.30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(0.013)</w:t>
            </w:r>
          </w:p>
        </w:tc>
        <w:tc>
          <w:tcPr>
            <w:tcW w:w="826" w:type="pct"/>
          </w:tcPr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2.87</w:t>
            </w:r>
          </w:p>
          <w:p w:rsidR="0052625C" w:rsidRPr="0052625C" w:rsidRDefault="0052625C" w:rsidP="000C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52625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(0.008)</w:t>
            </w:r>
          </w:p>
        </w:tc>
      </w:tr>
    </w:tbl>
    <w:p w:rsidR="0052625C" w:rsidRPr="007F1297" w:rsidRDefault="007F1297" w:rsidP="0052625C">
      <w:pPr>
        <w:rPr>
          <w:i/>
          <w:iCs/>
          <w:lang w:val="en-US"/>
        </w:rPr>
      </w:pPr>
      <w:r w:rsidRPr="007F1297">
        <w:rPr>
          <w:i/>
          <w:iCs/>
          <w:lang w:val="en-US"/>
        </w:rPr>
        <w:t xml:space="preserve">Data showing </w:t>
      </w:r>
      <w:proofErr w:type="spellStart"/>
      <w:r w:rsidRPr="007F1297">
        <w:rPr>
          <w:i/>
          <w:iCs/>
          <w:lang w:val="en-US"/>
        </w:rPr>
        <w:t>stimated</w:t>
      </w:r>
      <w:proofErr w:type="spellEnd"/>
      <w:r w:rsidRPr="007F1297">
        <w:rPr>
          <w:i/>
          <w:iCs/>
          <w:lang w:val="en-US"/>
        </w:rPr>
        <w:t xml:space="preserve"> HR and p-value in brackets on Cox regression analyses. BI IP: </w:t>
      </w:r>
      <w:proofErr w:type="spellStart"/>
      <w:r w:rsidRPr="007F1297">
        <w:rPr>
          <w:i/>
          <w:iCs/>
          <w:lang w:val="en-US"/>
        </w:rPr>
        <w:t>Barthel</w:t>
      </w:r>
      <w:proofErr w:type="spellEnd"/>
      <w:r w:rsidRPr="007F1297">
        <w:rPr>
          <w:i/>
          <w:iCs/>
          <w:lang w:val="en-US"/>
        </w:rPr>
        <w:t xml:space="preserve"> Index inflection point (0-55/60-100*); KI IP: Katz Index inflection point (A-B*/C-G); LBI IP: Lawton-Brody Index inflection point (0-3/4-8*). Reference category marked by *.</w:t>
      </w:r>
    </w:p>
    <w:p w:rsidR="00F64172" w:rsidRDefault="00B10DBF" w:rsidP="00B10DBF">
      <w:pPr>
        <w:tabs>
          <w:tab w:val="left" w:pos="6600"/>
        </w:tabs>
        <w:spacing w:line="360" w:lineRule="auto"/>
        <w:contextualSpacing/>
      </w:pPr>
      <w:r>
        <w:rPr>
          <w:lang w:val="en-US"/>
        </w:rPr>
        <w:lastRenderedPageBreak/>
        <w:tab/>
      </w:r>
      <w:r w:rsidR="00AF02B7" w:rsidRPr="00D81DC7">
        <w:rPr>
          <w:rFonts w:asciiTheme="majorBidi" w:hAnsiTheme="majorBidi" w:cstheme="majorBidi"/>
          <w:noProof/>
          <w:sz w:val="24"/>
          <w:szCs w:val="24"/>
          <w:lang w:eastAsia="es-ES"/>
        </w:rPr>
        <w:drawing>
          <wp:inline distT="0" distB="0" distL="0" distR="0" wp14:anchorId="0B6CE017" wp14:editId="6ADD8D2C">
            <wp:extent cx="5400040" cy="4321757"/>
            <wp:effectExtent l="0" t="0" r="0" b="317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321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02B7" w:rsidRPr="008D39CD" w:rsidRDefault="00F64172" w:rsidP="008D39CD">
      <w:pPr>
        <w:pStyle w:val="Ttulo2"/>
        <w:rPr>
          <w:rFonts w:asciiTheme="majorBidi" w:hAnsiTheme="majorBidi"/>
          <w:b w:val="0"/>
          <w:bCs w:val="0"/>
          <w:color w:val="auto"/>
          <w:sz w:val="24"/>
          <w:szCs w:val="24"/>
          <w:lang w:val="en-US"/>
        </w:rPr>
      </w:pPr>
      <w:bookmarkStart w:id="7" w:name="_Toc13481283"/>
      <w:r w:rsidRPr="008D39CD">
        <w:rPr>
          <w:b w:val="0"/>
          <w:bCs w:val="0"/>
          <w:color w:val="auto"/>
          <w:lang w:val="en-US"/>
        </w:rPr>
        <w:t xml:space="preserve">Figure </w:t>
      </w:r>
      <w:r w:rsidRPr="008D39CD">
        <w:rPr>
          <w:b w:val="0"/>
          <w:bCs w:val="0"/>
          <w:color w:val="auto"/>
        </w:rPr>
        <w:fldChar w:fldCharType="begin"/>
      </w:r>
      <w:r w:rsidRPr="008D39CD">
        <w:rPr>
          <w:b w:val="0"/>
          <w:bCs w:val="0"/>
          <w:color w:val="auto"/>
          <w:lang w:val="en-US"/>
        </w:rPr>
        <w:instrText xml:space="preserve"> SEQ Figure \* ARABIC </w:instrText>
      </w:r>
      <w:r w:rsidRPr="008D39CD">
        <w:rPr>
          <w:b w:val="0"/>
          <w:bCs w:val="0"/>
          <w:color w:val="auto"/>
        </w:rPr>
        <w:fldChar w:fldCharType="separate"/>
      </w:r>
      <w:r w:rsidRPr="008D39CD">
        <w:rPr>
          <w:b w:val="0"/>
          <w:bCs w:val="0"/>
          <w:noProof/>
          <w:color w:val="auto"/>
          <w:lang w:val="en-US"/>
        </w:rPr>
        <w:t>1</w:t>
      </w:r>
      <w:r w:rsidRPr="008D39CD">
        <w:rPr>
          <w:b w:val="0"/>
          <w:bCs w:val="0"/>
          <w:color w:val="auto"/>
        </w:rPr>
        <w:fldChar w:fldCharType="end"/>
      </w:r>
      <w:r w:rsidRPr="008D39CD">
        <w:rPr>
          <w:b w:val="0"/>
          <w:bCs w:val="0"/>
          <w:color w:val="auto"/>
          <w:lang w:val="en-US"/>
        </w:rPr>
        <w:t>.</w:t>
      </w:r>
      <w:r w:rsidR="008D39CD">
        <w:rPr>
          <w:b w:val="0"/>
          <w:bCs w:val="0"/>
          <w:color w:val="auto"/>
          <w:lang w:val="en-US"/>
        </w:rPr>
        <w:t xml:space="preserve"> T</w:t>
      </w:r>
      <w:r w:rsidR="008D39CD" w:rsidRPr="008D39CD">
        <w:rPr>
          <w:b w:val="0"/>
          <w:bCs w:val="0"/>
          <w:color w:val="auto"/>
          <w:lang w:val="en-US"/>
        </w:rPr>
        <w:t>ime until first readmi</w:t>
      </w:r>
      <w:r w:rsidR="008D39CD">
        <w:rPr>
          <w:b w:val="0"/>
          <w:bCs w:val="0"/>
          <w:color w:val="auto"/>
          <w:lang w:val="en-US"/>
        </w:rPr>
        <w:t>ssion outcome on K</w:t>
      </w:r>
      <w:r w:rsidR="00B718AD">
        <w:rPr>
          <w:b w:val="0"/>
          <w:bCs w:val="0"/>
          <w:color w:val="auto"/>
          <w:lang w:val="en-US"/>
        </w:rPr>
        <w:t>atz index categories</w:t>
      </w:r>
      <w:r w:rsidR="008D39CD" w:rsidRPr="008D39CD">
        <w:rPr>
          <w:b w:val="0"/>
          <w:bCs w:val="0"/>
          <w:color w:val="auto"/>
          <w:lang w:val="en-US"/>
        </w:rPr>
        <w:t>.</w:t>
      </w:r>
      <w:r w:rsidR="00B10DBF">
        <w:rPr>
          <w:b w:val="0"/>
          <w:bCs w:val="0"/>
          <w:color w:val="auto"/>
          <w:lang w:val="en-US"/>
        </w:rPr>
        <w:t xml:space="preserve"> P=0.033.</w:t>
      </w:r>
      <w:bookmarkEnd w:id="7"/>
    </w:p>
    <w:p w:rsidR="00AF02B7" w:rsidRPr="00D6062F" w:rsidRDefault="00AF02B7" w:rsidP="002E1DD2">
      <w:pPr>
        <w:spacing w:line="360" w:lineRule="auto"/>
        <w:contextualSpacing/>
        <w:rPr>
          <w:lang w:val="en-US"/>
        </w:rPr>
      </w:pPr>
    </w:p>
    <w:p w:rsidR="00476A19" w:rsidRPr="00AF02B7" w:rsidRDefault="00476A19" w:rsidP="002E1DD2">
      <w:pPr>
        <w:spacing w:line="360" w:lineRule="auto"/>
        <w:contextualSpacing/>
        <w:rPr>
          <w:lang w:val="en-US"/>
        </w:rPr>
      </w:pPr>
    </w:p>
    <w:sectPr w:rsidR="00476A19" w:rsidRPr="00AF02B7" w:rsidSect="00CF176C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B86" w:rsidRDefault="00E27B86" w:rsidP="008D39CD">
      <w:pPr>
        <w:spacing w:after="0" w:line="240" w:lineRule="auto"/>
      </w:pPr>
      <w:r>
        <w:separator/>
      </w:r>
    </w:p>
  </w:endnote>
  <w:endnote w:type="continuationSeparator" w:id="0">
    <w:p w:rsidR="00E27B86" w:rsidRDefault="00E27B86" w:rsidP="008D3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9558178"/>
      <w:docPartObj>
        <w:docPartGallery w:val="Page Numbers (Bottom of Page)"/>
        <w:docPartUnique/>
      </w:docPartObj>
    </w:sdtPr>
    <w:sdtEndPr/>
    <w:sdtContent>
      <w:p w:rsidR="008D39CD" w:rsidRDefault="008D39CD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6BF0">
          <w:rPr>
            <w:noProof/>
          </w:rPr>
          <w:t>1</w:t>
        </w:r>
        <w:r>
          <w:fldChar w:fldCharType="end"/>
        </w:r>
      </w:p>
    </w:sdtContent>
  </w:sdt>
  <w:p w:rsidR="008D39CD" w:rsidRDefault="008D39C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B86" w:rsidRDefault="00E27B86" w:rsidP="008D39CD">
      <w:pPr>
        <w:spacing w:after="0" w:line="240" w:lineRule="auto"/>
      </w:pPr>
      <w:r>
        <w:separator/>
      </w:r>
    </w:p>
  </w:footnote>
  <w:footnote w:type="continuationSeparator" w:id="0">
    <w:p w:rsidR="00E27B86" w:rsidRDefault="00E27B86" w:rsidP="008D3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wN7EwNbE0tzQ1tLBU0lEKTi0uzszPAykwrgUAKOgxdCwAAAA="/>
  </w:docVars>
  <w:rsids>
    <w:rsidRoot w:val="00AF02B7"/>
    <w:rsid w:val="0006412D"/>
    <w:rsid w:val="002E1DD2"/>
    <w:rsid w:val="003A287D"/>
    <w:rsid w:val="004743AE"/>
    <w:rsid w:val="00476A19"/>
    <w:rsid w:val="0052625C"/>
    <w:rsid w:val="00545771"/>
    <w:rsid w:val="005F0105"/>
    <w:rsid w:val="00626F41"/>
    <w:rsid w:val="0065747E"/>
    <w:rsid w:val="00665599"/>
    <w:rsid w:val="007C586E"/>
    <w:rsid w:val="007F1297"/>
    <w:rsid w:val="0083673B"/>
    <w:rsid w:val="00886BF0"/>
    <w:rsid w:val="008C56C7"/>
    <w:rsid w:val="008D39CD"/>
    <w:rsid w:val="00AC18F1"/>
    <w:rsid w:val="00AF02B7"/>
    <w:rsid w:val="00B10DBF"/>
    <w:rsid w:val="00B46A02"/>
    <w:rsid w:val="00B718AD"/>
    <w:rsid w:val="00BC3FA5"/>
    <w:rsid w:val="00CF176C"/>
    <w:rsid w:val="00D71DCD"/>
    <w:rsid w:val="00DA73D4"/>
    <w:rsid w:val="00E27B86"/>
    <w:rsid w:val="00F64172"/>
    <w:rsid w:val="00F7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2C938"/>
  <w15:chartTrackingRefBased/>
  <w15:docId w15:val="{868E4555-44D1-4817-B6B7-7E009C920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9CD"/>
  </w:style>
  <w:style w:type="paragraph" w:styleId="Ttulo1">
    <w:name w:val="heading 1"/>
    <w:basedOn w:val="Normal"/>
    <w:next w:val="Normal"/>
    <w:link w:val="Ttulo1Car"/>
    <w:uiPriority w:val="9"/>
    <w:qFormat/>
    <w:rsid w:val="008D39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D39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39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39C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39C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39C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39C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39C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39C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F02B7"/>
    <w:pPr>
      <w:spacing w:after="0" w:line="240" w:lineRule="auto"/>
      <w:jc w:val="both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8D39CD"/>
    <w:pPr>
      <w:spacing w:line="240" w:lineRule="auto"/>
    </w:pPr>
    <w:rPr>
      <w:b/>
      <w:bCs/>
      <w:color w:val="DDDDDD" w:themeColor="accent1"/>
      <w:sz w:val="18"/>
      <w:szCs w:val="18"/>
    </w:rPr>
  </w:style>
  <w:style w:type="table" w:styleId="Tabladecuadrcula1clara">
    <w:name w:val="Grid Table 1 Light"/>
    <w:basedOn w:val="Tablanormal"/>
    <w:uiPriority w:val="46"/>
    <w:rsid w:val="00AF02B7"/>
    <w:pPr>
      <w:spacing w:after="0" w:line="240" w:lineRule="auto"/>
      <w:jc w:val="both"/>
    </w:pPr>
    <w:rPr>
      <w:sz w:val="20"/>
      <w:szCs w:val="20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ita">
    <w:name w:val="Quote"/>
    <w:basedOn w:val="Normal"/>
    <w:next w:val="Normal"/>
    <w:link w:val="CitaCar"/>
    <w:uiPriority w:val="29"/>
    <w:qFormat/>
    <w:rsid w:val="008D39CD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8D39CD"/>
    <w:rPr>
      <w:i/>
      <w:iCs/>
      <w:color w:val="000000" w:themeColor="text1"/>
    </w:rPr>
  </w:style>
  <w:style w:type="character" w:customStyle="1" w:styleId="Ttulo1Car">
    <w:name w:val="Título 1 Car"/>
    <w:basedOn w:val="Fuentedeprrafopredeter"/>
    <w:link w:val="Ttulo1"/>
    <w:uiPriority w:val="9"/>
    <w:rsid w:val="008D39CD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8D39CD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39CD"/>
    <w:rPr>
      <w:rFonts w:asciiTheme="majorHAnsi" w:eastAsiaTheme="majorEastAsia" w:hAnsiTheme="majorHAnsi" w:cstheme="majorBidi"/>
      <w:color w:val="000000" w:themeColor="text2" w:themeShade="BF"/>
      <w:spacing w:val="5"/>
      <w:sz w:val="52"/>
      <w:szCs w:val="52"/>
    </w:rPr>
  </w:style>
  <w:style w:type="paragraph" w:styleId="TtuloTDC">
    <w:name w:val="TOC Heading"/>
    <w:basedOn w:val="Ttulo1"/>
    <w:next w:val="Normal"/>
    <w:uiPriority w:val="39"/>
    <w:unhideWhenUsed/>
    <w:qFormat/>
    <w:rsid w:val="008D39CD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7F1297"/>
    <w:pPr>
      <w:tabs>
        <w:tab w:val="right" w:leader="dot" w:pos="8494"/>
      </w:tabs>
      <w:spacing w:after="100"/>
    </w:pPr>
  </w:style>
  <w:style w:type="character" w:styleId="Hipervnculo">
    <w:name w:val="Hyperlink"/>
    <w:basedOn w:val="Fuentedeprrafopredeter"/>
    <w:uiPriority w:val="99"/>
    <w:unhideWhenUsed/>
    <w:rsid w:val="008D39CD"/>
    <w:rPr>
      <w:color w:val="5F5F5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8D39CD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39CD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39CD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39CD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39CD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39C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39CD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39C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ubttulo">
    <w:name w:val="Subtitle"/>
    <w:basedOn w:val="Normal"/>
    <w:next w:val="Normal"/>
    <w:link w:val="SubttuloCar"/>
    <w:uiPriority w:val="11"/>
    <w:qFormat/>
    <w:rsid w:val="008D39CD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8D39CD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8D39CD"/>
    <w:rPr>
      <w:b/>
      <w:bCs/>
    </w:rPr>
  </w:style>
  <w:style w:type="character" w:styleId="nfasis">
    <w:name w:val="Emphasis"/>
    <w:basedOn w:val="Fuentedeprrafopredeter"/>
    <w:uiPriority w:val="20"/>
    <w:qFormat/>
    <w:rsid w:val="008D39CD"/>
    <w:rPr>
      <w:i/>
      <w:iCs/>
    </w:rPr>
  </w:style>
  <w:style w:type="paragraph" w:styleId="Sinespaciado">
    <w:name w:val="No Spacing"/>
    <w:uiPriority w:val="1"/>
    <w:qFormat/>
    <w:rsid w:val="008D39CD"/>
    <w:pPr>
      <w:spacing w:after="0" w:line="240" w:lineRule="auto"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39CD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39CD"/>
    <w:rPr>
      <w:b/>
      <w:bCs/>
      <w:i/>
      <w:iCs/>
      <w:color w:val="DDDDDD" w:themeColor="accent1"/>
    </w:rPr>
  </w:style>
  <w:style w:type="character" w:styleId="nfasissutil">
    <w:name w:val="Subtle Emphasis"/>
    <w:basedOn w:val="Fuentedeprrafopredeter"/>
    <w:uiPriority w:val="19"/>
    <w:qFormat/>
    <w:rsid w:val="008D39CD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8D39CD"/>
    <w:rPr>
      <w:b/>
      <w:bCs/>
      <w:i/>
      <w:iCs/>
      <w:color w:val="DDDDDD" w:themeColor="accent1"/>
    </w:rPr>
  </w:style>
  <w:style w:type="character" w:styleId="Referenciasutil">
    <w:name w:val="Subtle Reference"/>
    <w:basedOn w:val="Fuentedeprrafopredeter"/>
    <w:uiPriority w:val="31"/>
    <w:qFormat/>
    <w:rsid w:val="008D39CD"/>
    <w:rPr>
      <w:smallCaps/>
      <w:color w:val="B2B2B2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D39CD"/>
    <w:rPr>
      <w:b/>
      <w:bCs/>
      <w:smallCaps/>
      <w:color w:val="B2B2B2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D39CD"/>
    <w:rPr>
      <w:b/>
      <w:bCs/>
      <w:smallCaps/>
      <w:spacing w:val="5"/>
    </w:rPr>
  </w:style>
  <w:style w:type="paragraph" w:styleId="TDC2">
    <w:name w:val="toc 2"/>
    <w:basedOn w:val="Normal"/>
    <w:next w:val="Normal"/>
    <w:autoRedefine/>
    <w:uiPriority w:val="39"/>
    <w:unhideWhenUsed/>
    <w:rsid w:val="008D39CD"/>
    <w:pPr>
      <w:spacing w:after="100"/>
      <w:ind w:left="220"/>
    </w:pPr>
  </w:style>
  <w:style w:type="paragraph" w:styleId="Encabezado">
    <w:name w:val="header"/>
    <w:basedOn w:val="Normal"/>
    <w:link w:val="EncabezadoCar"/>
    <w:uiPriority w:val="99"/>
    <w:unhideWhenUsed/>
    <w:rsid w:val="008D39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9CD"/>
  </w:style>
  <w:style w:type="paragraph" w:styleId="Piedepgina">
    <w:name w:val="footer"/>
    <w:basedOn w:val="Normal"/>
    <w:link w:val="PiedepginaCar"/>
    <w:uiPriority w:val="99"/>
    <w:unhideWhenUsed/>
    <w:rsid w:val="008D39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532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Escala de grise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E0B93-041C-4B17-8FB2-AF9E2E14C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672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2019-04-11T10:14:00Z</dcterms:created>
  <dcterms:modified xsi:type="dcterms:W3CDTF">2019-07-08T10:38:00Z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http://www.zotero.org/styles/age-and-ageing</vt:lpwstr>
  </property>
  <property fmtid="{D5CDD505-2E9C-101B-9397-08002B2CF9AE}" pid="3" name="Mendeley Recent Style Name 0_1">
    <vt:lpwstr>Age and Ageing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http://www.zotero.org/styles/harvard1</vt:lpwstr>
  </property>
  <property fmtid="{D5CDD505-2E9C-101B-9397-08002B2CF9AE}" pid="9" name="Mendeley Recent Style Name 3_1">
    <vt:lpwstr>Harvard reference format 1 (deprecated)</vt:lpwstr>
  </property>
  <property fmtid="{D5CDD505-2E9C-101B-9397-08002B2CF9AE}" pid="10" name="Mendeley Recent Style Id 4_1">
    <vt:lpwstr>http://www.zotero.org/styles/medicina-clinica</vt:lpwstr>
  </property>
  <property fmtid="{D5CDD505-2E9C-101B-9397-08002B2CF9AE}" pid="11" name="Mendeley Recent Style Name 4_1">
    <vt:lpwstr>Medicina Clínica (Spanish)</vt:lpwstr>
  </property>
  <property fmtid="{D5CDD505-2E9C-101B-9397-08002B2CF9AE}" pid="12" name="Mendeley Recent Style Id 5_1">
    <vt:lpwstr>http://www.zotero.org/styles/sage-harvard</vt:lpwstr>
  </property>
  <property fmtid="{D5CDD505-2E9C-101B-9397-08002B2CF9AE}" pid="13" name="Mendeley Recent Style Name 5_1">
    <vt:lpwstr>SAGE - Harvard</vt:lpwstr>
  </property>
  <property fmtid="{D5CDD505-2E9C-101B-9397-08002B2CF9AE}" pid="14" name="Mendeley Recent Style Id 6_1">
    <vt:lpwstr>http://www.zotero.org/styles/sage-vancouver</vt:lpwstr>
  </property>
  <property fmtid="{D5CDD505-2E9C-101B-9397-08002B2CF9AE}" pid="15" name="Mendeley Recent Style Name 6_1">
    <vt:lpwstr>SAGE - Vancouver</vt:lpwstr>
  </property>
  <property fmtid="{D5CDD505-2E9C-101B-9397-08002B2CF9AE}" pid="16" name="Mendeley Recent Style Id 7_1">
    <vt:lpwstr>http://www.zotero.org/styles/springer-vancouver</vt:lpwstr>
  </property>
  <property fmtid="{D5CDD505-2E9C-101B-9397-08002B2CF9AE}" pid="17" name="Mendeley Recent Style Name 7_1">
    <vt:lpwstr>Springer - Vancouver</vt:lpwstr>
  </property>
  <property fmtid="{D5CDD505-2E9C-101B-9397-08002B2CF9AE}" pid="18" name="Mendeley Recent Style Id 8_1">
    <vt:lpwstr>http://www.zotero.org/styles/the-journals-of-gerontology-series-a</vt:lpwstr>
  </property>
  <property fmtid="{D5CDD505-2E9C-101B-9397-08002B2CF9AE}" pid="19" name="Mendeley Recent Style Name 8_1">
    <vt:lpwstr>The Journals of Gerontology, Series A: Biological Sciences and Medical Sciences</vt:lpwstr>
  </property>
  <property fmtid="{D5CDD505-2E9C-101B-9397-08002B2CF9AE}" pid="20" name="Mendeley Recent Style Id 9_1">
    <vt:lpwstr>http://www.zotero.org/styles/university-of-york-vancouver</vt:lpwstr>
  </property>
  <property fmtid="{D5CDD505-2E9C-101B-9397-08002B2CF9AE}" pid="21" name="Mendeley Recent Style Name 9_1">
    <vt:lpwstr>University of York - Vancouver</vt:lpwstr>
  </property>
</Properties>
</file>