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F37DE" w14:textId="77777777" w:rsidR="00264D1C" w:rsidRPr="00264D1C" w:rsidRDefault="00AC6D63" w:rsidP="00264D1C">
      <w:pPr>
        <w:pStyle w:val="1"/>
        <w:spacing w:line="480" w:lineRule="auto"/>
        <w:rPr>
          <w:rFonts w:cs="Times New Roman"/>
          <w:szCs w:val="24"/>
        </w:rPr>
      </w:pPr>
      <w:r w:rsidRPr="00264D1C">
        <w:rPr>
          <w:noProof/>
        </w:rPr>
        <w:drawing>
          <wp:inline distT="0" distB="0" distL="0" distR="0" wp14:anchorId="2A5B7E5F" wp14:editId="11B31D6B">
            <wp:extent cx="5731510" cy="7639050"/>
            <wp:effectExtent l="0" t="0" r="2540" b="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1510" cy="7639050"/>
                    </a:xfrm>
                    <a:prstGeom prst="rect">
                      <a:avLst/>
                    </a:prstGeom>
                    <a:noFill/>
                    <a:ln>
                      <a:noFill/>
                    </a:ln>
                  </pic:spPr>
                </pic:pic>
              </a:graphicData>
            </a:graphic>
          </wp:inline>
        </w:drawing>
      </w:r>
      <w:r w:rsidRPr="00264D1C">
        <w:rPr>
          <w:noProof/>
        </w:rPr>
        <w:lastRenderedPageBreak/>
        <w:drawing>
          <wp:inline distT="0" distB="0" distL="0" distR="0" wp14:anchorId="3B1C1423" wp14:editId="74593247">
            <wp:extent cx="5731510" cy="7639050"/>
            <wp:effectExtent l="0" t="0" r="2540" b="0"/>
            <wp:docPr id="6" name="그림 6" descr="지도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그림 6" descr="지도이(가) 표시된 사진&#10;&#10;자동 생성된 설명"/>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7639050"/>
                    </a:xfrm>
                    <a:prstGeom prst="rect">
                      <a:avLst/>
                    </a:prstGeom>
                    <a:noFill/>
                    <a:ln>
                      <a:noFill/>
                    </a:ln>
                  </pic:spPr>
                </pic:pic>
              </a:graphicData>
            </a:graphic>
          </wp:inline>
        </w:drawing>
      </w:r>
      <w:r w:rsidRPr="00264D1C">
        <w:rPr>
          <w:noProof/>
        </w:rPr>
        <w:lastRenderedPageBreak/>
        <w:drawing>
          <wp:inline distT="0" distB="0" distL="0" distR="0" wp14:anchorId="05FAE5D3" wp14:editId="04A463DE">
            <wp:extent cx="5731510" cy="7639050"/>
            <wp:effectExtent l="0" t="0" r="2540" b="0"/>
            <wp:docPr id="7" name="그림 7" descr="테이블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7" descr="테이블이(가) 표시된 사진&#10;&#10;자동 생성된 설명"/>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7639050"/>
                    </a:xfrm>
                    <a:prstGeom prst="rect">
                      <a:avLst/>
                    </a:prstGeom>
                    <a:noFill/>
                    <a:ln>
                      <a:noFill/>
                    </a:ln>
                  </pic:spPr>
                </pic:pic>
              </a:graphicData>
            </a:graphic>
          </wp:inline>
        </w:drawing>
      </w:r>
      <w:r w:rsidRPr="00264D1C">
        <w:rPr>
          <w:noProof/>
        </w:rPr>
        <w:lastRenderedPageBreak/>
        <w:drawing>
          <wp:inline distT="0" distB="0" distL="0" distR="0" wp14:anchorId="58EB3B2E" wp14:editId="0AF7B8CC">
            <wp:extent cx="5731510" cy="7639050"/>
            <wp:effectExtent l="0" t="0" r="2540" b="0"/>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7639050"/>
                    </a:xfrm>
                    <a:prstGeom prst="rect">
                      <a:avLst/>
                    </a:prstGeom>
                    <a:noFill/>
                    <a:ln>
                      <a:noFill/>
                    </a:ln>
                  </pic:spPr>
                </pic:pic>
              </a:graphicData>
            </a:graphic>
          </wp:inline>
        </w:drawing>
      </w:r>
      <w:r w:rsidR="00264D1C" w:rsidRPr="00264D1C">
        <w:rPr>
          <w:rFonts w:cs="Times New Roman"/>
          <w:szCs w:val="24"/>
        </w:rPr>
        <w:t xml:space="preserve"> </w:t>
      </w:r>
    </w:p>
    <w:p w14:paraId="76D03758" w14:textId="77777777" w:rsidR="00264D1C" w:rsidRPr="00264D1C" w:rsidRDefault="00264D1C" w:rsidP="00264D1C">
      <w:pPr>
        <w:pStyle w:val="1"/>
        <w:spacing w:line="480" w:lineRule="auto"/>
        <w:rPr>
          <w:rFonts w:cs="Times New Roman"/>
          <w:szCs w:val="24"/>
        </w:rPr>
      </w:pPr>
    </w:p>
    <w:p w14:paraId="623763DF" w14:textId="77777777" w:rsidR="00264D1C" w:rsidRPr="00264D1C" w:rsidRDefault="00264D1C" w:rsidP="00264D1C">
      <w:pPr>
        <w:pStyle w:val="1"/>
        <w:spacing w:line="480" w:lineRule="auto"/>
        <w:rPr>
          <w:rFonts w:cs="Times New Roman"/>
          <w:szCs w:val="24"/>
        </w:rPr>
      </w:pPr>
    </w:p>
    <w:p w14:paraId="37BC0AF6" w14:textId="77777777" w:rsidR="00264D1C" w:rsidRPr="00264D1C" w:rsidRDefault="00264D1C" w:rsidP="00264D1C">
      <w:pPr>
        <w:pStyle w:val="1"/>
        <w:spacing w:line="480" w:lineRule="auto"/>
        <w:rPr>
          <w:rFonts w:cs="Times New Roman"/>
          <w:szCs w:val="24"/>
        </w:rPr>
      </w:pPr>
    </w:p>
    <w:p w14:paraId="51C86AEE" w14:textId="75920586" w:rsidR="00264D1C" w:rsidRPr="00264D1C" w:rsidRDefault="00264D1C" w:rsidP="00264D1C">
      <w:pPr>
        <w:pStyle w:val="1"/>
        <w:spacing w:line="480" w:lineRule="auto"/>
        <w:rPr>
          <w:rFonts w:cs="Times New Roman"/>
          <w:szCs w:val="24"/>
        </w:rPr>
      </w:pPr>
      <w:r w:rsidRPr="00264D1C">
        <w:rPr>
          <w:rFonts w:cs="Times New Roman"/>
          <w:szCs w:val="24"/>
        </w:rPr>
        <w:lastRenderedPageBreak/>
        <w:t xml:space="preserve">Supplementary </w:t>
      </w:r>
      <w:r w:rsidRPr="00264D1C">
        <w:rPr>
          <w:rFonts w:cs="Times New Roman"/>
          <w:szCs w:val="24"/>
        </w:rPr>
        <w:t>Figure legends</w:t>
      </w:r>
    </w:p>
    <w:p w14:paraId="10BB160A" w14:textId="1B4EFAD8" w:rsidR="00264D1C" w:rsidRPr="005B10DB" w:rsidRDefault="00264D1C" w:rsidP="005B10DB">
      <w:pPr>
        <w:spacing w:before="240"/>
        <w:rPr>
          <w:rFonts w:eastAsiaTheme="minorHAnsi"/>
        </w:rPr>
      </w:pPr>
      <w:r w:rsidRPr="00264D1C">
        <w:t xml:space="preserve">Supplementary </w:t>
      </w:r>
      <w:r w:rsidRPr="00264D1C">
        <w:t xml:space="preserve">Figure 1. </w:t>
      </w:r>
      <w:r w:rsidR="00E73AE1" w:rsidRPr="0084140C">
        <w:rPr>
          <w:rFonts w:eastAsiaTheme="minorHAnsi"/>
          <w:b/>
          <w:bCs/>
        </w:rPr>
        <w:t>RF classifiers constructed on previously known f</w:t>
      </w:r>
      <w:r w:rsidR="005B10DB">
        <w:rPr>
          <w:rFonts w:eastAsiaTheme="minorHAnsi"/>
          <w:b/>
          <w:bCs/>
        </w:rPr>
        <w:t>a</w:t>
      </w:r>
      <w:r w:rsidR="00E73AE1" w:rsidRPr="0084140C">
        <w:rPr>
          <w:rFonts w:eastAsiaTheme="minorHAnsi"/>
          <w:b/>
          <w:bCs/>
        </w:rPr>
        <w:t xml:space="preserve">ecal microbial marker of FL. </w:t>
      </w:r>
      <w:r w:rsidR="00E73AE1" w:rsidRPr="0084140C">
        <w:rPr>
          <w:rFonts w:eastAsiaTheme="minorHAnsi"/>
        </w:rPr>
        <w:t>(</w:t>
      </w:r>
      <w:r w:rsidR="005B10DB">
        <w:rPr>
          <w:rFonts w:eastAsiaTheme="minorHAnsi"/>
        </w:rPr>
        <w:t>a</w:t>
      </w:r>
      <w:r w:rsidR="00E73AE1" w:rsidRPr="0084140C">
        <w:rPr>
          <w:rFonts w:eastAsiaTheme="minorHAnsi"/>
        </w:rPr>
        <w:t>) Violin plots showing relative abundance of known f</w:t>
      </w:r>
      <w:r w:rsidR="005B10DB">
        <w:rPr>
          <w:rFonts w:eastAsiaTheme="minorHAnsi"/>
        </w:rPr>
        <w:t>a</w:t>
      </w:r>
      <w:r w:rsidR="00E73AE1" w:rsidRPr="0084140C">
        <w:rPr>
          <w:rFonts w:eastAsiaTheme="minorHAnsi"/>
        </w:rPr>
        <w:t>ecal microbial markers classifying NF and FL. (</w:t>
      </w:r>
      <w:r w:rsidR="005B10DB">
        <w:rPr>
          <w:rFonts w:eastAsiaTheme="minorHAnsi"/>
        </w:rPr>
        <w:t>b</w:t>
      </w:r>
      <w:r w:rsidR="00E73AE1" w:rsidRPr="0084140C">
        <w:rPr>
          <w:rFonts w:eastAsiaTheme="minorHAnsi"/>
        </w:rPr>
        <w:t xml:space="preserve">) Predictive performance of </w:t>
      </w:r>
      <w:r w:rsidR="00E73AE1">
        <w:rPr>
          <w:rFonts w:eastAsiaTheme="minorHAnsi"/>
        </w:rPr>
        <w:t>random forest</w:t>
      </w:r>
      <w:r w:rsidR="00E73AE1" w:rsidRPr="0084140C">
        <w:rPr>
          <w:rFonts w:eastAsiaTheme="minorHAnsi"/>
        </w:rPr>
        <w:t xml:space="preserve"> classifiers with various number of f</w:t>
      </w:r>
      <w:r w:rsidR="005B10DB">
        <w:rPr>
          <w:rFonts w:eastAsiaTheme="minorHAnsi"/>
        </w:rPr>
        <w:t>a</w:t>
      </w:r>
      <w:r w:rsidR="00E73AE1" w:rsidRPr="0084140C">
        <w:rPr>
          <w:rFonts w:eastAsiaTheme="minorHAnsi"/>
        </w:rPr>
        <w:t>ecal microbial features. The statistical significances were analy</w:t>
      </w:r>
      <w:r w:rsidR="005B10DB">
        <w:rPr>
          <w:rFonts w:eastAsiaTheme="minorHAnsi"/>
        </w:rPr>
        <w:t>s</w:t>
      </w:r>
      <w:r w:rsidR="00E73AE1" w:rsidRPr="0084140C">
        <w:rPr>
          <w:rFonts w:eastAsiaTheme="minorHAnsi"/>
        </w:rPr>
        <w:t>ed by Wilcoxon’s test. *</w:t>
      </w:r>
      <w:r w:rsidR="00E73AE1" w:rsidRPr="0084140C">
        <w:rPr>
          <w:rFonts w:eastAsiaTheme="minorHAnsi"/>
          <w:i/>
          <w:iCs/>
        </w:rPr>
        <w:t xml:space="preserve">p </w:t>
      </w:r>
      <w:r w:rsidR="00E73AE1" w:rsidRPr="0084140C">
        <w:rPr>
          <w:rFonts w:eastAsiaTheme="minorHAnsi"/>
        </w:rPr>
        <w:t>&lt; 0.05, **</w:t>
      </w:r>
      <w:r w:rsidR="00E73AE1" w:rsidRPr="0084140C">
        <w:rPr>
          <w:rFonts w:eastAsiaTheme="minorHAnsi"/>
          <w:i/>
          <w:iCs/>
        </w:rPr>
        <w:t xml:space="preserve">p </w:t>
      </w:r>
      <w:r w:rsidR="00E73AE1" w:rsidRPr="0084140C">
        <w:rPr>
          <w:rFonts w:eastAsiaTheme="minorHAnsi"/>
        </w:rPr>
        <w:t>&lt; 0.01, ***</w:t>
      </w:r>
      <w:r w:rsidR="00E73AE1" w:rsidRPr="0084140C">
        <w:rPr>
          <w:rFonts w:eastAsiaTheme="minorHAnsi"/>
          <w:i/>
          <w:iCs/>
        </w:rPr>
        <w:t xml:space="preserve">p </w:t>
      </w:r>
      <w:r w:rsidR="00E73AE1" w:rsidRPr="0084140C">
        <w:rPr>
          <w:rFonts w:eastAsiaTheme="minorHAnsi"/>
        </w:rPr>
        <w:t>&lt; 0.001, ****</w:t>
      </w:r>
      <w:r w:rsidR="00E73AE1" w:rsidRPr="0084140C">
        <w:rPr>
          <w:rFonts w:eastAsiaTheme="minorHAnsi"/>
          <w:i/>
          <w:iCs/>
        </w:rPr>
        <w:t xml:space="preserve">p </w:t>
      </w:r>
      <w:r w:rsidR="00E73AE1" w:rsidRPr="0084140C">
        <w:rPr>
          <w:rFonts w:eastAsiaTheme="minorHAnsi"/>
        </w:rPr>
        <w:t>&lt; 0.0001. FL: subjects with fatty liver disease; IQR: interquartile range; NF: nonfatty liver control group.</w:t>
      </w:r>
    </w:p>
    <w:p w14:paraId="7A7F7A2A" w14:textId="21782BC9" w:rsidR="00E73AE1" w:rsidRPr="0084140C" w:rsidRDefault="00264D1C" w:rsidP="00E73AE1">
      <w:pPr>
        <w:spacing w:before="240"/>
        <w:rPr>
          <w:rFonts w:eastAsiaTheme="minorHAnsi"/>
        </w:rPr>
      </w:pPr>
      <w:r w:rsidRPr="00264D1C">
        <w:t xml:space="preserve">Supplementary Figure </w:t>
      </w:r>
      <w:r w:rsidRPr="00264D1C">
        <w:t>2</w:t>
      </w:r>
      <w:r w:rsidRPr="00264D1C">
        <w:t>.</w:t>
      </w:r>
      <w:r w:rsidRPr="00264D1C">
        <w:t xml:space="preserve"> </w:t>
      </w:r>
      <w:r w:rsidR="00E73AE1" w:rsidRPr="0084140C">
        <w:rPr>
          <w:rFonts w:eastAsiaTheme="minorHAnsi"/>
          <w:b/>
          <w:bCs/>
        </w:rPr>
        <w:t>RF classifiers differentiating IRNF and IRFL.</w:t>
      </w:r>
      <w:r w:rsidR="00E73AE1" w:rsidRPr="0084140C">
        <w:rPr>
          <w:rFonts w:eastAsiaTheme="minorHAnsi"/>
        </w:rPr>
        <w:t xml:space="preserve"> (</w:t>
      </w:r>
      <w:r w:rsidR="00A02D81">
        <w:rPr>
          <w:rFonts w:eastAsiaTheme="minorHAnsi"/>
        </w:rPr>
        <w:t>a</w:t>
      </w:r>
      <w:r w:rsidR="00E73AE1" w:rsidRPr="0084140C">
        <w:rPr>
          <w:rFonts w:eastAsiaTheme="minorHAnsi"/>
        </w:rPr>
        <w:t xml:space="preserve">) </w:t>
      </w:r>
      <w:proofErr w:type="spellStart"/>
      <w:r w:rsidR="00E73AE1" w:rsidRPr="0084140C">
        <w:rPr>
          <w:rFonts w:eastAsiaTheme="minorHAnsi"/>
        </w:rPr>
        <w:t>PCoA</w:t>
      </w:r>
      <w:proofErr w:type="spellEnd"/>
      <w:r w:rsidR="00E73AE1" w:rsidRPr="0084140C">
        <w:rPr>
          <w:rFonts w:eastAsiaTheme="minorHAnsi"/>
        </w:rPr>
        <w:t xml:space="preserve"> analysis between IRNF and IRFL. (</w:t>
      </w:r>
      <w:r w:rsidR="00A02D81">
        <w:rPr>
          <w:rFonts w:eastAsiaTheme="minorHAnsi"/>
        </w:rPr>
        <w:t>b</w:t>
      </w:r>
      <w:r w:rsidR="00E73AE1" w:rsidRPr="0084140C">
        <w:rPr>
          <w:rFonts w:eastAsiaTheme="minorHAnsi"/>
        </w:rPr>
        <w:t>) ROC curves of predictors classifying IRNF and IRFL with different numbers of informative features and their AUROC.</w:t>
      </w:r>
      <w:r w:rsidR="00E73AE1">
        <w:rPr>
          <w:rFonts w:eastAsiaTheme="minorHAnsi"/>
        </w:rPr>
        <w:t xml:space="preserve"> AUROC: area under receiver operating characteristic curve; IRFL: fatty liver subjects featuring insulin resistance; IRNF: nonfatty liver control group featuring insulin resistance; </w:t>
      </w:r>
      <w:proofErr w:type="spellStart"/>
      <w:r w:rsidR="00E73AE1">
        <w:rPr>
          <w:rFonts w:eastAsiaTheme="minorHAnsi"/>
        </w:rPr>
        <w:t>PCoA</w:t>
      </w:r>
      <w:proofErr w:type="spellEnd"/>
      <w:r w:rsidR="00E73AE1">
        <w:rPr>
          <w:rFonts w:eastAsiaTheme="minorHAnsi"/>
        </w:rPr>
        <w:t xml:space="preserve">: principal coordinate analysis; ROC: receiver operating characteristic. </w:t>
      </w:r>
    </w:p>
    <w:p w14:paraId="7ACF18E0" w14:textId="696301C3" w:rsidR="005B10DB" w:rsidRPr="005B10DB" w:rsidRDefault="00264D1C" w:rsidP="005B10DB">
      <w:pPr>
        <w:pStyle w:val="Figurecaption"/>
        <w:spacing w:line="480" w:lineRule="auto"/>
        <w:rPr>
          <w:lang w:val="en-US"/>
        </w:rPr>
      </w:pPr>
      <w:r w:rsidRPr="00264D1C">
        <w:t xml:space="preserve">Supplementary Figure </w:t>
      </w:r>
      <w:r w:rsidRPr="00264D1C">
        <w:t>3</w:t>
      </w:r>
      <w:r w:rsidRPr="00264D1C">
        <w:t xml:space="preserve">. </w:t>
      </w:r>
      <w:r w:rsidR="005B10DB" w:rsidRPr="005B10DB">
        <w:rPr>
          <w:b/>
          <w:bCs/>
          <w:lang w:val="en-US"/>
        </w:rPr>
        <w:t xml:space="preserve">The workflow of GA for discovery of the optimum genera for IRFL diagnosis. </w:t>
      </w:r>
      <w:r w:rsidR="005B10DB" w:rsidRPr="005B10DB">
        <w:rPr>
          <w:lang w:val="en-US"/>
        </w:rPr>
        <w:t>Initial population comprises of 300 individuals. With RF classifiers, fitness function is calculated for each individual, then GA select</w:t>
      </w:r>
      <w:r w:rsidR="00A02D81">
        <w:rPr>
          <w:lang w:val="en-US"/>
        </w:rPr>
        <w:t>ed</w:t>
      </w:r>
      <w:r w:rsidR="005B10DB" w:rsidRPr="005B10DB">
        <w:rPr>
          <w:lang w:val="en-US"/>
        </w:rPr>
        <w:t xml:space="preserve"> the fittest individual having the highest fitness score. With the fittest individual, the other individuals are produced for next generation, and crossover and mutation are applied to the newly produced individuals.</w:t>
      </w:r>
    </w:p>
    <w:p w14:paraId="180612B5" w14:textId="75FA4527" w:rsidR="00E73AE1" w:rsidRPr="0084140C" w:rsidRDefault="00264D1C" w:rsidP="005B10DB">
      <w:pPr>
        <w:pStyle w:val="Figurecaption"/>
        <w:spacing w:line="480" w:lineRule="auto"/>
        <w:rPr>
          <w:rFonts w:eastAsiaTheme="minorHAnsi"/>
        </w:rPr>
      </w:pPr>
      <w:r w:rsidRPr="00264D1C">
        <w:t xml:space="preserve">Supplementary Figure </w:t>
      </w:r>
      <w:r w:rsidRPr="00264D1C">
        <w:t>4</w:t>
      </w:r>
      <w:r w:rsidRPr="00264D1C">
        <w:t xml:space="preserve">. </w:t>
      </w:r>
      <w:r w:rsidR="00E73AE1" w:rsidRPr="0084140C">
        <w:rPr>
          <w:rFonts w:eastAsiaTheme="minorHAnsi"/>
          <w:b/>
          <w:bCs/>
        </w:rPr>
        <w:t>GA-applied classifier differentiating ISNF and ISFL.</w:t>
      </w:r>
      <w:r w:rsidR="00E73AE1" w:rsidRPr="0084140C">
        <w:rPr>
          <w:rFonts w:eastAsiaTheme="minorHAnsi"/>
        </w:rPr>
        <w:t xml:space="preserve"> (A) An ROC curve of the predictor classifying IRNF and IRFL and its AUROC. (B) Relative abundances of discriminative features in 8-feature prediction model in ISNF and ISFL. (C) Violin plots displaying relative abundances of representative core informative features of IRFL classifier in ISNF and ISFL.</w:t>
      </w:r>
      <w:r w:rsidR="00E73AE1">
        <w:rPr>
          <w:rFonts w:eastAsiaTheme="minorHAnsi"/>
        </w:rPr>
        <w:t xml:space="preserve"> AUROC: area under receiver operating characteristic </w:t>
      </w:r>
      <w:r w:rsidR="00E73AE1">
        <w:rPr>
          <w:rFonts w:eastAsiaTheme="minorHAnsi"/>
        </w:rPr>
        <w:lastRenderedPageBreak/>
        <w:t xml:space="preserve">curve; IRFL: fatty liver subjects featuring insulin resistance; IRNF: nonfatty liver control group featuring insulin resistance; ISFL: fatty liver subjects featuring insulin sensitivity; ISNF: nonfatty liver control group featuring insulin sensitivity; ROC: receiver operating characteristic. </w:t>
      </w:r>
    </w:p>
    <w:p w14:paraId="3BF920BB" w14:textId="3C086C98" w:rsidR="00AC6D63" w:rsidRPr="00264D1C" w:rsidRDefault="00AC6D63" w:rsidP="00AC6D63">
      <w:pPr>
        <w:rPr>
          <w:lang w:val="en-US"/>
        </w:rPr>
      </w:pPr>
    </w:p>
    <w:sectPr w:rsidR="00AC6D63" w:rsidRPr="00264D1C">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D63"/>
    <w:rsid w:val="00264D1C"/>
    <w:rsid w:val="005B10DB"/>
    <w:rsid w:val="00A02D81"/>
    <w:rsid w:val="00A07370"/>
    <w:rsid w:val="00AC6D63"/>
    <w:rsid w:val="00E248EF"/>
    <w:rsid w:val="00E73AE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80966"/>
  <w15:chartTrackingRefBased/>
  <w15:docId w15:val="{FD1F5C0E-DEBA-49B5-9E55-F1E199381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4D1C"/>
    <w:pPr>
      <w:spacing w:after="0" w:line="480" w:lineRule="auto"/>
      <w:jc w:val="left"/>
    </w:pPr>
    <w:rPr>
      <w:rFonts w:ascii="Times New Roman" w:hAnsi="Times New Roman" w:cs="Times New Roman"/>
      <w:kern w:val="0"/>
      <w:sz w:val="24"/>
      <w:szCs w:val="24"/>
      <w:lang w:val="en-GB" w:eastAsia="en-GB"/>
    </w:rPr>
  </w:style>
  <w:style w:type="paragraph" w:styleId="1">
    <w:name w:val="heading 1"/>
    <w:basedOn w:val="a"/>
    <w:next w:val="a"/>
    <w:link w:val="1Char"/>
    <w:uiPriority w:val="9"/>
    <w:qFormat/>
    <w:rsid w:val="00264D1C"/>
    <w:pPr>
      <w:keepNext/>
      <w:spacing w:before="360" w:after="60" w:line="360" w:lineRule="auto"/>
      <w:ind w:right="567"/>
      <w:contextualSpacing/>
      <w:outlineLvl w:val="0"/>
    </w:pPr>
    <w:rPr>
      <w:rFonts w:cs="Arial"/>
      <w:b/>
      <w:bCs/>
      <w:kern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264D1C"/>
    <w:rPr>
      <w:rFonts w:ascii="Times New Roman" w:hAnsi="Times New Roman" w:cs="Arial"/>
      <w:b/>
      <w:bCs/>
      <w:kern w:val="32"/>
      <w:sz w:val="24"/>
      <w:szCs w:val="32"/>
      <w:lang w:val="en-GB" w:eastAsia="en-GB"/>
    </w:rPr>
  </w:style>
  <w:style w:type="paragraph" w:customStyle="1" w:styleId="Figurecaption">
    <w:name w:val="Figure caption"/>
    <w:basedOn w:val="a"/>
    <w:next w:val="a"/>
    <w:qFormat/>
    <w:rsid w:val="00264D1C"/>
    <w:pPr>
      <w:spacing w:before="240" w:line="360" w:lineRule="auto"/>
    </w:pPr>
  </w:style>
  <w:style w:type="paragraph" w:styleId="a3">
    <w:name w:val="Normal (Web)"/>
    <w:basedOn w:val="a"/>
    <w:uiPriority w:val="99"/>
    <w:semiHidden/>
    <w:unhideWhenUsed/>
    <w:rsid w:val="005B10DB"/>
    <w:pPr>
      <w:spacing w:before="100" w:beforeAutospacing="1" w:after="100" w:afterAutospacing="1" w:line="240" w:lineRule="auto"/>
    </w:pPr>
    <w:rPr>
      <w:rFonts w:ascii="굴림" w:eastAsia="굴림" w:hAnsi="굴림" w:cs="굴림"/>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174314">
      <w:bodyDiv w:val="1"/>
      <w:marLeft w:val="0"/>
      <w:marRight w:val="0"/>
      <w:marTop w:val="0"/>
      <w:marBottom w:val="0"/>
      <w:divBdr>
        <w:top w:val="none" w:sz="0" w:space="0" w:color="auto"/>
        <w:left w:val="none" w:sz="0" w:space="0" w:color="auto"/>
        <w:bottom w:val="none" w:sz="0" w:space="0" w:color="auto"/>
        <w:right w:val="none" w:sz="0" w:space="0" w:color="auto"/>
      </w:divBdr>
    </w:div>
    <w:div w:id="65695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333</Words>
  <Characters>1900</Characters>
  <Application>Microsoft Office Word</Application>
  <DocSecurity>0</DocSecurity>
  <Lines>15</Lines>
  <Paragraphs>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baekikang@gmail.com</dc:creator>
  <cp:keywords/>
  <dc:description/>
  <cp:lastModifiedBy>baekikang@gmail.com</cp:lastModifiedBy>
  <cp:revision>1</cp:revision>
  <dcterms:created xsi:type="dcterms:W3CDTF">2022-05-17T12:48:00Z</dcterms:created>
  <dcterms:modified xsi:type="dcterms:W3CDTF">2022-05-17T13:11:00Z</dcterms:modified>
</cp:coreProperties>
</file>