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CF63" w14:textId="4A81FDF9" w:rsidR="007F7C7B" w:rsidRPr="007051CB" w:rsidRDefault="00F625D1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b/>
          <w:color w:val="000000"/>
          <w:sz w:val="22"/>
          <w:szCs w:val="22"/>
        </w:rPr>
      </w:pPr>
      <w:r w:rsidRPr="007051CB">
        <w:rPr>
          <w:rFonts w:ascii="Times New Roman" w:eastAsia="ヒラギノ明朝 Pro W3" w:hAnsi="Times New Roman" w:cs="Times New Roman"/>
          <w:b/>
          <w:color w:val="000000"/>
          <w:sz w:val="22"/>
          <w:szCs w:val="22"/>
        </w:rPr>
        <w:t>Supplementary Information</w:t>
      </w:r>
    </w:p>
    <w:p w14:paraId="30B255AE" w14:textId="61EF72D2" w:rsidR="009831DB" w:rsidRPr="00F625D1" w:rsidRDefault="00561E85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noProof/>
          <w:color w:val="000000"/>
          <w:sz w:val="22"/>
          <w:szCs w:val="22"/>
        </w:rPr>
        <w:drawing>
          <wp:inline distT="0" distB="0" distL="0" distR="0" wp14:anchorId="6E26763A" wp14:editId="36599E40">
            <wp:extent cx="3011557" cy="325688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2582" cy="327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2831D" w14:textId="634B8904" w:rsidR="00FB14A7" w:rsidRPr="00742997" w:rsidRDefault="00FB14A7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Supplementary Figure </w:t>
      </w:r>
      <w:r w:rsidR="00F625D1"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S</w:t>
      </w: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1. </w:t>
      </w: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Boxplot showing the association between the PD-L1 tumor proportion score and severe immune-related adverse events (irAEs)</w:t>
      </w:r>
    </w:p>
    <w:p w14:paraId="6C846698" w14:textId="441F5491" w:rsidR="00B27D16" w:rsidRPr="00742997" w:rsidRDefault="00B27D16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PD-L1, programmed cell death ligand 1</w:t>
      </w:r>
    </w:p>
    <w:p w14:paraId="7B6B6847" w14:textId="77777777" w:rsidR="00561E85" w:rsidRPr="00742997" w:rsidRDefault="00561E85" w:rsidP="00742997">
      <w:pPr>
        <w:widowControl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br w:type="page"/>
      </w:r>
    </w:p>
    <w:p w14:paraId="58C8BC5F" w14:textId="77777777" w:rsidR="00FB14A7" w:rsidRPr="007051CB" w:rsidRDefault="00FB14A7" w:rsidP="00742997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</w:p>
    <w:p w14:paraId="68D6A14C" w14:textId="6D8314FA" w:rsidR="009831DB" w:rsidRPr="00F625D1" w:rsidRDefault="00C444DB" w:rsidP="00742997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noProof/>
          <w:color w:val="000000"/>
          <w:sz w:val="22"/>
          <w:szCs w:val="22"/>
        </w:rPr>
        <w:drawing>
          <wp:inline distT="0" distB="0" distL="0" distR="0" wp14:anchorId="0689B661" wp14:editId="2FFDDE98">
            <wp:extent cx="5237922" cy="3523177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453" cy="354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03D78" w14:textId="04D1A827" w:rsidR="00FB14A7" w:rsidRPr="00742997" w:rsidRDefault="00FB14A7" w:rsidP="007051CB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Supplementary Figure </w:t>
      </w:r>
      <w:r w:rsidR="00F625D1"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S</w:t>
      </w: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2 Progression-free survival in patients who had irAEs</w:t>
      </w:r>
      <w:r w:rsidRPr="00742997" w:rsidDel="00565F10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 </w:t>
      </w: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leading to treatment discontinuation using Kaplan-Meier curve</w:t>
      </w:r>
    </w:p>
    <w:p w14:paraId="41CBFE3E" w14:textId="4D3FC9F4" w:rsidR="00FB14A7" w:rsidRPr="007051CB" w:rsidRDefault="00FB14A7" w:rsidP="007051CB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PFS, progression-free survival; NA, not available; HR, hazard ratio; CI, confidence interval; irAEs, immune-related a</w:t>
      </w:r>
      <w:r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dverse events. </w:t>
      </w:r>
      <w:r w:rsidR="00F625D1"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The median </w:t>
      </w:r>
      <w:r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follow-up period was 11.5 months (range: 3.5–16.7</w:t>
      </w:r>
      <w:r w:rsidR="00F625D1"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 months</w:t>
      </w:r>
      <w:r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).</w:t>
      </w:r>
    </w:p>
    <w:p w14:paraId="790508D3" w14:textId="77777777" w:rsidR="00C444DB" w:rsidRPr="007051CB" w:rsidRDefault="00C444DB" w:rsidP="007051CB">
      <w:pPr>
        <w:widowControl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br w:type="page"/>
      </w:r>
    </w:p>
    <w:p w14:paraId="4F645DDA" w14:textId="643E9E44" w:rsidR="00C444DB" w:rsidRPr="00F625D1" w:rsidRDefault="00C444DB" w:rsidP="007051CB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noProof/>
          <w:color w:val="000000"/>
          <w:sz w:val="22"/>
          <w:szCs w:val="22"/>
        </w:rPr>
        <w:lastRenderedPageBreak/>
        <w:drawing>
          <wp:inline distT="0" distB="0" distL="0" distR="0" wp14:anchorId="514A8D2A" wp14:editId="0B6D88D9">
            <wp:extent cx="5446644" cy="3628959"/>
            <wp:effectExtent l="0" t="0" r="1905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9816" cy="365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D3DC5" w14:textId="3E21D614" w:rsidR="00513734" w:rsidRPr="00F625D1" w:rsidRDefault="00513734" w:rsidP="007051CB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Supplementary Figure </w:t>
      </w:r>
      <w:r w:rsidR="00F625D1"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S</w:t>
      </w: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3. Progression-free survival in patients who had grade </w:t>
      </w:r>
      <w:r w:rsidRPr="00F625D1">
        <w:rPr>
          <w:rFonts w:ascii="Times New Roman" w:eastAsia="游ゴシック" w:hAnsi="Times New Roman" w:cs="Times New Roman"/>
          <w:color w:val="000000"/>
          <w:sz w:val="22"/>
          <w:szCs w:val="22"/>
        </w:rPr>
        <w:t>≥</w:t>
      </w: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3 irAEs</w:t>
      </w:r>
    </w:p>
    <w:p w14:paraId="0387875C" w14:textId="0D1076C9" w:rsidR="00513734" w:rsidRDefault="00513734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PFS, progression-free survival; NA, not available; HR, hazard ratio; CI, confidence interval; irAEs, immune-related adverse events. </w:t>
      </w:r>
      <w:r w:rsidR="00F625D1"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The median </w:t>
      </w: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follow-up period was 11.5 months (3.5–16.7</w:t>
      </w:r>
      <w:r w:rsidR="00F625D1"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 months</w:t>
      </w:r>
      <w:r w:rsidRP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).</w:t>
      </w:r>
    </w:p>
    <w:p w14:paraId="7E062ACA" w14:textId="77777777" w:rsidR="00F625D1" w:rsidRDefault="00F625D1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  <w:sectPr w:rsidR="00F625D1" w:rsidSect="00F625D1">
          <w:pgSz w:w="11900" w:h="16840" w:code="9"/>
          <w:pgMar w:top="1985" w:right="1701" w:bottom="1701" w:left="1701" w:header="851" w:footer="992" w:gutter="0"/>
          <w:cols w:space="425"/>
          <w:docGrid w:linePitch="360"/>
        </w:sectPr>
      </w:pPr>
    </w:p>
    <w:p w14:paraId="427E2D52" w14:textId="0B1D13EC" w:rsidR="009831DB" w:rsidRPr="00742997" w:rsidRDefault="009831DB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lastRenderedPageBreak/>
        <w:t xml:space="preserve">Supplementary Table </w:t>
      </w:r>
      <w:r w:rsidR="00F625D1"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S</w:t>
      </w: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1. Summary of the number and severity of immune-re</w:t>
      </w: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lated adverse events in</w:t>
      </w:r>
      <w:r w:rsidR="00E60D64"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 xml:space="preserve"> </w:t>
      </w:r>
      <w:r w:rsidRPr="00742997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patients treated with nivolumab plus ipilimumab with or without chemotherapy</w:t>
      </w:r>
    </w:p>
    <w:p w14:paraId="7D9D828B" w14:textId="28E9F6AE" w:rsidR="009831DB" w:rsidRPr="007051CB" w:rsidRDefault="009831DB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</w:p>
    <w:tbl>
      <w:tblPr>
        <w:tblW w:w="134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0"/>
        <w:gridCol w:w="907"/>
        <w:gridCol w:w="981"/>
        <w:gridCol w:w="1059"/>
        <w:gridCol w:w="675"/>
        <w:gridCol w:w="1299"/>
        <w:gridCol w:w="1665"/>
        <w:gridCol w:w="1372"/>
        <w:gridCol w:w="1054"/>
        <w:gridCol w:w="1054"/>
        <w:gridCol w:w="1299"/>
        <w:gridCol w:w="1029"/>
        <w:gridCol w:w="1323"/>
      </w:tblGrid>
      <w:tr w:rsidR="0073073F" w:rsidRPr="007051CB" w14:paraId="02E4D658" w14:textId="77777777" w:rsidTr="007051CB">
        <w:trPr>
          <w:trHeight w:val="772"/>
        </w:trPr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4870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Treatment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E24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Overall </w:t>
            </w: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br/>
              <w:t>tumor burden (mm)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8E7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Number of irAEs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D436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Grade ≥3 irAE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9E4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Rash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AF2E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Endocrine dysfunction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5F52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Diarrhea/colitis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A42C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Pneumonitis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273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Hepatitis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CD32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Infusion-related reaction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E44A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Nephritis and renal dysfunction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BCA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Arthritis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ECB9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Pancreatitis</w:t>
            </w:r>
          </w:p>
        </w:tc>
      </w:tr>
      <w:tr w:rsidR="0073073F" w:rsidRPr="007051CB" w14:paraId="30495D21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9EE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A87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801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443B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5CA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6EF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2D6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DEA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676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109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7A5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67F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4AC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41AC962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6949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C69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E9C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5159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AC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C7A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3EB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CAC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93F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D90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804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9C6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F7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BF845DA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C9D6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3CE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6A9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5E67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61B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C00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C37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433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6B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1F0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A9B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68B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F38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33C671E9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CA4D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CF6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C53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83B0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B83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5E6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B7F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04F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E12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A7E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E90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27F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8BE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477C3074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CC79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E4C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F9A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D841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2C3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753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08D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E09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F64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A6D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48C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60B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7B6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5BFCC00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BACA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6CB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9CF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9855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BE3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D6F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B36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189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05B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F5E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963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4F6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8AA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2E929E16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21ED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643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4F9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337F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537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159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D48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AE4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25E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BA4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FC5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132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D96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0EF6E55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77F0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B22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DCC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CC17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4E7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243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65A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DF2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ADB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522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008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25A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1D0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688D4813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961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905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95A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E48B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620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06A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198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F00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789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F5B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C07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F55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EF7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179F409E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E25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CFA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590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95C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4E16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7B7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0CB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F6A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7DB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E5C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B6D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2F0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843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</w:tr>
      <w:tr w:rsidR="0073073F" w:rsidRPr="007051CB" w14:paraId="317BB4E6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A7B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174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E0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E26E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543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0CB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761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47F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784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D43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4A6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088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B6C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639B9A3D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7AA8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E81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901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211D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566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E42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204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621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EB5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7B2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B91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9D3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3C7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4CB8A6B6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8FD6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8A8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074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FFE5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D5C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ED4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D3E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C6A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623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7DC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F6F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2AA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38B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748A7CC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72F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B90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79E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C6F9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047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2F8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1F8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0F5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C7F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012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3EB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9F0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B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6185A432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436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CD4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41D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4E96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B1E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A37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D19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9BB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895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774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8A2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9A9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457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3073F" w:rsidRPr="007051CB" w14:paraId="66ACD102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F45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C5A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808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6621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C47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308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357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D2F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ACA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B1C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0BF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04A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798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54DCD860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36E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364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331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C523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B53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EA1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0A7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1AC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EEF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9B4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BDF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CDF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9F5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CC10BBE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5C53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05B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8B8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A7C9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8E4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25D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801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147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4F0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F2B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7C1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799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947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545FD926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C6BF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B00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CE3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ED5F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23BD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D56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0F7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E91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86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147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7A6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21A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B68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1E02297B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A5A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35B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FBF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9702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F9C5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F6C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D01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F65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6EB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B5F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EF7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8D1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714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2742A4BE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285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E84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EA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3139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56A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79A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4F6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7B7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260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B10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B12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4F4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7CF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599121F1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6D4B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DD4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DFD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94ED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FCB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262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CEB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907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BF0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8CC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EBC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660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AC2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61E2C7CA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0095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4DC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14C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DA53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9FA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D37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312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A1F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7EE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85F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107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02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03D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1903040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78B6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451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463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A08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A6B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EF5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3C3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B80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52B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EC9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391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CE5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54A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19039933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F4F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BEC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DFF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9EC8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444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7D8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9C6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BDE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9C5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8EE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94E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0DC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62A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28074796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03C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E9B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1E6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E256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D39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F86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7C8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1D7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CF8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36D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D20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8DB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902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674F21B1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21A3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5A5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C70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F28D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C0E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155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9C7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B38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347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546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D75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839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012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5936CD3E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C775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127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07D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D458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282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625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D0E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800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FF9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C0C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A7B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5F5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246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48334D89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CB73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7DD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782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0C5E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70E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1AD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EB9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D38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E42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F31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101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7F3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90F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44434BC2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24E6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596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714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AF8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34A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87C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6FE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C00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128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6E6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6F8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027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2FF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53012A50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E30C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6AA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8E7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3B22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6C8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72F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7EE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980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D15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B27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84B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87B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87D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2A397D2A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110A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F5D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254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B9E2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E99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510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E60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0B2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DAD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895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34E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768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24F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198B9D6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36EC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9CD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AD3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9554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B7D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9F4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782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329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02A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B03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D96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CB3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AAF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65D13239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E423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6BB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DBC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F18E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9819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C3C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B60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6F4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DCB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99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F2D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D44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EF3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3BCA556C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0B0B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278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72F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40CB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A341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EA0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DA4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619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986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6F7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2B3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573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8CF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52D17DE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BDAB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671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913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6C68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9691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08C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747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C4B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FDD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2A7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0F5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830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9E3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254AAA5C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9A91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D01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A15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0795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A08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BDE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073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765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D6D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1F2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C60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F69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706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164D11EE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652D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6CD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C46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7C07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FAA0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9D2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95A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67B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799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C8A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A89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23A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228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3073F" w:rsidRPr="007051CB" w14:paraId="36D2DBCC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8C5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886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AF3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6623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48A6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D7E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A8D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C1E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A28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905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AF3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187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6EC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5A4A8D14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FA5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0EF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AD8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78B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3922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A4B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F8B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58F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70D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C186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199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26C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6CB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169CC887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31CB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951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6F8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2AFF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4A03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129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A30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C11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A99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5F8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64B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431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23F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664BE233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A32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082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D3D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0678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E1A3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255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A56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993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C3F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D7E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B39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F58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2D4F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7FD562DE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1A8B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C3A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C0D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F1B8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CBC0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6F85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3B60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A79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4444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BA9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6A0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531B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EE01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48FAAB7C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EDBE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 +chemo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07E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564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ADF3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Present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2549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2B7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A58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634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D97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4E73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  <w:t>G4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7AE8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9C0006"/>
                <w:kern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DAB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8BE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73073F" w:rsidRPr="007051CB" w14:paraId="30C48AF7" w14:textId="77777777" w:rsidTr="007051CB">
        <w:trPr>
          <w:trHeight w:val="363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18A3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Nivo + Ipi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0357A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0467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BFF1A" w14:textId="77777777" w:rsidR="0073073F" w:rsidRPr="007051CB" w:rsidRDefault="0073073F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Absent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640F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635BE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88BD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9C4CC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F8C1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4139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8ECB7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E0D7D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82232" w14:textId="77777777" w:rsidR="0073073F" w:rsidRPr="007051CB" w:rsidRDefault="0073073F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1EA613F2" w14:textId="765D18EE" w:rsidR="009831DB" w:rsidRPr="00F625D1" w:rsidRDefault="00F625D1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Nivo, nivolimab; Ipi, ipilimumab; chemo, chemotherapy</w:t>
      </w:r>
    </w:p>
    <w:p w14:paraId="7CF8F9BB" w14:textId="77777777" w:rsidR="00F625D1" w:rsidRDefault="00F625D1" w:rsidP="00F625D1">
      <w:pPr>
        <w:widowControl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</w:p>
    <w:p w14:paraId="44B25088" w14:textId="77777777" w:rsidR="00F625D1" w:rsidRDefault="00F625D1" w:rsidP="00F625D1">
      <w:pPr>
        <w:widowControl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  <w:sectPr w:rsidR="00F625D1" w:rsidSect="00742997">
          <w:pgSz w:w="16840" w:h="11900" w:orient="landscape" w:code="9"/>
          <w:pgMar w:top="1701" w:right="1985" w:bottom="1701" w:left="1701" w:header="851" w:footer="992" w:gutter="0"/>
          <w:cols w:space="425"/>
          <w:docGrid w:linePitch="360"/>
        </w:sectPr>
      </w:pPr>
    </w:p>
    <w:p w14:paraId="6457F1B8" w14:textId="2CD79D93" w:rsidR="009831DB" w:rsidRPr="00F625D1" w:rsidRDefault="009831DB" w:rsidP="00F625D1">
      <w:pPr>
        <w:tabs>
          <w:tab w:val="center" w:pos="4249"/>
        </w:tabs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lastRenderedPageBreak/>
        <w:t xml:space="preserve">Supplementary Table </w:t>
      </w:r>
      <w:r w:rsid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S</w:t>
      </w: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2. Summary of immune-related adverse events in all patients treated with nivolumab plus ipilimumab with or without chemotherapy</w:t>
      </w:r>
    </w:p>
    <w:tbl>
      <w:tblPr>
        <w:tblW w:w="71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60"/>
        <w:gridCol w:w="1540"/>
        <w:gridCol w:w="1540"/>
      </w:tblGrid>
      <w:tr w:rsidR="00A630FA" w:rsidRPr="007051CB" w14:paraId="7B007166" w14:textId="77777777" w:rsidTr="00A630FA">
        <w:trPr>
          <w:trHeight w:val="580"/>
        </w:trPr>
        <w:tc>
          <w:tcPr>
            <w:tcW w:w="4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0E7D" w14:textId="77777777" w:rsidR="00A630FA" w:rsidRPr="007051CB" w:rsidRDefault="00A630FA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C5A0" w14:textId="05AE5E90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n = </w:t>
            </w:r>
            <w:r w:rsidR="00496179"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</w:tr>
      <w:tr w:rsidR="00A630FA" w:rsidRPr="007051CB" w14:paraId="42F1C49B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B53EF" w14:textId="77777777" w:rsidR="00A630FA" w:rsidRPr="007051CB" w:rsidRDefault="00A630FA" w:rsidP="00F625D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FD7A8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All grades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12E15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Grade ≥3</w:t>
            </w:r>
          </w:p>
        </w:tc>
      </w:tr>
      <w:tr w:rsidR="00A630FA" w:rsidRPr="007051CB" w14:paraId="70E2FE67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3437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Rash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0DE1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 (46.0%)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39CB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 (15.9%)</w:t>
            </w:r>
          </w:p>
        </w:tc>
      </w:tr>
      <w:tr w:rsidR="00A630FA" w:rsidRPr="007051CB" w14:paraId="0A868EDF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B791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Endocrine dysfunction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2325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 (22.2%)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2ABF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A630FA" w:rsidRPr="007051CB" w14:paraId="0DF5749B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BE4D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Pneumonitis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8023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 (17.4%)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BBB2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 (9.5%)</w:t>
            </w:r>
          </w:p>
        </w:tc>
      </w:tr>
      <w:tr w:rsidR="00A630FA" w:rsidRPr="007051CB" w14:paraId="01160B97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2917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Diarrhea/colitis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157A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 (11.1%)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8CB0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 (6.3%)</w:t>
            </w:r>
          </w:p>
        </w:tc>
      </w:tr>
      <w:tr w:rsidR="00A630FA" w:rsidRPr="007051CB" w14:paraId="26C48932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568E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Hepatitis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4FFF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 (11.1%)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9060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 (4.8%)</w:t>
            </w:r>
          </w:p>
        </w:tc>
      </w:tr>
      <w:tr w:rsidR="00A630FA" w:rsidRPr="007051CB" w14:paraId="3E4146C2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003B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Infusion-related reaction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B2B3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 (6.3%)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39A6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 (3.2%)</w:t>
            </w:r>
          </w:p>
        </w:tc>
      </w:tr>
      <w:tr w:rsidR="00A630FA" w:rsidRPr="007051CB" w14:paraId="41F27B17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55D1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Nephritis and renal dysfunction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2EDB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 (3.2%)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7209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 (3.2%)</w:t>
            </w:r>
          </w:p>
        </w:tc>
      </w:tr>
      <w:tr w:rsidR="00A630FA" w:rsidRPr="007051CB" w14:paraId="24DEE52F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0790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Arthritis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C97F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 (3.2%)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F118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A630FA" w:rsidRPr="007051CB" w14:paraId="776D598E" w14:textId="77777777" w:rsidTr="00A630FA">
        <w:trPr>
          <w:trHeight w:val="36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B1026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Pancreatitis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72DA3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 (1.6%)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EAA06" w14:textId="77777777" w:rsidR="00A630FA" w:rsidRPr="007051CB" w:rsidRDefault="00A630FA" w:rsidP="007051C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 (1.6%)</w:t>
            </w:r>
          </w:p>
        </w:tc>
      </w:tr>
    </w:tbl>
    <w:p w14:paraId="1CE112A3" w14:textId="20845C14" w:rsidR="009831DB" w:rsidRPr="00F625D1" w:rsidRDefault="009831DB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</w:p>
    <w:p w14:paraId="27063DDE" w14:textId="77777777" w:rsidR="00EA7210" w:rsidRPr="00F625D1" w:rsidRDefault="00EA7210" w:rsidP="00F625D1">
      <w:pPr>
        <w:widowControl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br w:type="page"/>
      </w:r>
    </w:p>
    <w:p w14:paraId="0194B52F" w14:textId="71B09045" w:rsidR="009831DB" w:rsidRPr="00742997" w:rsidRDefault="009831DB" w:rsidP="00F625D1">
      <w:pPr>
        <w:spacing w:line="480" w:lineRule="auto"/>
        <w:jc w:val="left"/>
        <w:rPr>
          <w:rFonts w:ascii="Times New Roman" w:eastAsia="ヒラギノ明朝 Pro W3" w:hAnsi="Times New Roman" w:cs="Times New Roman"/>
          <w:color w:val="000000"/>
          <w:sz w:val="22"/>
          <w:szCs w:val="22"/>
        </w:rPr>
      </w:pP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lastRenderedPageBreak/>
        <w:t xml:space="preserve">Supplementary Table </w:t>
      </w:r>
      <w:r w:rsidR="007051CB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S</w:t>
      </w:r>
      <w:r w:rsidRPr="00F625D1">
        <w:rPr>
          <w:rFonts w:ascii="Times New Roman" w:eastAsia="ヒラギノ明朝 Pro W3" w:hAnsi="Times New Roman" w:cs="Times New Roman"/>
          <w:color w:val="000000"/>
          <w:sz w:val="22"/>
          <w:szCs w:val="22"/>
        </w:rPr>
        <w:t>3. Time to onset of any grade immune-related adverse events in patients treated with nivolumab plus ipilimumab with or without chemotherapy (months)</w:t>
      </w:r>
    </w:p>
    <w:tbl>
      <w:tblPr>
        <w:tblW w:w="82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1"/>
        <w:gridCol w:w="2314"/>
        <w:gridCol w:w="2314"/>
      </w:tblGrid>
      <w:tr w:rsidR="00FE6E22" w:rsidRPr="007051CB" w14:paraId="160E4C19" w14:textId="77777777" w:rsidTr="00FE6E22">
        <w:trPr>
          <w:trHeight w:val="362"/>
        </w:trPr>
        <w:tc>
          <w:tcPr>
            <w:tcW w:w="3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6327" w14:textId="77777777" w:rsidR="00FE6E22" w:rsidRPr="007051CB" w:rsidRDefault="00FE6E22" w:rsidP="00F625D1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9EF7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Grade 1 or 2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54BA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Grade ≥3</w:t>
            </w:r>
          </w:p>
        </w:tc>
      </w:tr>
      <w:tr w:rsidR="00FE6E22" w:rsidRPr="007051CB" w14:paraId="296E94BF" w14:textId="77777777" w:rsidTr="00FE6E22">
        <w:trPr>
          <w:trHeight w:val="362"/>
        </w:trPr>
        <w:tc>
          <w:tcPr>
            <w:tcW w:w="3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1D78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Rash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5BE2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0.75 (0.07–2.54)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DE64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0.39 (0.21–1.39)</w:t>
            </w:r>
          </w:p>
        </w:tc>
      </w:tr>
      <w:tr w:rsidR="00FE6E22" w:rsidRPr="007051CB" w14:paraId="0BBD3C0A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24F4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Endocrine dysfunction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55A5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4.27 (0.82–9.25)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6CD6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E6E22" w:rsidRPr="007051CB" w14:paraId="1759FDD3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0D7E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Pneumonitis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8E03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1.50 (0.43–2.46)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F103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0.45 (0.04–1.29)</w:t>
            </w:r>
          </w:p>
        </w:tc>
      </w:tr>
      <w:tr w:rsidR="00FE6E22" w:rsidRPr="007051CB" w14:paraId="49AF55E6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3355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Diarrhea/colitis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401D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0.36 (0.36–0.57)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524E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0.91 (0.46–3.79)</w:t>
            </w:r>
          </w:p>
        </w:tc>
      </w:tr>
      <w:tr w:rsidR="00FE6E22" w:rsidRPr="007051CB" w14:paraId="3FE97BEC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310B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Hepatitis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60B1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0.68 (0.25–0.93)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3D25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0.54 (0.46–3.79)</w:t>
            </w:r>
          </w:p>
        </w:tc>
      </w:tr>
      <w:tr w:rsidR="00FE6E22" w:rsidRPr="007051CB" w14:paraId="1B525227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F182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Infusion–related reaction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1431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0.04 (0.04–0.04)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8155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0.79 (0.79–0.79)</w:t>
            </w:r>
          </w:p>
        </w:tc>
      </w:tr>
      <w:tr w:rsidR="00FE6E22" w:rsidRPr="007051CB" w14:paraId="14BAEA9C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6574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Nephritis and renal dysfunction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F154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E35C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0.66 (0.39–0.93)</w:t>
            </w:r>
          </w:p>
        </w:tc>
      </w:tr>
      <w:tr w:rsidR="00FE6E22" w:rsidRPr="007051CB" w14:paraId="0EEEA5B8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2043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Arthritis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9005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3.25 (1.96–4.54)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D5F4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E6E22" w:rsidRPr="007051CB" w14:paraId="4BCFE5A6" w14:textId="77777777" w:rsidTr="00FE6E22">
        <w:trPr>
          <w:trHeight w:val="362"/>
        </w:trPr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84089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Pancreatitis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0BD8E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4DF1B" w14:textId="77777777" w:rsidR="00FE6E22" w:rsidRPr="007051CB" w:rsidRDefault="00FE6E22" w:rsidP="007051CB">
            <w:pPr>
              <w:widowControl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</w:pPr>
            <w:r w:rsidRPr="007051CB">
              <w:rPr>
                <w:rFonts w:ascii="Times New Roman" w:eastAsia="メイリオ" w:hAnsi="Times New Roman" w:cs="Times New Roman"/>
                <w:color w:val="000000"/>
                <w:kern w:val="0"/>
                <w:sz w:val="22"/>
                <w:szCs w:val="22"/>
              </w:rPr>
              <w:t>0.39 (0.39–0.39)</w:t>
            </w:r>
          </w:p>
        </w:tc>
      </w:tr>
    </w:tbl>
    <w:p w14:paraId="40F787DE" w14:textId="39119153" w:rsidR="009831DB" w:rsidRPr="00F625D1" w:rsidRDefault="009831DB" w:rsidP="007051CB">
      <w:pPr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</w:p>
    <w:p w14:paraId="666425F0" w14:textId="4F6B50D2" w:rsidR="009F6CC3" w:rsidRPr="007051CB" w:rsidRDefault="00994AE7" w:rsidP="007051CB">
      <w:pPr>
        <w:jc w:val="left"/>
        <w:rPr>
          <w:rFonts w:ascii="Times New Roman" w:hAnsi="Times New Roman" w:cs="Times New Roman"/>
          <w:sz w:val="22"/>
          <w:szCs w:val="22"/>
        </w:rPr>
      </w:pPr>
      <w:r w:rsidRPr="007051CB">
        <w:rPr>
          <w:rFonts w:ascii="Times New Roman" w:hAnsi="Times New Roman" w:cs="Times New Roman"/>
          <w:sz w:val="22"/>
          <w:szCs w:val="22"/>
        </w:rPr>
        <w:t>Data re</w:t>
      </w:r>
      <w:r w:rsidR="00912099" w:rsidRPr="007051CB">
        <w:rPr>
          <w:rFonts w:ascii="Times New Roman" w:hAnsi="Times New Roman" w:cs="Times New Roman"/>
          <w:sz w:val="22"/>
          <w:szCs w:val="22"/>
        </w:rPr>
        <w:t>presented as median (interqua</w:t>
      </w:r>
      <w:r w:rsidR="00912099" w:rsidRPr="00F625D1">
        <w:rPr>
          <w:rFonts w:ascii="Times New Roman" w:hAnsi="Times New Roman" w:cs="Times New Roman"/>
          <w:sz w:val="22"/>
          <w:szCs w:val="22"/>
        </w:rPr>
        <w:t>r</w:t>
      </w:r>
      <w:r w:rsidR="00912099" w:rsidRPr="007051CB">
        <w:rPr>
          <w:rFonts w:ascii="Times New Roman" w:hAnsi="Times New Roman" w:cs="Times New Roman"/>
          <w:sz w:val="22"/>
          <w:szCs w:val="22"/>
        </w:rPr>
        <w:t>tile range).</w:t>
      </w:r>
    </w:p>
    <w:sectPr w:rsidR="009F6CC3" w:rsidRPr="007051CB" w:rsidSect="00E13039">
      <w:pgSz w:w="11900" w:h="16840" w:code="9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ヒラギノ明朝 Pro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DB"/>
    <w:rsid w:val="00206FE2"/>
    <w:rsid w:val="0029009E"/>
    <w:rsid w:val="003B2277"/>
    <w:rsid w:val="00402F17"/>
    <w:rsid w:val="00496179"/>
    <w:rsid w:val="00513734"/>
    <w:rsid w:val="00561E85"/>
    <w:rsid w:val="00616BB4"/>
    <w:rsid w:val="0069047F"/>
    <w:rsid w:val="006F5416"/>
    <w:rsid w:val="007051CB"/>
    <w:rsid w:val="0073073F"/>
    <w:rsid w:val="00742997"/>
    <w:rsid w:val="00745EEC"/>
    <w:rsid w:val="007671BC"/>
    <w:rsid w:val="00792A2B"/>
    <w:rsid w:val="007A401E"/>
    <w:rsid w:val="007F7C7B"/>
    <w:rsid w:val="00912099"/>
    <w:rsid w:val="0093373C"/>
    <w:rsid w:val="009831DB"/>
    <w:rsid w:val="00994AE7"/>
    <w:rsid w:val="009D2837"/>
    <w:rsid w:val="009F6113"/>
    <w:rsid w:val="009F6CC3"/>
    <w:rsid w:val="00A630FA"/>
    <w:rsid w:val="00B27D16"/>
    <w:rsid w:val="00BF2F63"/>
    <w:rsid w:val="00C444DB"/>
    <w:rsid w:val="00CE0644"/>
    <w:rsid w:val="00D038CD"/>
    <w:rsid w:val="00DA2344"/>
    <w:rsid w:val="00DA39BB"/>
    <w:rsid w:val="00E60D64"/>
    <w:rsid w:val="00EA7210"/>
    <w:rsid w:val="00F625D1"/>
    <w:rsid w:val="00FB14A7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402704"/>
  <w15:chartTrackingRefBased/>
  <w15:docId w15:val="{D51DE48E-3BCF-3E41-86E0-ED4D729C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9831DB"/>
    <w:rPr>
      <w:sz w:val="16"/>
    </w:rPr>
  </w:style>
  <w:style w:type="paragraph" w:styleId="a4">
    <w:name w:val="annotation text"/>
    <w:basedOn w:val="a"/>
    <w:link w:val="a5"/>
    <w:rsid w:val="009831DB"/>
    <w:pPr>
      <w:jc w:val="left"/>
    </w:pPr>
    <w:rPr>
      <w:rFonts w:ascii="Calibri" w:eastAsia="Calibri" w:hAnsi="Calibri" w:cs="Calibri"/>
      <w:sz w:val="20"/>
    </w:rPr>
  </w:style>
  <w:style w:type="character" w:customStyle="1" w:styleId="a5">
    <w:name w:val="コメント文字列 (文字)"/>
    <w:basedOn w:val="a0"/>
    <w:link w:val="a4"/>
    <w:rsid w:val="009831DB"/>
    <w:rPr>
      <w:rFonts w:ascii="Calibri" w:eastAsia="Calibri" w:hAnsi="Calibri" w:cs="Calibri"/>
      <w:sz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E0644"/>
    <w:pPr>
      <w:jc w:val="both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7">
    <w:name w:val="コメント内容 (文字)"/>
    <w:basedOn w:val="a5"/>
    <w:link w:val="a6"/>
    <w:uiPriority w:val="99"/>
    <w:semiHidden/>
    <w:rsid w:val="00CE064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7F7C7B"/>
  </w:style>
  <w:style w:type="paragraph" w:styleId="a9">
    <w:name w:val="Balloon Text"/>
    <w:basedOn w:val="a"/>
    <w:link w:val="aa"/>
    <w:uiPriority w:val="99"/>
    <w:semiHidden/>
    <w:unhideWhenUsed/>
    <w:rsid w:val="00F625D1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2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620</Words>
  <Characters>3703</Characters>
  <Application>Microsoft Office Word</Application>
  <DocSecurity>0</DocSecurity>
  <Lines>66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 toshiyuki</dc:creator>
  <cp:keywords/>
  <dc:description/>
  <cp:lastModifiedBy>SUMI toshiyuki</cp:lastModifiedBy>
  <cp:revision>23</cp:revision>
  <dcterms:created xsi:type="dcterms:W3CDTF">2022-04-01T11:59:00Z</dcterms:created>
  <dcterms:modified xsi:type="dcterms:W3CDTF">2022-06-30T09:03:00Z</dcterms:modified>
</cp:coreProperties>
</file>