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2D2C4" w14:textId="03068BDB" w:rsidR="0003220A" w:rsidRPr="008F3C15" w:rsidRDefault="0003220A" w:rsidP="0003220A">
      <w:pPr>
        <w:pStyle w:val="Title"/>
        <w:spacing w:after="120"/>
        <w:contextualSpacing w:val="0"/>
        <w:jc w:val="left"/>
        <w:rPr>
          <w:b w:val="0"/>
          <w:bCs/>
          <w:sz w:val="20"/>
          <w:szCs w:val="20"/>
          <w:lang w:val="en-GB"/>
        </w:rPr>
      </w:pPr>
      <w:r w:rsidRPr="008F3C15">
        <w:rPr>
          <w:b w:val="0"/>
          <w:bCs/>
          <w:sz w:val="20"/>
          <w:szCs w:val="20"/>
          <w:lang w:val="en-GB"/>
        </w:rPr>
        <w:t>Supplementary material to:</w:t>
      </w:r>
    </w:p>
    <w:p w14:paraId="3A3DD163" w14:textId="77777777" w:rsidR="00677524" w:rsidRPr="00677524" w:rsidRDefault="00677524" w:rsidP="009A370C">
      <w:pPr>
        <w:pStyle w:val="Title"/>
        <w:spacing w:line="480" w:lineRule="auto"/>
        <w:jc w:val="left"/>
        <w:rPr>
          <w:lang w:val="en-GB"/>
        </w:rPr>
      </w:pPr>
      <w:bookmarkStart w:id="0" w:name="_Hlk53396198"/>
      <w:bookmarkStart w:id="1" w:name="_Hlk61176839"/>
      <w:r w:rsidRPr="00677524">
        <w:rPr>
          <w:lang w:val="en-GB"/>
        </w:rPr>
        <w:t>Growth dynamics and amorphous-to-crystalline phase transformation in natural nacre</w:t>
      </w:r>
    </w:p>
    <w:bookmarkEnd w:id="0"/>
    <w:p w14:paraId="7096A711" w14:textId="2EC8D75E" w:rsidR="00677524" w:rsidRPr="009A370C" w:rsidRDefault="00677524" w:rsidP="009A370C">
      <w:pPr>
        <w:pStyle w:val="Subtitle"/>
        <w:spacing w:before="0"/>
        <w:rPr>
          <w:sz w:val="18"/>
          <w:szCs w:val="18"/>
          <w:lang w:val="en-GB"/>
        </w:rPr>
      </w:pPr>
      <w:r w:rsidRPr="009A370C">
        <w:rPr>
          <w:sz w:val="18"/>
          <w:szCs w:val="18"/>
          <w:lang w:val="en-GB"/>
        </w:rPr>
        <w:t>L.M. Otter</w:t>
      </w:r>
      <w:r w:rsidRPr="009A370C">
        <w:rPr>
          <w:sz w:val="18"/>
          <w:szCs w:val="18"/>
          <w:vertAlign w:val="superscript"/>
          <w:lang w:val="en-GB"/>
        </w:rPr>
        <w:t>1*</w:t>
      </w:r>
      <w:r w:rsidRPr="009A370C">
        <w:rPr>
          <w:sz w:val="18"/>
          <w:szCs w:val="18"/>
          <w:lang w:val="en-GB"/>
        </w:rPr>
        <w:t>, K. Eder</w:t>
      </w:r>
      <w:r w:rsidRPr="009A370C">
        <w:rPr>
          <w:sz w:val="18"/>
          <w:szCs w:val="18"/>
          <w:vertAlign w:val="superscript"/>
          <w:lang w:val="en-GB"/>
        </w:rPr>
        <w:t>2</w:t>
      </w:r>
      <w:r w:rsidR="005B5C40">
        <w:rPr>
          <w:sz w:val="18"/>
          <w:szCs w:val="18"/>
          <w:lang w:val="en-GB"/>
        </w:rPr>
        <w:t xml:space="preserve">, </w:t>
      </w:r>
      <w:r w:rsidRPr="009A370C">
        <w:rPr>
          <w:sz w:val="18"/>
          <w:szCs w:val="18"/>
          <w:lang w:val="en-GB"/>
        </w:rPr>
        <w:t>M.R. Kilburn</w:t>
      </w:r>
      <w:r w:rsidRPr="009A370C">
        <w:rPr>
          <w:sz w:val="18"/>
          <w:szCs w:val="18"/>
          <w:vertAlign w:val="superscript"/>
          <w:lang w:val="en-GB"/>
        </w:rPr>
        <w:t>3</w:t>
      </w:r>
      <w:r w:rsidRPr="009A370C">
        <w:rPr>
          <w:sz w:val="18"/>
          <w:szCs w:val="18"/>
          <w:lang w:val="en-GB"/>
        </w:rPr>
        <w:t>, L. Yang</w:t>
      </w:r>
      <w:r w:rsidRPr="009A370C">
        <w:rPr>
          <w:sz w:val="18"/>
          <w:szCs w:val="18"/>
          <w:vertAlign w:val="superscript"/>
          <w:lang w:val="en-GB"/>
        </w:rPr>
        <w:t>2</w:t>
      </w:r>
      <w:r w:rsidRPr="009A370C">
        <w:rPr>
          <w:sz w:val="18"/>
          <w:szCs w:val="18"/>
          <w:lang w:val="en-GB"/>
        </w:rPr>
        <w:t>, P. O’Reilly</w:t>
      </w:r>
      <w:r w:rsidRPr="009A370C">
        <w:rPr>
          <w:sz w:val="18"/>
          <w:szCs w:val="18"/>
          <w:vertAlign w:val="superscript"/>
          <w:lang w:val="en-GB"/>
        </w:rPr>
        <w:t>4</w:t>
      </w:r>
      <w:r w:rsidRPr="009A370C">
        <w:rPr>
          <w:sz w:val="18"/>
          <w:szCs w:val="18"/>
          <w:lang w:val="en-GB"/>
        </w:rPr>
        <w:t>, D.B. Nowak</w:t>
      </w:r>
      <w:r w:rsidRPr="009A370C">
        <w:rPr>
          <w:sz w:val="18"/>
          <w:szCs w:val="18"/>
          <w:vertAlign w:val="superscript"/>
          <w:lang w:val="en-GB"/>
        </w:rPr>
        <w:t>4</w:t>
      </w:r>
      <w:r w:rsidRPr="009A370C">
        <w:rPr>
          <w:sz w:val="18"/>
          <w:szCs w:val="18"/>
          <w:lang w:val="en-GB"/>
        </w:rPr>
        <w:t>, J.M. Cairney</w:t>
      </w:r>
      <w:r w:rsidRPr="009A370C">
        <w:rPr>
          <w:sz w:val="18"/>
          <w:szCs w:val="18"/>
          <w:vertAlign w:val="superscript"/>
          <w:lang w:val="en-GB"/>
        </w:rPr>
        <w:t>2</w:t>
      </w:r>
      <w:r w:rsidRPr="009A370C">
        <w:rPr>
          <w:sz w:val="18"/>
          <w:szCs w:val="18"/>
          <w:lang w:val="en-GB"/>
        </w:rPr>
        <w:t>, D.E. Jacob</w:t>
      </w:r>
      <w:r w:rsidRPr="009A370C">
        <w:rPr>
          <w:sz w:val="18"/>
          <w:szCs w:val="18"/>
          <w:vertAlign w:val="superscript"/>
          <w:lang w:val="en-GB"/>
        </w:rPr>
        <w:t>1</w:t>
      </w:r>
    </w:p>
    <w:p w14:paraId="5E942ACA" w14:textId="77777777" w:rsidR="00677524" w:rsidRPr="009A370C" w:rsidRDefault="00677524" w:rsidP="009A370C">
      <w:pPr>
        <w:pStyle w:val="Subtitle"/>
        <w:rPr>
          <w:iCs/>
          <w:sz w:val="18"/>
          <w:szCs w:val="18"/>
        </w:rPr>
      </w:pPr>
      <w:r w:rsidRPr="009A370C">
        <w:rPr>
          <w:iCs/>
          <w:sz w:val="18"/>
          <w:szCs w:val="18"/>
          <w:vertAlign w:val="superscript"/>
          <w:lang w:val="en-GB"/>
        </w:rPr>
        <w:t>1</w:t>
      </w:r>
      <w:r w:rsidRPr="009A370C">
        <w:rPr>
          <w:iCs/>
          <w:sz w:val="18"/>
          <w:szCs w:val="18"/>
        </w:rPr>
        <w:t xml:space="preserve">Research School of Earth Sciences, Australian National University, Canberra, ACT 2601, Australia </w:t>
      </w:r>
    </w:p>
    <w:p w14:paraId="753A6BB5" w14:textId="77777777" w:rsidR="00677524" w:rsidRPr="009A370C" w:rsidRDefault="00677524" w:rsidP="009A370C">
      <w:pPr>
        <w:pStyle w:val="Subtitle"/>
        <w:rPr>
          <w:iCs/>
          <w:sz w:val="18"/>
          <w:szCs w:val="18"/>
        </w:rPr>
      </w:pPr>
      <w:r w:rsidRPr="009A370C">
        <w:rPr>
          <w:iCs/>
          <w:sz w:val="18"/>
          <w:szCs w:val="18"/>
          <w:vertAlign w:val="superscript"/>
        </w:rPr>
        <w:t>2</w:t>
      </w:r>
      <w:r w:rsidRPr="009A370C">
        <w:rPr>
          <w:iCs/>
          <w:sz w:val="18"/>
          <w:szCs w:val="18"/>
        </w:rPr>
        <w:t>Australian Centre for Microscopy and Microanalysis, The University of Sydney, Sydney, NSW 2006, Australia</w:t>
      </w:r>
    </w:p>
    <w:p w14:paraId="5D430746" w14:textId="77777777" w:rsidR="00677524" w:rsidRPr="009A370C" w:rsidRDefault="00677524" w:rsidP="009A370C">
      <w:pPr>
        <w:pStyle w:val="Subtitle"/>
        <w:rPr>
          <w:iCs/>
          <w:sz w:val="18"/>
          <w:szCs w:val="18"/>
        </w:rPr>
      </w:pPr>
      <w:r w:rsidRPr="009A370C">
        <w:rPr>
          <w:iCs/>
          <w:sz w:val="18"/>
          <w:szCs w:val="18"/>
          <w:vertAlign w:val="superscript"/>
        </w:rPr>
        <w:t>3</w:t>
      </w:r>
      <w:r w:rsidRPr="009A370C">
        <w:rPr>
          <w:iCs/>
          <w:sz w:val="18"/>
          <w:szCs w:val="18"/>
        </w:rPr>
        <w:t>Centre for Microscopy Characterisation and Analysis, University of Western Australia, Perth, WA 6009, Australia</w:t>
      </w:r>
    </w:p>
    <w:p w14:paraId="6F7AE078" w14:textId="77777777" w:rsidR="00677524" w:rsidRPr="009A370C" w:rsidRDefault="00677524" w:rsidP="009A370C">
      <w:pPr>
        <w:pStyle w:val="Subtitle"/>
        <w:rPr>
          <w:iCs/>
          <w:sz w:val="18"/>
          <w:szCs w:val="18"/>
        </w:rPr>
      </w:pPr>
      <w:r w:rsidRPr="009A370C">
        <w:rPr>
          <w:iCs/>
          <w:sz w:val="18"/>
          <w:szCs w:val="18"/>
          <w:vertAlign w:val="superscript"/>
        </w:rPr>
        <w:t>4</w:t>
      </w:r>
      <w:r w:rsidRPr="009A370C">
        <w:rPr>
          <w:iCs/>
          <w:sz w:val="18"/>
          <w:szCs w:val="18"/>
        </w:rPr>
        <w:t>Molecular Vista Inc., 6840 Via Del Oro, Suite 110, San Jose, CA 95119, USA</w:t>
      </w:r>
    </w:p>
    <w:p w14:paraId="580245D7" w14:textId="77777777" w:rsidR="00677524" w:rsidRPr="009A370C" w:rsidRDefault="00677524" w:rsidP="009A370C">
      <w:pPr>
        <w:pStyle w:val="Subtitle"/>
        <w:rPr>
          <w:iCs/>
          <w:sz w:val="18"/>
          <w:szCs w:val="18"/>
        </w:rPr>
      </w:pPr>
      <w:r w:rsidRPr="009A370C">
        <w:rPr>
          <w:iCs/>
          <w:sz w:val="18"/>
          <w:szCs w:val="18"/>
        </w:rPr>
        <w:t>*Correspondence and requests for materials should be addressed to LMO: email: Laura.Otter@anu.edu.au</w:t>
      </w:r>
    </w:p>
    <w:bookmarkEnd w:id="1"/>
    <w:p w14:paraId="02976135" w14:textId="77777777" w:rsidR="007C2486" w:rsidRPr="008F3C15" w:rsidRDefault="007C2486">
      <w:pPr>
        <w:spacing w:line="259" w:lineRule="auto"/>
        <w:rPr>
          <w:rStyle w:val="SubtleEmphasis"/>
          <w:rFonts w:eastAsiaTheme="minorEastAsia"/>
          <w:iCs w:val="0"/>
          <w:spacing w:val="15"/>
          <w:sz w:val="22"/>
          <w:lang w:val="en-GB"/>
        </w:rPr>
      </w:pPr>
      <w:r w:rsidRPr="008F3C15">
        <w:rPr>
          <w:rStyle w:val="SubtleEmphasis"/>
          <w:iCs w:val="0"/>
          <w:sz w:val="22"/>
          <w:lang w:val="en-GB"/>
        </w:rPr>
        <w:br w:type="page"/>
      </w:r>
    </w:p>
    <w:p w14:paraId="111FA2ED" w14:textId="73B766B1" w:rsidR="00C8795D" w:rsidRPr="008F3C15" w:rsidRDefault="005500A1" w:rsidP="004C3B90">
      <w:pPr>
        <w:pStyle w:val="Heading1"/>
        <w:rPr>
          <w:lang w:val="en-GB"/>
        </w:rPr>
      </w:pPr>
      <w:r w:rsidRPr="008F3C15">
        <w:rPr>
          <w:lang w:val="en-GB"/>
        </w:rPr>
        <w:lastRenderedPageBreak/>
        <w:t>Data collection</w:t>
      </w:r>
    </w:p>
    <w:p w14:paraId="1A88AD07" w14:textId="02D0D348" w:rsidR="00C8795D" w:rsidRPr="008F3C15" w:rsidRDefault="00C8795D" w:rsidP="00C8795D">
      <w:pPr>
        <w:rPr>
          <w:sz w:val="22"/>
          <w:lang w:val="en-GB"/>
        </w:rPr>
      </w:pPr>
      <w:r w:rsidRPr="008F3C15">
        <w:rPr>
          <w:b/>
          <w:bCs/>
          <w:sz w:val="22"/>
          <w:lang w:val="en-GB"/>
        </w:rPr>
        <w:t>Supplementary Table 1:</w:t>
      </w:r>
      <w:r w:rsidRPr="008F3C15">
        <w:rPr>
          <w:sz w:val="22"/>
          <w:lang w:val="en-GB"/>
        </w:rPr>
        <w:t xml:space="preserve"> </w:t>
      </w:r>
      <w:r w:rsidR="001D5CE5" w:rsidRPr="008F3C15">
        <w:rPr>
          <w:sz w:val="22"/>
          <w:lang w:val="en-GB"/>
        </w:rPr>
        <w:t xml:space="preserve">Summary </w:t>
      </w:r>
      <w:r w:rsidRPr="008F3C15">
        <w:rPr>
          <w:sz w:val="22"/>
          <w:lang w:val="en-GB"/>
        </w:rPr>
        <w:t xml:space="preserve">of data </w:t>
      </w:r>
      <w:r w:rsidR="004B62E7" w:rsidRPr="008F3C15">
        <w:rPr>
          <w:sz w:val="22"/>
          <w:lang w:val="en-GB"/>
        </w:rPr>
        <w:t>obtained from</w:t>
      </w:r>
      <w:r w:rsidR="001D5CE5" w:rsidRPr="008F3C15">
        <w:rPr>
          <w:sz w:val="22"/>
          <w:lang w:val="en-GB"/>
        </w:rPr>
        <w:t xml:space="preserve"> </w:t>
      </w:r>
      <w:r w:rsidR="00A61CBC" w:rsidRPr="008F3C15">
        <w:rPr>
          <w:sz w:val="22"/>
          <w:lang w:val="en-GB"/>
        </w:rPr>
        <w:t xml:space="preserve">studied </w:t>
      </w:r>
      <w:r w:rsidR="001D5CE5" w:rsidRPr="008F3C15">
        <w:rPr>
          <w:sz w:val="22"/>
          <w:lang w:val="en-GB"/>
        </w:rPr>
        <w:t>samples</w:t>
      </w:r>
      <w:r w:rsidRPr="008F3C15">
        <w:rPr>
          <w:sz w:val="22"/>
          <w:lang w:val="en-GB"/>
        </w:rPr>
        <w:t>.</w:t>
      </w:r>
    </w:p>
    <w:tbl>
      <w:tblPr>
        <w:tblStyle w:val="TableGrid"/>
        <w:tblW w:w="10435" w:type="dxa"/>
        <w:tblLayout w:type="fixed"/>
        <w:tblLook w:val="04A0" w:firstRow="1" w:lastRow="0" w:firstColumn="1" w:lastColumn="0" w:noHBand="0" w:noVBand="1"/>
      </w:tblPr>
      <w:tblGrid>
        <w:gridCol w:w="2520"/>
        <w:gridCol w:w="3690"/>
        <w:gridCol w:w="4225"/>
      </w:tblGrid>
      <w:tr w:rsidR="00C8795D" w:rsidRPr="008F3C15" w14:paraId="328CDD79" w14:textId="77777777" w:rsidTr="008C1738">
        <w:trPr>
          <w:trHeight w:val="275"/>
        </w:trPr>
        <w:tc>
          <w:tcPr>
            <w:tcW w:w="2520" w:type="dxa"/>
            <w:tcBorders>
              <w:left w:val="nil"/>
              <w:right w:val="nil"/>
            </w:tcBorders>
            <w:vAlign w:val="center"/>
          </w:tcPr>
          <w:p w14:paraId="08629DBE" w14:textId="77777777" w:rsidR="00C8795D" w:rsidRPr="008F3C15" w:rsidRDefault="00C8795D" w:rsidP="0024696C">
            <w:pPr>
              <w:spacing w:line="276" w:lineRule="auto"/>
              <w:rPr>
                <w:b/>
                <w:bCs/>
                <w:sz w:val="20"/>
                <w:szCs w:val="20"/>
                <w:lang w:val="en-GB"/>
              </w:rPr>
            </w:pPr>
            <w:r w:rsidRPr="008F3C15">
              <w:rPr>
                <w:b/>
                <w:bCs/>
                <w:sz w:val="20"/>
                <w:szCs w:val="20"/>
                <w:lang w:val="en-GB"/>
              </w:rPr>
              <w:t>Analytical approach:</w:t>
            </w:r>
          </w:p>
        </w:tc>
        <w:tc>
          <w:tcPr>
            <w:tcW w:w="3690" w:type="dxa"/>
            <w:tcBorders>
              <w:left w:val="nil"/>
              <w:right w:val="nil"/>
            </w:tcBorders>
            <w:vAlign w:val="center"/>
          </w:tcPr>
          <w:p w14:paraId="4A4A3E57" w14:textId="77777777" w:rsidR="00C8795D" w:rsidRPr="008F3C15" w:rsidRDefault="00C8795D" w:rsidP="0024696C">
            <w:pPr>
              <w:spacing w:line="276" w:lineRule="auto"/>
              <w:rPr>
                <w:b/>
                <w:bCs/>
                <w:sz w:val="20"/>
                <w:szCs w:val="20"/>
                <w:lang w:val="en-GB"/>
              </w:rPr>
            </w:pPr>
            <w:r w:rsidRPr="008F3C15">
              <w:rPr>
                <w:b/>
                <w:bCs/>
                <w:sz w:val="20"/>
                <w:szCs w:val="20"/>
                <w:lang w:val="en-GB"/>
              </w:rPr>
              <w:t># Specimen:</w:t>
            </w:r>
          </w:p>
        </w:tc>
        <w:tc>
          <w:tcPr>
            <w:tcW w:w="4225" w:type="dxa"/>
            <w:tcBorders>
              <w:left w:val="nil"/>
              <w:right w:val="nil"/>
            </w:tcBorders>
            <w:vAlign w:val="center"/>
          </w:tcPr>
          <w:p w14:paraId="1D4671EA" w14:textId="77777777" w:rsidR="00C8795D" w:rsidRPr="008F3C15" w:rsidRDefault="00C8795D" w:rsidP="0024696C">
            <w:pPr>
              <w:spacing w:line="276" w:lineRule="auto"/>
              <w:rPr>
                <w:b/>
                <w:bCs/>
                <w:sz w:val="20"/>
                <w:szCs w:val="20"/>
                <w:lang w:val="en-GB"/>
              </w:rPr>
            </w:pPr>
            <w:r w:rsidRPr="008F3C15">
              <w:rPr>
                <w:b/>
                <w:bCs/>
                <w:sz w:val="20"/>
                <w:szCs w:val="20"/>
                <w:lang w:val="en-GB"/>
              </w:rPr>
              <w:t>Comments:</w:t>
            </w:r>
          </w:p>
        </w:tc>
      </w:tr>
      <w:tr w:rsidR="00C8795D" w:rsidRPr="008F3C15" w14:paraId="3F9AD3F9" w14:textId="77777777" w:rsidTr="008C1738">
        <w:trPr>
          <w:trHeight w:val="275"/>
        </w:trPr>
        <w:tc>
          <w:tcPr>
            <w:tcW w:w="2520" w:type="dxa"/>
            <w:tcBorders>
              <w:left w:val="nil"/>
              <w:bottom w:val="nil"/>
              <w:right w:val="nil"/>
            </w:tcBorders>
            <w:vAlign w:val="center"/>
          </w:tcPr>
          <w:p w14:paraId="61193F06" w14:textId="6104C6B3" w:rsidR="00C8795D" w:rsidRPr="008F3C15" w:rsidRDefault="00C8795D" w:rsidP="0024696C">
            <w:pPr>
              <w:spacing w:line="276" w:lineRule="auto"/>
              <w:rPr>
                <w:sz w:val="20"/>
                <w:szCs w:val="20"/>
                <w:lang w:val="en-GB"/>
              </w:rPr>
            </w:pPr>
            <w:r w:rsidRPr="008F3C15">
              <w:rPr>
                <w:sz w:val="20"/>
                <w:szCs w:val="20"/>
                <w:lang w:val="en-GB"/>
              </w:rPr>
              <w:t>Sr labelling</w:t>
            </w:r>
            <w:r w:rsidR="001D5CE5" w:rsidRPr="008F3C15">
              <w:rPr>
                <w:sz w:val="20"/>
                <w:szCs w:val="20"/>
                <w:lang w:val="en-GB"/>
              </w:rPr>
              <w:t xml:space="preserve"> </w:t>
            </w:r>
            <w:r w:rsidR="00A61CBC" w:rsidRPr="008F3C15">
              <w:rPr>
                <w:sz w:val="20"/>
                <w:szCs w:val="20"/>
                <w:lang w:val="en-GB"/>
              </w:rPr>
              <w:t xml:space="preserve">of live </w:t>
            </w:r>
            <w:r w:rsidR="004B62E7" w:rsidRPr="008F3C15">
              <w:rPr>
                <w:sz w:val="20"/>
                <w:szCs w:val="20"/>
                <w:lang w:val="en-GB"/>
              </w:rPr>
              <w:t>mussels</w:t>
            </w:r>
          </w:p>
        </w:tc>
        <w:tc>
          <w:tcPr>
            <w:tcW w:w="3690" w:type="dxa"/>
            <w:tcBorders>
              <w:left w:val="nil"/>
              <w:bottom w:val="nil"/>
              <w:right w:val="nil"/>
            </w:tcBorders>
            <w:vAlign w:val="center"/>
          </w:tcPr>
          <w:p w14:paraId="2093C1BE" w14:textId="0DA434D6" w:rsidR="00C8795D" w:rsidRPr="008F3C15" w:rsidRDefault="00C8795D" w:rsidP="0024696C">
            <w:pPr>
              <w:spacing w:line="276" w:lineRule="auto"/>
              <w:rPr>
                <w:sz w:val="20"/>
                <w:szCs w:val="20"/>
                <w:lang w:val="en-GB"/>
              </w:rPr>
            </w:pPr>
            <w:r w:rsidRPr="008F3C15">
              <w:rPr>
                <w:sz w:val="20"/>
                <w:szCs w:val="20"/>
                <w:lang w:val="en-GB"/>
              </w:rPr>
              <w:t>50 shells</w:t>
            </w:r>
            <w:r w:rsidR="004B62E7" w:rsidRPr="008F3C15">
              <w:rPr>
                <w:sz w:val="20"/>
                <w:szCs w:val="20"/>
                <w:lang w:val="en-GB"/>
              </w:rPr>
              <w:t xml:space="preserve"> from 2 groups (see methods)</w:t>
            </w:r>
          </w:p>
        </w:tc>
        <w:tc>
          <w:tcPr>
            <w:tcW w:w="4225" w:type="dxa"/>
            <w:tcBorders>
              <w:left w:val="nil"/>
              <w:bottom w:val="nil"/>
              <w:right w:val="nil"/>
            </w:tcBorders>
            <w:vAlign w:val="center"/>
          </w:tcPr>
          <w:p w14:paraId="5F7C5377" w14:textId="72217B6B" w:rsidR="00C8795D" w:rsidRPr="008F3C15" w:rsidRDefault="00C8795D" w:rsidP="0024696C">
            <w:pPr>
              <w:spacing w:line="276" w:lineRule="auto"/>
              <w:rPr>
                <w:sz w:val="20"/>
                <w:szCs w:val="20"/>
                <w:lang w:val="en-GB"/>
              </w:rPr>
            </w:pPr>
            <w:r w:rsidRPr="008F3C15">
              <w:rPr>
                <w:sz w:val="20"/>
                <w:szCs w:val="20"/>
                <w:lang w:val="en-GB"/>
              </w:rPr>
              <w:t xml:space="preserve">Total number </w:t>
            </w:r>
            <w:r w:rsidR="00114256" w:rsidRPr="008F3C15">
              <w:rPr>
                <w:sz w:val="20"/>
                <w:szCs w:val="20"/>
                <w:lang w:val="en-GB"/>
              </w:rPr>
              <w:t xml:space="preserve">of samples </w:t>
            </w:r>
            <w:r w:rsidRPr="008F3C15">
              <w:rPr>
                <w:sz w:val="20"/>
                <w:szCs w:val="20"/>
                <w:lang w:val="en-GB"/>
              </w:rPr>
              <w:t>from aquaculture experiments</w:t>
            </w:r>
          </w:p>
        </w:tc>
      </w:tr>
      <w:tr w:rsidR="00C8795D" w:rsidRPr="008F3C15" w14:paraId="1B86C310" w14:textId="77777777" w:rsidTr="008C1738">
        <w:trPr>
          <w:trHeight w:val="275"/>
        </w:trPr>
        <w:tc>
          <w:tcPr>
            <w:tcW w:w="2520" w:type="dxa"/>
            <w:tcBorders>
              <w:top w:val="nil"/>
              <w:left w:val="nil"/>
              <w:bottom w:val="nil"/>
              <w:right w:val="nil"/>
            </w:tcBorders>
            <w:vAlign w:val="center"/>
          </w:tcPr>
          <w:p w14:paraId="31C2C5D5" w14:textId="77777777" w:rsidR="00C8795D" w:rsidRPr="008F3C15" w:rsidRDefault="00C8795D" w:rsidP="0024696C">
            <w:pPr>
              <w:spacing w:line="276" w:lineRule="auto"/>
              <w:rPr>
                <w:sz w:val="20"/>
                <w:szCs w:val="20"/>
                <w:lang w:val="en-GB"/>
              </w:rPr>
            </w:pPr>
            <w:r w:rsidRPr="008F3C15">
              <w:rPr>
                <w:sz w:val="20"/>
                <w:szCs w:val="20"/>
                <w:lang w:val="en-GB"/>
              </w:rPr>
              <w:t>BSE imaging</w:t>
            </w:r>
          </w:p>
        </w:tc>
        <w:tc>
          <w:tcPr>
            <w:tcW w:w="3690" w:type="dxa"/>
            <w:tcBorders>
              <w:top w:val="nil"/>
              <w:left w:val="nil"/>
              <w:bottom w:val="nil"/>
              <w:right w:val="nil"/>
            </w:tcBorders>
            <w:vAlign w:val="center"/>
          </w:tcPr>
          <w:p w14:paraId="182C5612" w14:textId="41832880" w:rsidR="00C8795D" w:rsidRPr="008F3C15" w:rsidRDefault="00C8795D" w:rsidP="0024696C">
            <w:pPr>
              <w:spacing w:line="276" w:lineRule="auto"/>
              <w:rPr>
                <w:sz w:val="20"/>
                <w:szCs w:val="20"/>
                <w:lang w:val="en-GB"/>
              </w:rPr>
            </w:pPr>
            <w:r w:rsidRPr="008F3C15">
              <w:rPr>
                <w:sz w:val="20"/>
                <w:szCs w:val="20"/>
                <w:lang w:val="en-GB"/>
              </w:rPr>
              <w:t xml:space="preserve">19 shells, </w:t>
            </w:r>
            <w:r w:rsidR="001D5CE5" w:rsidRPr="008F3C15">
              <w:rPr>
                <w:sz w:val="20"/>
                <w:szCs w:val="20"/>
                <w:lang w:val="en-GB"/>
              </w:rPr>
              <w:t>&gt;</w:t>
            </w:r>
            <w:r w:rsidRPr="008F3C15">
              <w:rPr>
                <w:sz w:val="20"/>
                <w:szCs w:val="20"/>
                <w:lang w:val="en-GB"/>
              </w:rPr>
              <w:t>5 BSE images/specimen</w:t>
            </w:r>
          </w:p>
        </w:tc>
        <w:tc>
          <w:tcPr>
            <w:tcW w:w="4225" w:type="dxa"/>
            <w:vMerge w:val="restart"/>
            <w:tcBorders>
              <w:top w:val="nil"/>
              <w:left w:val="nil"/>
              <w:right w:val="nil"/>
            </w:tcBorders>
            <w:vAlign w:val="center"/>
          </w:tcPr>
          <w:p w14:paraId="77EEB445" w14:textId="3E64FB26" w:rsidR="00C8795D" w:rsidRPr="008F3C15" w:rsidRDefault="00A61CBC" w:rsidP="0024696C">
            <w:pPr>
              <w:spacing w:line="276" w:lineRule="auto"/>
              <w:rPr>
                <w:sz w:val="20"/>
                <w:szCs w:val="20"/>
                <w:lang w:val="en-GB"/>
              </w:rPr>
            </w:pPr>
            <w:r w:rsidRPr="008F3C15">
              <w:rPr>
                <w:sz w:val="20"/>
                <w:szCs w:val="20"/>
                <w:lang w:val="en-GB"/>
              </w:rPr>
              <w:t>S</w:t>
            </w:r>
            <w:r w:rsidR="00C8795D" w:rsidRPr="008F3C15">
              <w:rPr>
                <w:sz w:val="20"/>
                <w:szCs w:val="20"/>
                <w:lang w:val="en-GB"/>
              </w:rPr>
              <w:t xml:space="preserve">urvey </w:t>
            </w:r>
            <w:r w:rsidRPr="008F3C15">
              <w:rPr>
                <w:sz w:val="20"/>
                <w:szCs w:val="20"/>
                <w:lang w:val="en-GB"/>
              </w:rPr>
              <w:t>of a</w:t>
            </w:r>
            <w:r w:rsidR="00C8795D" w:rsidRPr="008F3C15">
              <w:rPr>
                <w:sz w:val="20"/>
                <w:szCs w:val="20"/>
                <w:lang w:val="en-GB"/>
              </w:rPr>
              <w:t xml:space="preserve"> subset of shells</w:t>
            </w:r>
          </w:p>
        </w:tc>
      </w:tr>
      <w:tr w:rsidR="00C8795D" w:rsidRPr="008F3C15" w14:paraId="066FC39D" w14:textId="77777777" w:rsidTr="008C1738">
        <w:trPr>
          <w:trHeight w:val="262"/>
        </w:trPr>
        <w:tc>
          <w:tcPr>
            <w:tcW w:w="2520" w:type="dxa"/>
            <w:tcBorders>
              <w:top w:val="nil"/>
              <w:left w:val="nil"/>
              <w:bottom w:val="nil"/>
              <w:right w:val="nil"/>
            </w:tcBorders>
            <w:vAlign w:val="center"/>
          </w:tcPr>
          <w:p w14:paraId="1BF60A5E" w14:textId="4188FD5B" w:rsidR="00C8795D" w:rsidRPr="008F3C15" w:rsidRDefault="00C8795D" w:rsidP="0024696C">
            <w:pPr>
              <w:spacing w:line="276" w:lineRule="auto"/>
              <w:rPr>
                <w:sz w:val="20"/>
                <w:szCs w:val="20"/>
                <w:lang w:val="en-GB"/>
              </w:rPr>
            </w:pPr>
            <w:r w:rsidRPr="008F3C15">
              <w:rPr>
                <w:sz w:val="20"/>
                <w:szCs w:val="20"/>
                <w:lang w:val="en-GB"/>
              </w:rPr>
              <w:t>NanoSIMS ma</w:t>
            </w:r>
            <w:r w:rsidR="005500A1" w:rsidRPr="008F3C15">
              <w:rPr>
                <w:sz w:val="20"/>
                <w:szCs w:val="20"/>
                <w:lang w:val="en-GB"/>
              </w:rPr>
              <w:t>p</w:t>
            </w:r>
            <w:r w:rsidRPr="008F3C15">
              <w:rPr>
                <w:sz w:val="20"/>
                <w:szCs w:val="20"/>
                <w:lang w:val="en-GB"/>
              </w:rPr>
              <w:t>ping</w:t>
            </w:r>
          </w:p>
        </w:tc>
        <w:tc>
          <w:tcPr>
            <w:tcW w:w="3690" w:type="dxa"/>
            <w:tcBorders>
              <w:top w:val="nil"/>
              <w:left w:val="nil"/>
              <w:bottom w:val="nil"/>
              <w:right w:val="nil"/>
            </w:tcBorders>
            <w:vAlign w:val="center"/>
          </w:tcPr>
          <w:p w14:paraId="48F86B8D" w14:textId="42317036" w:rsidR="00C8795D" w:rsidRPr="008F3C15" w:rsidRDefault="00C8795D" w:rsidP="0024696C">
            <w:pPr>
              <w:spacing w:line="276" w:lineRule="auto"/>
              <w:rPr>
                <w:sz w:val="20"/>
                <w:szCs w:val="20"/>
                <w:lang w:val="en-GB"/>
              </w:rPr>
            </w:pPr>
            <w:r w:rsidRPr="008F3C15">
              <w:rPr>
                <w:sz w:val="20"/>
                <w:szCs w:val="20"/>
                <w:lang w:val="en-GB"/>
              </w:rPr>
              <w:t xml:space="preserve">8 shells, </w:t>
            </w:r>
            <w:r w:rsidR="001D5CE5" w:rsidRPr="008F3C15">
              <w:rPr>
                <w:sz w:val="20"/>
                <w:szCs w:val="20"/>
                <w:lang w:val="en-GB"/>
              </w:rPr>
              <w:t>&gt;</w:t>
            </w:r>
            <w:r w:rsidRPr="008F3C15">
              <w:rPr>
                <w:sz w:val="20"/>
                <w:szCs w:val="20"/>
                <w:lang w:val="en-GB"/>
              </w:rPr>
              <w:t xml:space="preserve"> 4 maps per specimen</w:t>
            </w:r>
          </w:p>
        </w:tc>
        <w:tc>
          <w:tcPr>
            <w:tcW w:w="4225" w:type="dxa"/>
            <w:vMerge/>
            <w:tcBorders>
              <w:left w:val="nil"/>
              <w:bottom w:val="nil"/>
              <w:right w:val="nil"/>
            </w:tcBorders>
            <w:vAlign w:val="center"/>
          </w:tcPr>
          <w:p w14:paraId="7D42CAEC" w14:textId="77777777" w:rsidR="00C8795D" w:rsidRPr="008F3C15" w:rsidRDefault="00C8795D" w:rsidP="0024696C">
            <w:pPr>
              <w:spacing w:line="276" w:lineRule="auto"/>
              <w:rPr>
                <w:sz w:val="20"/>
                <w:szCs w:val="20"/>
                <w:lang w:val="en-GB"/>
              </w:rPr>
            </w:pPr>
          </w:p>
        </w:tc>
      </w:tr>
      <w:tr w:rsidR="00C8795D" w:rsidRPr="008F3C15" w14:paraId="1292CAB8" w14:textId="77777777" w:rsidTr="008C1738">
        <w:trPr>
          <w:trHeight w:val="275"/>
        </w:trPr>
        <w:tc>
          <w:tcPr>
            <w:tcW w:w="2520" w:type="dxa"/>
            <w:tcBorders>
              <w:top w:val="nil"/>
              <w:left w:val="nil"/>
              <w:bottom w:val="nil"/>
              <w:right w:val="nil"/>
            </w:tcBorders>
            <w:vAlign w:val="center"/>
          </w:tcPr>
          <w:p w14:paraId="08B00587" w14:textId="77777777" w:rsidR="00C8795D" w:rsidRPr="008F3C15" w:rsidRDefault="00C8795D" w:rsidP="0024696C">
            <w:pPr>
              <w:spacing w:line="276" w:lineRule="auto"/>
              <w:rPr>
                <w:sz w:val="20"/>
                <w:szCs w:val="20"/>
                <w:lang w:val="en-GB"/>
              </w:rPr>
            </w:pPr>
            <w:r w:rsidRPr="008F3C15">
              <w:rPr>
                <w:sz w:val="20"/>
                <w:szCs w:val="20"/>
                <w:lang w:val="en-GB"/>
              </w:rPr>
              <w:t>APT reconstructions</w:t>
            </w:r>
          </w:p>
        </w:tc>
        <w:tc>
          <w:tcPr>
            <w:tcW w:w="3690" w:type="dxa"/>
            <w:tcBorders>
              <w:top w:val="nil"/>
              <w:left w:val="nil"/>
              <w:bottom w:val="nil"/>
              <w:right w:val="nil"/>
            </w:tcBorders>
            <w:vAlign w:val="center"/>
          </w:tcPr>
          <w:p w14:paraId="63D0B4F4" w14:textId="7F126BF1" w:rsidR="00C8795D" w:rsidRPr="008F3C15" w:rsidRDefault="00C8795D" w:rsidP="0024696C">
            <w:pPr>
              <w:spacing w:line="276" w:lineRule="auto"/>
              <w:rPr>
                <w:sz w:val="20"/>
                <w:szCs w:val="20"/>
                <w:lang w:val="en-GB"/>
              </w:rPr>
            </w:pPr>
            <w:r w:rsidRPr="008F3C15">
              <w:rPr>
                <w:sz w:val="20"/>
                <w:szCs w:val="20"/>
                <w:lang w:val="en-GB"/>
              </w:rPr>
              <w:t>1 shell, 8 tips from 2 liftouts</w:t>
            </w:r>
          </w:p>
        </w:tc>
        <w:tc>
          <w:tcPr>
            <w:tcW w:w="4225" w:type="dxa"/>
            <w:vMerge w:val="restart"/>
            <w:tcBorders>
              <w:top w:val="nil"/>
              <w:left w:val="nil"/>
              <w:right w:val="nil"/>
            </w:tcBorders>
            <w:vAlign w:val="center"/>
          </w:tcPr>
          <w:p w14:paraId="58BAD539" w14:textId="709732BA" w:rsidR="00C8795D" w:rsidRPr="008F3C15" w:rsidRDefault="00C8795D" w:rsidP="0024696C">
            <w:pPr>
              <w:spacing w:line="276" w:lineRule="auto"/>
              <w:rPr>
                <w:sz w:val="20"/>
                <w:szCs w:val="20"/>
                <w:lang w:val="en-GB"/>
              </w:rPr>
            </w:pPr>
            <w:r w:rsidRPr="008F3C15">
              <w:rPr>
                <w:sz w:val="20"/>
                <w:szCs w:val="20"/>
                <w:lang w:val="en-GB"/>
              </w:rPr>
              <w:t>Final data collection using specimen with highest growth rates</w:t>
            </w:r>
            <w:r w:rsidR="001D5CE5" w:rsidRPr="008F3C15">
              <w:rPr>
                <w:sz w:val="20"/>
                <w:szCs w:val="20"/>
                <w:lang w:val="en-GB"/>
              </w:rPr>
              <w:t xml:space="preserve"> for best resolution</w:t>
            </w:r>
            <w:r w:rsidRPr="008F3C15">
              <w:rPr>
                <w:sz w:val="20"/>
                <w:szCs w:val="20"/>
                <w:lang w:val="en-GB"/>
              </w:rPr>
              <w:t xml:space="preserve"> (specimen ID ‘M2S2’)</w:t>
            </w:r>
          </w:p>
        </w:tc>
      </w:tr>
      <w:tr w:rsidR="00C8795D" w:rsidRPr="008F3C15" w14:paraId="387CF675" w14:textId="77777777" w:rsidTr="008C1738">
        <w:trPr>
          <w:trHeight w:val="275"/>
        </w:trPr>
        <w:tc>
          <w:tcPr>
            <w:tcW w:w="2520" w:type="dxa"/>
            <w:tcBorders>
              <w:top w:val="nil"/>
              <w:left w:val="nil"/>
              <w:bottom w:val="nil"/>
              <w:right w:val="nil"/>
            </w:tcBorders>
            <w:vAlign w:val="center"/>
          </w:tcPr>
          <w:p w14:paraId="2477B49C" w14:textId="77777777" w:rsidR="00C8795D" w:rsidRPr="008F3C15" w:rsidRDefault="00C8795D" w:rsidP="0024696C">
            <w:pPr>
              <w:spacing w:line="276" w:lineRule="auto"/>
              <w:rPr>
                <w:sz w:val="20"/>
                <w:szCs w:val="20"/>
                <w:lang w:val="en-GB"/>
              </w:rPr>
            </w:pPr>
            <w:r w:rsidRPr="008F3C15">
              <w:rPr>
                <w:sz w:val="20"/>
                <w:szCs w:val="20"/>
                <w:lang w:val="en-GB"/>
              </w:rPr>
              <w:t>PiFM maps</w:t>
            </w:r>
          </w:p>
        </w:tc>
        <w:tc>
          <w:tcPr>
            <w:tcW w:w="3690" w:type="dxa"/>
            <w:tcBorders>
              <w:top w:val="nil"/>
              <w:left w:val="nil"/>
              <w:bottom w:val="nil"/>
              <w:right w:val="nil"/>
            </w:tcBorders>
            <w:vAlign w:val="center"/>
          </w:tcPr>
          <w:p w14:paraId="1F588E41" w14:textId="18038641" w:rsidR="00C8795D" w:rsidRPr="008F3C15" w:rsidRDefault="00C8795D" w:rsidP="0024696C">
            <w:pPr>
              <w:spacing w:line="276" w:lineRule="auto"/>
              <w:rPr>
                <w:sz w:val="20"/>
                <w:szCs w:val="20"/>
                <w:lang w:val="en-GB"/>
              </w:rPr>
            </w:pPr>
            <w:r w:rsidRPr="008F3C15">
              <w:rPr>
                <w:sz w:val="20"/>
                <w:szCs w:val="20"/>
                <w:lang w:val="en-GB"/>
              </w:rPr>
              <w:t>1</w:t>
            </w:r>
            <w:r w:rsidR="00BA4C50">
              <w:rPr>
                <w:sz w:val="20"/>
                <w:szCs w:val="20"/>
                <w:lang w:val="en-GB"/>
              </w:rPr>
              <w:t xml:space="preserve"> </w:t>
            </w:r>
            <w:r w:rsidRPr="008F3C15">
              <w:rPr>
                <w:sz w:val="20"/>
                <w:szCs w:val="20"/>
                <w:lang w:val="en-GB"/>
              </w:rPr>
              <w:t>shell, 3 maps in different areas</w:t>
            </w:r>
          </w:p>
        </w:tc>
        <w:tc>
          <w:tcPr>
            <w:tcW w:w="4225" w:type="dxa"/>
            <w:vMerge/>
            <w:tcBorders>
              <w:left w:val="nil"/>
              <w:right w:val="nil"/>
            </w:tcBorders>
            <w:vAlign w:val="center"/>
          </w:tcPr>
          <w:p w14:paraId="23561554" w14:textId="77777777" w:rsidR="00C8795D" w:rsidRPr="008F3C15" w:rsidRDefault="00C8795D" w:rsidP="0024696C">
            <w:pPr>
              <w:spacing w:line="276" w:lineRule="auto"/>
              <w:rPr>
                <w:sz w:val="20"/>
                <w:szCs w:val="20"/>
                <w:lang w:val="en-GB"/>
              </w:rPr>
            </w:pPr>
          </w:p>
        </w:tc>
      </w:tr>
      <w:tr w:rsidR="00C8795D" w:rsidRPr="008F3C15" w14:paraId="25BD1186" w14:textId="77777777" w:rsidTr="008C1738">
        <w:trPr>
          <w:trHeight w:val="275"/>
        </w:trPr>
        <w:tc>
          <w:tcPr>
            <w:tcW w:w="2520" w:type="dxa"/>
            <w:tcBorders>
              <w:top w:val="nil"/>
              <w:left w:val="nil"/>
              <w:bottom w:val="single" w:sz="4" w:space="0" w:color="auto"/>
              <w:right w:val="nil"/>
            </w:tcBorders>
            <w:vAlign w:val="center"/>
          </w:tcPr>
          <w:p w14:paraId="2D07B029" w14:textId="77777777" w:rsidR="00C8795D" w:rsidRPr="008F3C15" w:rsidRDefault="00C8795D" w:rsidP="0024696C">
            <w:pPr>
              <w:spacing w:line="276" w:lineRule="auto"/>
              <w:rPr>
                <w:sz w:val="20"/>
                <w:szCs w:val="20"/>
                <w:lang w:val="en-GB"/>
              </w:rPr>
            </w:pPr>
            <w:r w:rsidRPr="008F3C15">
              <w:rPr>
                <w:sz w:val="20"/>
                <w:szCs w:val="20"/>
                <w:lang w:val="en-GB"/>
              </w:rPr>
              <w:t>Quantitative EDS maps</w:t>
            </w:r>
          </w:p>
        </w:tc>
        <w:tc>
          <w:tcPr>
            <w:tcW w:w="3690" w:type="dxa"/>
            <w:tcBorders>
              <w:top w:val="nil"/>
              <w:left w:val="nil"/>
              <w:bottom w:val="single" w:sz="4" w:space="0" w:color="auto"/>
              <w:right w:val="nil"/>
            </w:tcBorders>
            <w:vAlign w:val="center"/>
          </w:tcPr>
          <w:p w14:paraId="1AFDDD94" w14:textId="7E276644" w:rsidR="00C8795D" w:rsidRPr="008F3C15" w:rsidRDefault="00C8795D" w:rsidP="0024696C">
            <w:pPr>
              <w:spacing w:line="276" w:lineRule="auto"/>
              <w:rPr>
                <w:sz w:val="20"/>
                <w:szCs w:val="20"/>
                <w:lang w:val="en-GB"/>
              </w:rPr>
            </w:pPr>
            <w:r w:rsidRPr="008F3C15">
              <w:rPr>
                <w:sz w:val="20"/>
                <w:szCs w:val="20"/>
                <w:lang w:val="en-GB"/>
              </w:rPr>
              <w:t>1 shell, 1 map</w:t>
            </w:r>
          </w:p>
        </w:tc>
        <w:tc>
          <w:tcPr>
            <w:tcW w:w="4225" w:type="dxa"/>
            <w:vMerge/>
            <w:tcBorders>
              <w:left w:val="nil"/>
              <w:bottom w:val="single" w:sz="4" w:space="0" w:color="auto"/>
              <w:right w:val="nil"/>
            </w:tcBorders>
            <w:vAlign w:val="center"/>
          </w:tcPr>
          <w:p w14:paraId="182A3196" w14:textId="77777777" w:rsidR="00C8795D" w:rsidRPr="008F3C15" w:rsidRDefault="00C8795D" w:rsidP="0024696C">
            <w:pPr>
              <w:spacing w:line="276" w:lineRule="auto"/>
              <w:rPr>
                <w:sz w:val="20"/>
                <w:szCs w:val="20"/>
                <w:lang w:val="en-GB"/>
              </w:rPr>
            </w:pPr>
          </w:p>
        </w:tc>
      </w:tr>
    </w:tbl>
    <w:p w14:paraId="67E190CE" w14:textId="1BB23638" w:rsidR="005500A1" w:rsidRPr="008F3C15" w:rsidRDefault="005500A1" w:rsidP="005500A1">
      <w:pPr>
        <w:rPr>
          <w:lang w:val="en-GB"/>
        </w:rPr>
      </w:pPr>
    </w:p>
    <w:p w14:paraId="1ED6C961" w14:textId="77777777" w:rsidR="005500A1" w:rsidRPr="008F3C15" w:rsidRDefault="005500A1">
      <w:pPr>
        <w:spacing w:line="259" w:lineRule="auto"/>
        <w:rPr>
          <w:lang w:val="en-GB"/>
        </w:rPr>
      </w:pPr>
      <w:r w:rsidRPr="008F3C15">
        <w:rPr>
          <w:lang w:val="en-GB"/>
        </w:rPr>
        <w:br w:type="page"/>
      </w:r>
    </w:p>
    <w:p w14:paraId="6BE37EAF" w14:textId="727E070E" w:rsidR="008F0432" w:rsidRPr="008F3C15" w:rsidRDefault="00816225" w:rsidP="004C3B90">
      <w:pPr>
        <w:pStyle w:val="Heading1"/>
        <w:rPr>
          <w:lang w:val="en-GB"/>
        </w:rPr>
      </w:pPr>
      <w:r w:rsidRPr="008F3C15">
        <w:rPr>
          <w:lang w:val="en-GB"/>
        </w:rPr>
        <w:lastRenderedPageBreak/>
        <w:t xml:space="preserve">Quantitative </w:t>
      </w:r>
      <w:r w:rsidR="0003220A" w:rsidRPr="008F3C15">
        <w:rPr>
          <w:lang w:val="en-GB"/>
        </w:rPr>
        <w:t>SEM-EDS</w:t>
      </w:r>
      <w:r w:rsidR="009C3BCC" w:rsidRPr="008F3C15">
        <w:rPr>
          <w:lang w:val="en-GB"/>
        </w:rPr>
        <w:t xml:space="preserve"> mapping</w:t>
      </w:r>
    </w:p>
    <w:p w14:paraId="3F45D2CD" w14:textId="3C7FBD4A" w:rsidR="000D2CAC" w:rsidRPr="008F3C15" w:rsidRDefault="004A5B84" w:rsidP="008622D5">
      <w:pPr>
        <w:spacing w:after="0"/>
        <w:rPr>
          <w:lang w:val="en-GB"/>
        </w:rPr>
      </w:pPr>
      <w:r w:rsidRPr="008F3C15">
        <w:rPr>
          <w:noProof/>
          <w:lang w:val="en-GB"/>
        </w:rPr>
        <w:drawing>
          <wp:inline distT="0" distB="0" distL="0" distR="0" wp14:anchorId="1614748E" wp14:editId="117E8CF1">
            <wp:extent cx="6627571" cy="4119874"/>
            <wp:effectExtent l="0" t="0" r="1905" b="0"/>
            <wp:docPr id="10" name="Picture 1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39268" cy="4127145"/>
                    </a:xfrm>
                    <a:prstGeom prst="rect">
                      <a:avLst/>
                    </a:prstGeom>
                    <a:noFill/>
                    <a:ln>
                      <a:noFill/>
                    </a:ln>
                  </pic:spPr>
                </pic:pic>
              </a:graphicData>
            </a:graphic>
          </wp:inline>
        </w:drawing>
      </w:r>
    </w:p>
    <w:p w14:paraId="1E4CC106" w14:textId="37D30D0B" w:rsidR="005500A1" w:rsidRPr="008F3C15" w:rsidRDefault="003D4CB1" w:rsidP="00DB37A7">
      <w:pPr>
        <w:rPr>
          <w:sz w:val="22"/>
          <w:lang w:val="en-GB"/>
        </w:rPr>
      </w:pPr>
      <w:r w:rsidRPr="008F3C15">
        <w:rPr>
          <w:b/>
          <w:bCs/>
          <w:sz w:val="22"/>
          <w:lang w:val="en-GB"/>
        </w:rPr>
        <w:t>Supplementary Fig. 1.</w:t>
      </w:r>
      <w:r w:rsidRPr="008F3C15">
        <w:rPr>
          <w:sz w:val="22"/>
          <w:lang w:val="en-GB"/>
        </w:rPr>
        <w:t xml:space="preserve"> </w:t>
      </w:r>
      <w:r w:rsidR="001B2FED" w:rsidRPr="008F3C15">
        <w:rPr>
          <w:sz w:val="22"/>
          <w:lang w:val="en-GB"/>
        </w:rPr>
        <w:t xml:space="preserve">Representative </w:t>
      </w:r>
      <w:r w:rsidR="00665DF2" w:rsidRPr="008F3C15">
        <w:rPr>
          <w:sz w:val="22"/>
          <w:lang w:val="en-GB"/>
        </w:rPr>
        <w:t>SEM-EDS map</w:t>
      </w:r>
      <w:r w:rsidR="00657A4F" w:rsidRPr="008F3C15">
        <w:rPr>
          <w:sz w:val="22"/>
          <w:lang w:val="en-GB"/>
        </w:rPr>
        <w:t xml:space="preserve"> (</w:t>
      </w:r>
      <w:r w:rsidR="003034B9" w:rsidRPr="008F3C15">
        <w:rPr>
          <w:sz w:val="22"/>
          <w:lang w:val="en-GB"/>
        </w:rPr>
        <w:t>coloured</w:t>
      </w:r>
      <w:r w:rsidR="00657A4F" w:rsidRPr="008F3C15">
        <w:rPr>
          <w:sz w:val="22"/>
          <w:lang w:val="en-GB"/>
        </w:rPr>
        <w:t>)</w:t>
      </w:r>
      <w:r w:rsidR="00665DF2" w:rsidRPr="008F3C15">
        <w:rPr>
          <w:sz w:val="22"/>
          <w:lang w:val="en-GB"/>
        </w:rPr>
        <w:t xml:space="preserve"> transecting the three Sr-labels</w:t>
      </w:r>
      <w:r w:rsidR="00565803" w:rsidRPr="008F3C15">
        <w:rPr>
          <w:sz w:val="22"/>
          <w:lang w:val="en-GB"/>
        </w:rPr>
        <w:t xml:space="preserve"> </w:t>
      </w:r>
      <w:r w:rsidR="00665DF2" w:rsidRPr="008F3C15">
        <w:rPr>
          <w:sz w:val="22"/>
          <w:lang w:val="en-GB"/>
        </w:rPr>
        <w:t xml:space="preserve">in a </w:t>
      </w:r>
      <w:r w:rsidR="00665DF2" w:rsidRPr="008F3C15">
        <w:rPr>
          <w:i/>
          <w:iCs/>
          <w:sz w:val="22"/>
          <w:lang w:val="en-GB"/>
        </w:rPr>
        <w:t>M. galloprovincialis</w:t>
      </w:r>
      <w:r w:rsidR="00665DF2" w:rsidRPr="008F3C15">
        <w:rPr>
          <w:sz w:val="22"/>
          <w:lang w:val="en-GB"/>
        </w:rPr>
        <w:t xml:space="preserve"> shell cross-section</w:t>
      </w:r>
      <w:r w:rsidR="00565803" w:rsidRPr="008F3C15">
        <w:rPr>
          <w:sz w:val="22"/>
          <w:lang w:val="en-GB"/>
        </w:rPr>
        <w:t xml:space="preserve"> overlain on a </w:t>
      </w:r>
      <w:r w:rsidR="00FE015D" w:rsidRPr="008F3C15">
        <w:rPr>
          <w:sz w:val="22"/>
          <w:lang w:val="en-GB"/>
        </w:rPr>
        <w:t>grey-scale</w:t>
      </w:r>
      <w:r w:rsidR="003034B9" w:rsidRPr="008F3C15">
        <w:rPr>
          <w:sz w:val="22"/>
          <w:lang w:val="en-GB"/>
        </w:rPr>
        <w:t xml:space="preserve"> </w:t>
      </w:r>
      <w:r w:rsidR="00C801BC" w:rsidRPr="008F3C15">
        <w:rPr>
          <w:sz w:val="22"/>
          <w:lang w:val="en-GB"/>
        </w:rPr>
        <w:t>BSE</w:t>
      </w:r>
      <w:r w:rsidR="00657A4F" w:rsidRPr="008F3C15">
        <w:rPr>
          <w:sz w:val="22"/>
          <w:lang w:val="en-GB"/>
        </w:rPr>
        <w:t xml:space="preserve"> </w:t>
      </w:r>
      <w:r w:rsidR="00565803" w:rsidRPr="008F3C15">
        <w:rPr>
          <w:sz w:val="22"/>
          <w:lang w:val="en-GB"/>
        </w:rPr>
        <w:t>image</w:t>
      </w:r>
      <w:r w:rsidR="00665DF2" w:rsidRPr="008F3C15">
        <w:rPr>
          <w:sz w:val="22"/>
          <w:lang w:val="en-GB"/>
        </w:rPr>
        <w:t>.</w:t>
      </w:r>
      <w:r w:rsidR="00CF7993" w:rsidRPr="008F3C15">
        <w:rPr>
          <w:sz w:val="22"/>
          <w:lang w:val="en-GB"/>
        </w:rPr>
        <w:t xml:space="preserve"> </w:t>
      </w:r>
      <w:r w:rsidR="00657A4F" w:rsidRPr="008F3C15">
        <w:rPr>
          <w:sz w:val="22"/>
          <w:lang w:val="en-GB"/>
        </w:rPr>
        <w:t>Light blue areas (</w:t>
      </w:r>
      <w:r w:rsidR="00C801BC" w:rsidRPr="008F3C15">
        <w:rPr>
          <w:sz w:val="22"/>
          <w:lang w:val="en-GB"/>
        </w:rPr>
        <w:t>‘</w:t>
      </w:r>
      <w:r w:rsidR="00657A4F" w:rsidRPr="008F3C15">
        <w:rPr>
          <w:sz w:val="22"/>
          <w:lang w:val="en-GB"/>
        </w:rPr>
        <w:t>Label-1</w:t>
      </w:r>
      <w:r w:rsidR="00C801BC" w:rsidRPr="008F3C15">
        <w:rPr>
          <w:sz w:val="22"/>
          <w:lang w:val="en-GB"/>
        </w:rPr>
        <w:t>’</w:t>
      </w:r>
      <w:r w:rsidR="00657A4F" w:rsidRPr="008F3C15">
        <w:rPr>
          <w:sz w:val="22"/>
          <w:lang w:val="en-GB"/>
        </w:rPr>
        <w:t xml:space="preserve"> to </w:t>
      </w:r>
      <w:r w:rsidR="00C801BC" w:rsidRPr="008F3C15">
        <w:rPr>
          <w:sz w:val="22"/>
          <w:lang w:val="en-GB"/>
        </w:rPr>
        <w:t>‘Label</w:t>
      </w:r>
      <w:r w:rsidR="00657A4F" w:rsidRPr="008F3C15">
        <w:rPr>
          <w:sz w:val="22"/>
          <w:lang w:val="en-GB"/>
        </w:rPr>
        <w:t>-3</w:t>
      </w:r>
      <w:r w:rsidR="00C801BC" w:rsidRPr="008F3C15">
        <w:rPr>
          <w:sz w:val="22"/>
          <w:lang w:val="en-GB"/>
        </w:rPr>
        <w:t>’</w:t>
      </w:r>
      <w:r w:rsidR="00657A4F" w:rsidRPr="008F3C15">
        <w:rPr>
          <w:sz w:val="22"/>
          <w:lang w:val="en-GB"/>
        </w:rPr>
        <w:t xml:space="preserve">) formed during Sr pulse-chase </w:t>
      </w:r>
      <w:r w:rsidR="00C801BC" w:rsidRPr="008F3C15">
        <w:rPr>
          <w:sz w:val="22"/>
          <w:lang w:val="en-GB"/>
        </w:rPr>
        <w:t xml:space="preserve">labelling </w:t>
      </w:r>
      <w:r w:rsidR="00657A4F" w:rsidRPr="008F3C15">
        <w:rPr>
          <w:sz w:val="22"/>
          <w:lang w:val="en-GB"/>
        </w:rPr>
        <w:t>intervals in seawater with elevated Sr concentrations while d</w:t>
      </w:r>
      <w:r w:rsidR="00565803" w:rsidRPr="008F3C15">
        <w:rPr>
          <w:sz w:val="22"/>
          <w:lang w:val="en-GB"/>
        </w:rPr>
        <w:t xml:space="preserve">ark blue map areas </w:t>
      </w:r>
      <w:r w:rsidR="00C6106B" w:rsidRPr="008F3C15">
        <w:rPr>
          <w:sz w:val="22"/>
          <w:lang w:val="en-GB"/>
        </w:rPr>
        <w:t>(</w:t>
      </w:r>
      <w:r w:rsidR="00C801BC" w:rsidRPr="008F3C15">
        <w:rPr>
          <w:sz w:val="22"/>
          <w:lang w:val="en-GB"/>
        </w:rPr>
        <w:t>‘</w:t>
      </w:r>
      <w:r w:rsidR="00C6106B" w:rsidRPr="008F3C15">
        <w:rPr>
          <w:sz w:val="22"/>
          <w:lang w:val="en-GB"/>
        </w:rPr>
        <w:t>Ambient-1</w:t>
      </w:r>
      <w:r w:rsidR="00C801BC" w:rsidRPr="008F3C15">
        <w:rPr>
          <w:sz w:val="22"/>
          <w:lang w:val="en-GB"/>
        </w:rPr>
        <w:t>’</w:t>
      </w:r>
      <w:r w:rsidR="00C6106B" w:rsidRPr="008F3C15">
        <w:rPr>
          <w:sz w:val="22"/>
          <w:lang w:val="en-GB"/>
        </w:rPr>
        <w:t xml:space="preserve"> to </w:t>
      </w:r>
      <w:r w:rsidR="00C801BC" w:rsidRPr="008F3C15">
        <w:rPr>
          <w:sz w:val="22"/>
          <w:lang w:val="en-GB"/>
        </w:rPr>
        <w:t>‘Ambient</w:t>
      </w:r>
      <w:r w:rsidR="00C6106B" w:rsidRPr="008F3C15">
        <w:rPr>
          <w:sz w:val="22"/>
          <w:lang w:val="en-GB"/>
        </w:rPr>
        <w:t>-3</w:t>
      </w:r>
      <w:r w:rsidR="00C801BC" w:rsidRPr="008F3C15">
        <w:rPr>
          <w:sz w:val="22"/>
          <w:lang w:val="en-GB"/>
        </w:rPr>
        <w:t>’</w:t>
      </w:r>
      <w:r w:rsidR="00C6106B" w:rsidRPr="008F3C15">
        <w:rPr>
          <w:sz w:val="22"/>
          <w:lang w:val="en-GB"/>
        </w:rPr>
        <w:t xml:space="preserve">) </w:t>
      </w:r>
      <w:r w:rsidR="00C801BC" w:rsidRPr="008F3C15">
        <w:rPr>
          <w:sz w:val="22"/>
          <w:lang w:val="en-GB"/>
        </w:rPr>
        <w:t>represent</w:t>
      </w:r>
      <w:r w:rsidR="00657A4F" w:rsidRPr="008F3C15">
        <w:rPr>
          <w:sz w:val="22"/>
          <w:lang w:val="en-GB"/>
        </w:rPr>
        <w:t xml:space="preserve"> </w:t>
      </w:r>
      <w:r w:rsidR="00062006" w:rsidRPr="008F3C15">
        <w:rPr>
          <w:sz w:val="22"/>
          <w:lang w:val="en-GB"/>
        </w:rPr>
        <w:t xml:space="preserve">shell layers </w:t>
      </w:r>
      <w:r w:rsidR="00657A4F" w:rsidRPr="008F3C15">
        <w:rPr>
          <w:sz w:val="22"/>
          <w:lang w:val="en-GB"/>
        </w:rPr>
        <w:t>gr</w:t>
      </w:r>
      <w:r w:rsidR="003034B9" w:rsidRPr="008F3C15">
        <w:rPr>
          <w:sz w:val="22"/>
          <w:lang w:val="en-GB"/>
        </w:rPr>
        <w:t>o</w:t>
      </w:r>
      <w:r w:rsidR="00657A4F" w:rsidRPr="008F3C15">
        <w:rPr>
          <w:sz w:val="22"/>
          <w:lang w:val="en-GB"/>
        </w:rPr>
        <w:t>w</w:t>
      </w:r>
      <w:r w:rsidR="003034B9" w:rsidRPr="008F3C15">
        <w:rPr>
          <w:sz w:val="22"/>
          <w:lang w:val="en-GB"/>
        </w:rPr>
        <w:t>n</w:t>
      </w:r>
      <w:r w:rsidR="00657A4F" w:rsidRPr="008F3C15">
        <w:rPr>
          <w:sz w:val="22"/>
          <w:lang w:val="en-GB"/>
        </w:rPr>
        <w:t xml:space="preserve"> </w:t>
      </w:r>
      <w:r w:rsidR="00062006" w:rsidRPr="008F3C15">
        <w:rPr>
          <w:sz w:val="22"/>
          <w:lang w:val="en-GB"/>
        </w:rPr>
        <w:t>in ambient seawater</w:t>
      </w:r>
      <w:r w:rsidR="00657A4F" w:rsidRPr="008F3C15">
        <w:rPr>
          <w:sz w:val="22"/>
          <w:lang w:val="en-GB"/>
        </w:rPr>
        <w:t>.</w:t>
      </w:r>
      <w:r w:rsidR="00062006" w:rsidRPr="008F3C15">
        <w:rPr>
          <w:sz w:val="22"/>
          <w:lang w:val="en-GB"/>
        </w:rPr>
        <w:t xml:space="preserve"> </w:t>
      </w:r>
      <w:r w:rsidR="003C3791" w:rsidRPr="008F3C15">
        <w:rPr>
          <w:sz w:val="22"/>
          <w:lang w:val="en-GB"/>
        </w:rPr>
        <w:t xml:space="preserve">The three </w:t>
      </w:r>
      <w:r w:rsidR="00277EA6" w:rsidRPr="008F3C15">
        <w:rPr>
          <w:sz w:val="22"/>
          <w:lang w:val="en-GB"/>
        </w:rPr>
        <w:t xml:space="preserve">light blue Sr-labelled shell layers </w:t>
      </w:r>
      <w:r w:rsidR="003034B9" w:rsidRPr="008F3C15">
        <w:rPr>
          <w:sz w:val="22"/>
          <w:lang w:val="en-GB"/>
        </w:rPr>
        <w:t>correspond to</w:t>
      </w:r>
      <w:r w:rsidR="00277EA6" w:rsidRPr="008F3C15">
        <w:rPr>
          <w:sz w:val="22"/>
          <w:lang w:val="en-GB"/>
        </w:rPr>
        <w:t xml:space="preserve"> the brighter greyscales of the BSE image. </w:t>
      </w:r>
      <w:r w:rsidR="000D5B13" w:rsidRPr="008F3C15">
        <w:rPr>
          <w:sz w:val="22"/>
          <w:lang w:val="en-GB"/>
        </w:rPr>
        <w:t xml:space="preserve">The </w:t>
      </w:r>
      <w:r w:rsidR="00657A4F" w:rsidRPr="008F3C15">
        <w:rPr>
          <w:sz w:val="22"/>
          <w:lang w:val="en-GB"/>
        </w:rPr>
        <w:t xml:space="preserve">increased </w:t>
      </w:r>
      <w:r w:rsidR="000D5B13" w:rsidRPr="008F3C15">
        <w:rPr>
          <w:sz w:val="22"/>
          <w:lang w:val="en-GB"/>
        </w:rPr>
        <w:t>blurriness of the EDS map</w:t>
      </w:r>
      <w:r w:rsidR="00657A4F" w:rsidRPr="008F3C15">
        <w:rPr>
          <w:sz w:val="22"/>
          <w:lang w:val="en-GB"/>
        </w:rPr>
        <w:t xml:space="preserve"> compared to the BSE im</w:t>
      </w:r>
      <w:r w:rsidR="003034B9" w:rsidRPr="008F3C15">
        <w:rPr>
          <w:sz w:val="22"/>
          <w:lang w:val="en-GB"/>
        </w:rPr>
        <w:t>a</w:t>
      </w:r>
      <w:r w:rsidR="00657A4F" w:rsidRPr="008F3C15">
        <w:rPr>
          <w:sz w:val="22"/>
          <w:lang w:val="en-GB"/>
        </w:rPr>
        <w:t>ge</w:t>
      </w:r>
      <w:r w:rsidR="000D5B13" w:rsidRPr="008F3C15">
        <w:rPr>
          <w:sz w:val="22"/>
          <w:lang w:val="en-GB"/>
        </w:rPr>
        <w:t xml:space="preserve"> is due to the greater depth at which characteristic X-rays are produced compared to the backscattered electrons. </w:t>
      </w:r>
      <w:r w:rsidR="003C3791" w:rsidRPr="008F3C15">
        <w:rPr>
          <w:sz w:val="22"/>
          <w:lang w:val="en-GB"/>
        </w:rPr>
        <w:t xml:space="preserve">Scale bar is 25 </w:t>
      </w:r>
      <w:r w:rsidR="003C3791" w:rsidRPr="008F3C15">
        <w:rPr>
          <w:rFonts w:cs="Times New Roman"/>
          <w:sz w:val="22"/>
          <w:lang w:val="en-GB"/>
        </w:rPr>
        <w:t>µ</w:t>
      </w:r>
      <w:r w:rsidR="003C3791" w:rsidRPr="008F3C15">
        <w:rPr>
          <w:sz w:val="22"/>
          <w:lang w:val="en-GB"/>
        </w:rPr>
        <w:t>m.</w:t>
      </w:r>
    </w:p>
    <w:p w14:paraId="53EBCC55" w14:textId="3B315FB6" w:rsidR="00336FB4" w:rsidRPr="008F3C15" w:rsidRDefault="00336FB4" w:rsidP="000D2CAC">
      <w:pPr>
        <w:rPr>
          <w:sz w:val="22"/>
          <w:lang w:val="en-GB"/>
        </w:rPr>
      </w:pPr>
    </w:p>
    <w:p w14:paraId="78FAD7BE" w14:textId="37A2404E" w:rsidR="00BA6A4C" w:rsidRPr="008F3C15" w:rsidRDefault="00F8568C" w:rsidP="00DB37A7">
      <w:pPr>
        <w:spacing w:after="0"/>
        <w:rPr>
          <w:sz w:val="22"/>
          <w:szCs w:val="20"/>
          <w:lang w:val="en-GB"/>
        </w:rPr>
      </w:pPr>
      <w:r w:rsidRPr="008F3C15">
        <w:rPr>
          <w:b/>
          <w:bCs/>
          <w:sz w:val="22"/>
          <w:szCs w:val="20"/>
          <w:lang w:val="en-GB"/>
        </w:rPr>
        <w:t xml:space="preserve">Supplementary </w:t>
      </w:r>
      <w:r w:rsidR="00BA6A4C" w:rsidRPr="008F3C15">
        <w:rPr>
          <w:b/>
          <w:bCs/>
          <w:sz w:val="22"/>
          <w:szCs w:val="20"/>
          <w:lang w:val="en-GB"/>
        </w:rPr>
        <w:t xml:space="preserve">Table </w:t>
      </w:r>
      <w:r w:rsidR="00AF14D9" w:rsidRPr="008F3C15">
        <w:rPr>
          <w:b/>
          <w:bCs/>
          <w:sz w:val="22"/>
          <w:szCs w:val="20"/>
          <w:lang w:val="en-GB"/>
        </w:rPr>
        <w:t>2</w:t>
      </w:r>
      <w:r w:rsidR="00BA6A4C" w:rsidRPr="008F3C15">
        <w:rPr>
          <w:b/>
          <w:bCs/>
          <w:sz w:val="22"/>
          <w:szCs w:val="20"/>
          <w:lang w:val="en-GB"/>
        </w:rPr>
        <w:t>:</w:t>
      </w:r>
      <w:r w:rsidR="00E91E86" w:rsidRPr="008F3C15">
        <w:rPr>
          <w:sz w:val="22"/>
          <w:szCs w:val="20"/>
          <w:lang w:val="en-GB"/>
        </w:rPr>
        <w:t xml:space="preserve"> Element concentrations </w:t>
      </w:r>
      <w:r w:rsidR="00BA6A4C" w:rsidRPr="008F3C15">
        <w:rPr>
          <w:sz w:val="22"/>
          <w:szCs w:val="20"/>
          <w:lang w:val="en-GB"/>
        </w:rPr>
        <w:t xml:space="preserve">of </w:t>
      </w:r>
      <w:r w:rsidR="001B2FED" w:rsidRPr="008F3C15">
        <w:rPr>
          <w:sz w:val="22"/>
          <w:szCs w:val="20"/>
          <w:lang w:val="en-GB"/>
        </w:rPr>
        <w:t xml:space="preserve">the </w:t>
      </w:r>
      <w:r w:rsidR="00BA6A4C" w:rsidRPr="008F3C15">
        <w:rPr>
          <w:sz w:val="22"/>
          <w:szCs w:val="20"/>
          <w:lang w:val="en-GB"/>
        </w:rPr>
        <w:t>Sr-labelled</w:t>
      </w:r>
      <w:r w:rsidR="00B77049" w:rsidRPr="008F3C15">
        <w:rPr>
          <w:sz w:val="22"/>
          <w:szCs w:val="20"/>
          <w:lang w:val="en-GB"/>
        </w:rPr>
        <w:t xml:space="preserve"> and unlabelled</w:t>
      </w:r>
      <w:r w:rsidR="00BA6A4C" w:rsidRPr="008F3C15">
        <w:rPr>
          <w:sz w:val="22"/>
          <w:szCs w:val="20"/>
          <w:lang w:val="en-GB"/>
        </w:rPr>
        <w:t xml:space="preserve"> </w:t>
      </w:r>
      <w:r w:rsidR="00BA6A4C" w:rsidRPr="008F3C15">
        <w:rPr>
          <w:i/>
          <w:iCs/>
          <w:sz w:val="22"/>
          <w:szCs w:val="20"/>
          <w:lang w:val="en-GB"/>
        </w:rPr>
        <w:t>M</w:t>
      </w:r>
      <w:r w:rsidR="00993CD0" w:rsidRPr="008F3C15">
        <w:rPr>
          <w:i/>
          <w:iCs/>
          <w:sz w:val="22"/>
          <w:szCs w:val="20"/>
          <w:lang w:val="en-GB"/>
        </w:rPr>
        <w:t>.</w:t>
      </w:r>
      <w:r w:rsidR="00BA6A4C" w:rsidRPr="008F3C15">
        <w:rPr>
          <w:i/>
          <w:iCs/>
          <w:sz w:val="22"/>
          <w:szCs w:val="20"/>
          <w:lang w:val="en-GB"/>
        </w:rPr>
        <w:t xml:space="preserve"> galloprovincialis</w:t>
      </w:r>
      <w:r w:rsidR="00BA6A4C" w:rsidRPr="008F3C15">
        <w:rPr>
          <w:sz w:val="22"/>
          <w:szCs w:val="20"/>
          <w:lang w:val="en-GB"/>
        </w:rPr>
        <w:t xml:space="preserve"> shell </w:t>
      </w:r>
      <w:r w:rsidR="00B77049" w:rsidRPr="008F3C15">
        <w:rPr>
          <w:sz w:val="22"/>
          <w:szCs w:val="20"/>
          <w:lang w:val="en-GB"/>
        </w:rPr>
        <w:t>portions analysed</w:t>
      </w:r>
      <w:r w:rsidR="00BA6A4C" w:rsidRPr="008F3C15">
        <w:rPr>
          <w:sz w:val="22"/>
          <w:szCs w:val="20"/>
          <w:lang w:val="en-GB"/>
        </w:rPr>
        <w:t xml:space="preserve"> by quantitative SEM-EDS </w:t>
      </w:r>
      <w:r w:rsidR="00E91E86" w:rsidRPr="008F3C15">
        <w:rPr>
          <w:sz w:val="22"/>
          <w:szCs w:val="20"/>
          <w:lang w:val="en-GB"/>
        </w:rPr>
        <w:t>(</w:t>
      </w:r>
      <w:r w:rsidR="00833D46" w:rsidRPr="008F3C15">
        <w:rPr>
          <w:sz w:val="22"/>
          <w:szCs w:val="20"/>
          <w:lang w:val="en-GB"/>
        </w:rPr>
        <w:t xml:space="preserve">data derived from </w:t>
      </w:r>
      <w:r w:rsidR="00E91E86" w:rsidRPr="008F3C15">
        <w:rPr>
          <w:sz w:val="22"/>
          <w:szCs w:val="20"/>
          <w:lang w:val="en-GB"/>
        </w:rPr>
        <w:t xml:space="preserve">map </w:t>
      </w:r>
      <w:r w:rsidR="00BA6A4C" w:rsidRPr="008F3C15">
        <w:rPr>
          <w:sz w:val="22"/>
          <w:szCs w:val="20"/>
          <w:lang w:val="en-GB"/>
        </w:rPr>
        <w:t>shown in Supplementary Fig</w:t>
      </w:r>
      <w:r w:rsidR="00173061" w:rsidRPr="008F3C15">
        <w:rPr>
          <w:sz w:val="22"/>
          <w:szCs w:val="20"/>
          <w:lang w:val="en-GB"/>
        </w:rPr>
        <w:t>.</w:t>
      </w:r>
      <w:r w:rsidR="00BA6A4C" w:rsidRPr="008F3C15">
        <w:rPr>
          <w:sz w:val="22"/>
          <w:szCs w:val="20"/>
          <w:lang w:val="en-GB"/>
        </w:rPr>
        <w:t xml:space="preserve"> 1</w:t>
      </w:r>
      <w:r w:rsidR="00833D46" w:rsidRPr="008F3C15">
        <w:rPr>
          <w:sz w:val="22"/>
          <w:szCs w:val="20"/>
          <w:lang w:val="en-GB"/>
        </w:rPr>
        <w:t>)</w:t>
      </w:r>
      <w:r w:rsidR="00BA6A4C" w:rsidRPr="008F3C15">
        <w:rPr>
          <w:sz w:val="22"/>
          <w:szCs w:val="20"/>
          <w:lang w:val="en-GB"/>
        </w:rPr>
        <w:t xml:space="preserve">. </w:t>
      </w:r>
      <w:r w:rsidR="00F4773E" w:rsidRPr="008F3C15">
        <w:rPr>
          <w:sz w:val="22"/>
          <w:szCs w:val="20"/>
          <w:lang w:val="en-GB"/>
        </w:rPr>
        <w:t>The data is presented as a</w:t>
      </w:r>
      <w:r w:rsidR="00BA6A4C" w:rsidRPr="008F3C15">
        <w:rPr>
          <w:sz w:val="22"/>
          <w:szCs w:val="20"/>
          <w:lang w:val="en-GB"/>
        </w:rPr>
        <w:t xml:space="preserve">verages </w:t>
      </w:r>
      <w:r w:rsidR="00F4773E" w:rsidRPr="008F3C15">
        <w:rPr>
          <w:rFonts w:cs="Times New Roman"/>
          <w:sz w:val="20"/>
          <w:szCs w:val="18"/>
          <w:lang w:val="en-GB"/>
        </w:rPr>
        <w:t>±</w:t>
      </w:r>
      <w:r w:rsidR="00BA6A4C" w:rsidRPr="008F3C15">
        <w:rPr>
          <w:sz w:val="22"/>
          <w:szCs w:val="20"/>
          <w:lang w:val="en-GB"/>
        </w:rPr>
        <w:t xml:space="preserve"> first standard deviations </w:t>
      </w:r>
      <w:r w:rsidR="00993CD0" w:rsidRPr="008F3C15">
        <w:rPr>
          <w:sz w:val="22"/>
          <w:szCs w:val="20"/>
          <w:lang w:val="en-GB"/>
        </w:rPr>
        <w:t>given</w:t>
      </w:r>
      <w:r w:rsidR="00BA6A4C" w:rsidRPr="008F3C15">
        <w:rPr>
          <w:sz w:val="22"/>
          <w:szCs w:val="20"/>
          <w:lang w:val="en-GB"/>
        </w:rPr>
        <w:t xml:space="preserve"> in </w:t>
      </w:r>
      <w:r w:rsidR="001E497B" w:rsidRPr="008F3C15">
        <w:rPr>
          <w:rFonts w:cs="Times New Roman"/>
          <w:sz w:val="22"/>
          <w:szCs w:val="20"/>
          <w:lang w:val="en-GB"/>
        </w:rPr>
        <w:t>µg/g</w:t>
      </w:r>
      <w:r w:rsidR="00BA6A4C" w:rsidRPr="008F3C15">
        <w:rPr>
          <w:color w:val="000000" w:themeColor="text1"/>
          <w:sz w:val="22"/>
          <w:szCs w:val="20"/>
          <w:lang w:val="en-GB"/>
        </w:rPr>
        <w:t xml:space="preserve"> </w:t>
      </w:r>
      <w:r w:rsidR="00C33CDE" w:rsidRPr="008F3C15">
        <w:rPr>
          <w:color w:val="000000" w:themeColor="text1"/>
          <w:sz w:val="22"/>
          <w:szCs w:val="20"/>
          <w:lang w:val="en-GB"/>
        </w:rPr>
        <w:t>together with</w:t>
      </w:r>
      <w:r w:rsidR="00BA6A4C" w:rsidRPr="008F3C15">
        <w:rPr>
          <w:color w:val="000000" w:themeColor="text1"/>
          <w:sz w:val="22"/>
          <w:szCs w:val="20"/>
          <w:lang w:val="en-GB"/>
        </w:rPr>
        <w:t xml:space="preserve"> the number of spectra</w:t>
      </w:r>
      <w:r w:rsidR="00A9266E" w:rsidRPr="008F3C15">
        <w:rPr>
          <w:color w:val="000000" w:themeColor="text1"/>
          <w:sz w:val="22"/>
          <w:szCs w:val="20"/>
          <w:lang w:val="en-GB"/>
        </w:rPr>
        <w:t xml:space="preserve"> </w:t>
      </w:r>
      <w:r w:rsidR="00722B0D" w:rsidRPr="008F3C15">
        <w:rPr>
          <w:color w:val="000000" w:themeColor="text1"/>
          <w:sz w:val="22"/>
          <w:szCs w:val="20"/>
          <w:lang w:val="en-GB"/>
        </w:rPr>
        <w:t xml:space="preserve">(n) </w:t>
      </w:r>
      <w:r w:rsidR="00C33CDE" w:rsidRPr="008F3C15">
        <w:rPr>
          <w:color w:val="000000" w:themeColor="text1"/>
          <w:sz w:val="22"/>
          <w:szCs w:val="20"/>
          <w:lang w:val="en-GB"/>
        </w:rPr>
        <w:t xml:space="preserve">for each </w:t>
      </w:r>
      <w:r w:rsidR="00722B0D" w:rsidRPr="008F3C15">
        <w:rPr>
          <w:color w:val="000000" w:themeColor="text1"/>
          <w:sz w:val="22"/>
          <w:szCs w:val="20"/>
          <w:lang w:val="en-GB"/>
        </w:rPr>
        <w:t>shell portion</w:t>
      </w:r>
      <w:r w:rsidR="00C1007C" w:rsidRPr="008F3C15">
        <w:rPr>
          <w:color w:val="000000" w:themeColor="text1"/>
          <w:sz w:val="22"/>
          <w:szCs w:val="20"/>
          <w:lang w:val="en-GB"/>
        </w:rPr>
        <w:t xml:space="preserve"> as well as the Sr/Ca ratio in mmol/mol</w:t>
      </w:r>
      <w:r w:rsidR="00BA6A4C" w:rsidRPr="008F3C15">
        <w:rPr>
          <w:rFonts w:cs="Times New Roman"/>
          <w:sz w:val="22"/>
          <w:szCs w:val="20"/>
          <w:lang w:val="en-GB"/>
        </w:rPr>
        <w:t xml:space="preserve">. </w:t>
      </w:r>
      <w:r w:rsidR="00722B0D" w:rsidRPr="008F3C15">
        <w:rPr>
          <w:rFonts w:cs="Times New Roman"/>
          <w:sz w:val="22"/>
          <w:szCs w:val="20"/>
          <w:lang w:val="en-GB"/>
        </w:rPr>
        <w:t>The a</w:t>
      </w:r>
      <w:r w:rsidR="0016060A" w:rsidRPr="008F3C15">
        <w:rPr>
          <w:rFonts w:cs="Times New Roman"/>
          <w:sz w:val="22"/>
          <w:szCs w:val="20"/>
          <w:lang w:val="en-GB"/>
        </w:rPr>
        <w:t>verage Sr concentration</w:t>
      </w:r>
      <w:r w:rsidR="00722B0D" w:rsidRPr="008F3C15">
        <w:rPr>
          <w:rFonts w:cs="Times New Roman"/>
          <w:sz w:val="22"/>
          <w:szCs w:val="20"/>
          <w:lang w:val="en-GB"/>
        </w:rPr>
        <w:t>,</w:t>
      </w:r>
      <w:r w:rsidR="0016060A" w:rsidRPr="008F3C15">
        <w:rPr>
          <w:rFonts w:cs="Times New Roman"/>
          <w:sz w:val="22"/>
          <w:szCs w:val="20"/>
          <w:lang w:val="en-GB"/>
        </w:rPr>
        <w:t xml:space="preserve"> </w:t>
      </w:r>
      <w:r w:rsidR="00722B0D" w:rsidRPr="008F3C15">
        <w:rPr>
          <w:rFonts w:cs="Times New Roman"/>
          <w:sz w:val="22"/>
          <w:szCs w:val="20"/>
          <w:lang w:val="en-GB"/>
        </w:rPr>
        <w:t xml:space="preserve">calculated from the three </w:t>
      </w:r>
      <w:r w:rsidR="005E731E" w:rsidRPr="008F3C15">
        <w:rPr>
          <w:rFonts w:cs="Times New Roman"/>
          <w:sz w:val="22"/>
          <w:szCs w:val="20"/>
          <w:lang w:val="en-GB"/>
        </w:rPr>
        <w:t>labelled shell portions</w:t>
      </w:r>
      <w:r w:rsidR="00722B0D" w:rsidRPr="008F3C15">
        <w:rPr>
          <w:rFonts w:cs="Times New Roman"/>
          <w:sz w:val="22"/>
          <w:szCs w:val="20"/>
          <w:lang w:val="en-GB"/>
        </w:rPr>
        <w:t>,</w:t>
      </w:r>
      <w:r w:rsidR="005E731E" w:rsidRPr="008F3C15">
        <w:rPr>
          <w:rFonts w:cs="Times New Roman"/>
          <w:sz w:val="22"/>
          <w:szCs w:val="20"/>
          <w:lang w:val="en-GB"/>
        </w:rPr>
        <w:t xml:space="preserve"> </w:t>
      </w:r>
      <w:r w:rsidR="00A54CF7" w:rsidRPr="008F3C15">
        <w:rPr>
          <w:rFonts w:cs="Times New Roman"/>
          <w:sz w:val="22"/>
          <w:szCs w:val="20"/>
          <w:lang w:val="en-GB"/>
        </w:rPr>
        <w:t>is</w:t>
      </w:r>
      <w:r w:rsidR="0016060A" w:rsidRPr="008F3C15">
        <w:rPr>
          <w:rFonts w:cs="Times New Roman"/>
          <w:sz w:val="22"/>
          <w:szCs w:val="20"/>
          <w:lang w:val="en-GB"/>
        </w:rPr>
        <w:t xml:space="preserve"> 12</w:t>
      </w:r>
      <w:r w:rsidR="009E2DAF" w:rsidRPr="008F3C15">
        <w:rPr>
          <w:rFonts w:cs="Times New Roman"/>
          <w:sz w:val="22"/>
          <w:szCs w:val="20"/>
          <w:lang w:val="en-GB"/>
        </w:rPr>
        <w:t>,</w:t>
      </w:r>
      <w:r w:rsidR="0016060A" w:rsidRPr="008F3C15">
        <w:rPr>
          <w:rFonts w:cs="Times New Roman"/>
          <w:sz w:val="22"/>
          <w:szCs w:val="20"/>
          <w:lang w:val="en-GB"/>
        </w:rPr>
        <w:t>467 µg/g</w:t>
      </w:r>
      <w:r w:rsidR="00A54CF7" w:rsidRPr="008F3C15">
        <w:rPr>
          <w:rFonts w:cs="Times New Roman"/>
          <w:sz w:val="22"/>
          <w:szCs w:val="20"/>
          <w:lang w:val="en-GB"/>
        </w:rPr>
        <w:t xml:space="preserve">, </w:t>
      </w:r>
      <w:r w:rsidR="00A9266E" w:rsidRPr="008F3C15">
        <w:rPr>
          <w:rFonts w:cs="Times New Roman"/>
          <w:sz w:val="22"/>
          <w:szCs w:val="20"/>
          <w:lang w:val="en-GB"/>
        </w:rPr>
        <w:t>(n</w:t>
      </w:r>
      <w:r w:rsidR="00A9266E" w:rsidRPr="008F3C15">
        <w:rPr>
          <w:rFonts w:cs="Times New Roman"/>
          <w:sz w:val="22"/>
          <w:szCs w:val="20"/>
          <w:vertAlign w:val="subscript"/>
          <w:lang w:val="en-GB"/>
        </w:rPr>
        <w:t>Labelled</w:t>
      </w:r>
      <w:r w:rsidR="00A9266E" w:rsidRPr="008F3C15">
        <w:rPr>
          <w:rFonts w:cs="Times New Roman"/>
          <w:sz w:val="22"/>
          <w:szCs w:val="20"/>
          <w:lang w:val="en-GB"/>
        </w:rPr>
        <w:t xml:space="preserve">=4,744) </w:t>
      </w:r>
      <w:r w:rsidR="00A54CF7" w:rsidRPr="008F3C15">
        <w:rPr>
          <w:rFonts w:cs="Times New Roman"/>
          <w:sz w:val="22"/>
          <w:szCs w:val="20"/>
          <w:lang w:val="en-GB"/>
        </w:rPr>
        <w:t>while the average Sr concentrations</w:t>
      </w:r>
      <w:r w:rsidR="00722B0D" w:rsidRPr="008F3C15">
        <w:rPr>
          <w:rFonts w:cs="Times New Roman"/>
          <w:sz w:val="22"/>
          <w:szCs w:val="20"/>
          <w:lang w:val="en-GB"/>
        </w:rPr>
        <w:t>,</w:t>
      </w:r>
      <w:r w:rsidR="00A54CF7" w:rsidRPr="008F3C15">
        <w:rPr>
          <w:rFonts w:cs="Times New Roman"/>
          <w:sz w:val="22"/>
          <w:szCs w:val="20"/>
          <w:lang w:val="en-GB"/>
        </w:rPr>
        <w:t xml:space="preserve"> </w:t>
      </w:r>
      <w:r w:rsidR="00722B0D" w:rsidRPr="008F3C15">
        <w:rPr>
          <w:rFonts w:cs="Times New Roman"/>
          <w:sz w:val="22"/>
          <w:szCs w:val="20"/>
          <w:lang w:val="en-GB"/>
        </w:rPr>
        <w:t xml:space="preserve">calculated from the three ambient </w:t>
      </w:r>
      <w:r w:rsidR="00A54CF7" w:rsidRPr="008F3C15">
        <w:rPr>
          <w:rFonts w:cs="Times New Roman"/>
          <w:sz w:val="22"/>
          <w:szCs w:val="20"/>
          <w:lang w:val="en-GB"/>
        </w:rPr>
        <w:t>shell portions</w:t>
      </w:r>
      <w:r w:rsidR="00722B0D" w:rsidRPr="008F3C15">
        <w:rPr>
          <w:rFonts w:cs="Times New Roman"/>
          <w:sz w:val="22"/>
          <w:szCs w:val="20"/>
          <w:lang w:val="en-GB"/>
        </w:rPr>
        <w:t xml:space="preserve">, </w:t>
      </w:r>
      <w:r w:rsidR="00A54CF7" w:rsidRPr="008F3C15">
        <w:rPr>
          <w:rFonts w:cs="Times New Roman"/>
          <w:sz w:val="22"/>
          <w:szCs w:val="20"/>
          <w:lang w:val="en-GB"/>
        </w:rPr>
        <w:t xml:space="preserve">is </w:t>
      </w:r>
      <w:r w:rsidR="0016060A" w:rsidRPr="008F3C15">
        <w:rPr>
          <w:rFonts w:cs="Times New Roman"/>
          <w:sz w:val="22"/>
          <w:szCs w:val="20"/>
          <w:lang w:val="en-GB"/>
        </w:rPr>
        <w:t>2</w:t>
      </w:r>
      <w:r w:rsidR="009E2DAF" w:rsidRPr="008F3C15">
        <w:rPr>
          <w:rFonts w:cs="Times New Roman"/>
          <w:sz w:val="22"/>
          <w:szCs w:val="20"/>
          <w:lang w:val="en-GB"/>
        </w:rPr>
        <w:t>,</w:t>
      </w:r>
      <w:r w:rsidR="0016060A" w:rsidRPr="008F3C15">
        <w:rPr>
          <w:rFonts w:cs="Times New Roman"/>
          <w:sz w:val="22"/>
          <w:szCs w:val="20"/>
          <w:lang w:val="en-GB"/>
        </w:rPr>
        <w:t>033 µg/g</w:t>
      </w:r>
      <w:r w:rsidR="00A9266E" w:rsidRPr="008F3C15">
        <w:rPr>
          <w:rFonts w:cs="Times New Roman"/>
          <w:sz w:val="22"/>
          <w:szCs w:val="20"/>
          <w:lang w:val="en-GB"/>
        </w:rPr>
        <w:t xml:space="preserve"> (n</w:t>
      </w:r>
      <w:r w:rsidR="00A9266E" w:rsidRPr="008F3C15">
        <w:rPr>
          <w:rFonts w:cs="Times New Roman"/>
          <w:sz w:val="22"/>
          <w:szCs w:val="20"/>
          <w:vertAlign w:val="subscript"/>
          <w:lang w:val="en-GB"/>
        </w:rPr>
        <w:t>Ambient</w:t>
      </w:r>
      <w:r w:rsidR="00A9266E" w:rsidRPr="008F3C15">
        <w:rPr>
          <w:rFonts w:cs="Times New Roman"/>
          <w:sz w:val="22"/>
          <w:szCs w:val="20"/>
          <w:lang w:val="en-GB"/>
        </w:rPr>
        <w:t>=6,844)</w:t>
      </w:r>
      <w:r w:rsidR="0016060A" w:rsidRPr="008F3C15">
        <w:rPr>
          <w:rFonts w:cs="Times New Roman"/>
          <w:sz w:val="22"/>
          <w:szCs w:val="20"/>
          <w:lang w:val="en-GB"/>
        </w:rPr>
        <w:t>.</w:t>
      </w:r>
    </w:p>
    <w:tbl>
      <w:tblPr>
        <w:tblStyle w:val="TableGrid"/>
        <w:tblW w:w="10511" w:type="dxa"/>
        <w:tblLayout w:type="fixed"/>
        <w:tblLook w:val="04A0" w:firstRow="1" w:lastRow="0" w:firstColumn="1" w:lastColumn="0" w:noHBand="0" w:noVBand="1"/>
      </w:tblPr>
      <w:tblGrid>
        <w:gridCol w:w="2511"/>
        <w:gridCol w:w="1600"/>
        <w:gridCol w:w="1600"/>
        <w:gridCol w:w="1600"/>
        <w:gridCol w:w="1600"/>
        <w:gridCol w:w="1600"/>
      </w:tblGrid>
      <w:tr w:rsidR="00E92824" w:rsidRPr="008F3C15" w14:paraId="6DED2080" w14:textId="59157D4B" w:rsidTr="00952F25">
        <w:trPr>
          <w:trHeight w:val="257"/>
        </w:trPr>
        <w:tc>
          <w:tcPr>
            <w:tcW w:w="2511" w:type="dxa"/>
            <w:tcBorders>
              <w:top w:val="single" w:sz="4" w:space="0" w:color="auto"/>
              <w:left w:val="nil"/>
              <w:right w:val="nil"/>
            </w:tcBorders>
            <w:vAlign w:val="center"/>
          </w:tcPr>
          <w:p w14:paraId="7BAFA97F" w14:textId="3E15DA83" w:rsidR="00E92824" w:rsidRPr="008F3C15" w:rsidRDefault="00E92824" w:rsidP="0024696C">
            <w:pPr>
              <w:spacing w:line="276" w:lineRule="auto"/>
              <w:rPr>
                <w:rFonts w:cs="Times New Roman"/>
                <w:sz w:val="20"/>
                <w:szCs w:val="20"/>
                <w:lang w:val="en-GB"/>
              </w:rPr>
            </w:pPr>
            <w:r w:rsidRPr="008F3C15">
              <w:rPr>
                <w:rFonts w:cs="Times New Roman"/>
                <w:b/>
                <w:bCs/>
                <w:sz w:val="20"/>
                <w:szCs w:val="20"/>
                <w:lang w:val="en-GB"/>
              </w:rPr>
              <w:t>Region of interest</w:t>
            </w:r>
          </w:p>
        </w:tc>
        <w:tc>
          <w:tcPr>
            <w:tcW w:w="1600" w:type="dxa"/>
            <w:tcBorders>
              <w:top w:val="single" w:sz="4" w:space="0" w:color="auto"/>
              <w:left w:val="nil"/>
              <w:right w:val="nil"/>
            </w:tcBorders>
            <w:vAlign w:val="center"/>
          </w:tcPr>
          <w:p w14:paraId="0CE8DECE" w14:textId="77777777"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Na</w:t>
            </w:r>
          </w:p>
          <w:p w14:paraId="1D066626" w14:textId="18CD9E2E"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[µg/g]</w:t>
            </w:r>
          </w:p>
        </w:tc>
        <w:tc>
          <w:tcPr>
            <w:tcW w:w="1600" w:type="dxa"/>
            <w:tcBorders>
              <w:top w:val="single" w:sz="4" w:space="0" w:color="auto"/>
              <w:left w:val="nil"/>
              <w:right w:val="nil"/>
            </w:tcBorders>
            <w:vAlign w:val="center"/>
          </w:tcPr>
          <w:p w14:paraId="243AF0E1" w14:textId="77777777"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S</w:t>
            </w:r>
          </w:p>
          <w:p w14:paraId="198980C5" w14:textId="0BB6D7BA"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[µg/g]</w:t>
            </w:r>
          </w:p>
        </w:tc>
        <w:tc>
          <w:tcPr>
            <w:tcW w:w="1600" w:type="dxa"/>
            <w:tcBorders>
              <w:top w:val="single" w:sz="4" w:space="0" w:color="auto"/>
              <w:left w:val="nil"/>
              <w:right w:val="nil"/>
            </w:tcBorders>
            <w:vAlign w:val="center"/>
          </w:tcPr>
          <w:p w14:paraId="6915C76E" w14:textId="77777777"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Ca</w:t>
            </w:r>
          </w:p>
          <w:p w14:paraId="4B1DCB8D" w14:textId="3BFE7636"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[µg/g]</w:t>
            </w:r>
          </w:p>
        </w:tc>
        <w:tc>
          <w:tcPr>
            <w:tcW w:w="1600" w:type="dxa"/>
            <w:tcBorders>
              <w:top w:val="single" w:sz="4" w:space="0" w:color="auto"/>
              <w:left w:val="nil"/>
              <w:right w:val="nil"/>
            </w:tcBorders>
            <w:vAlign w:val="center"/>
          </w:tcPr>
          <w:p w14:paraId="5F250241" w14:textId="77777777"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Sr</w:t>
            </w:r>
          </w:p>
          <w:p w14:paraId="5116ACB9" w14:textId="65FC6B48"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[µg/g]</w:t>
            </w:r>
          </w:p>
        </w:tc>
        <w:tc>
          <w:tcPr>
            <w:tcW w:w="1600" w:type="dxa"/>
            <w:tcBorders>
              <w:top w:val="single" w:sz="4" w:space="0" w:color="auto"/>
              <w:left w:val="nil"/>
              <w:right w:val="nil"/>
            </w:tcBorders>
          </w:tcPr>
          <w:p w14:paraId="53C6A3F9" w14:textId="77777777"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Sr/Ca</w:t>
            </w:r>
          </w:p>
          <w:p w14:paraId="2874790B" w14:textId="3DF4EB0C" w:rsidR="00E92824" w:rsidRPr="008F3C15" w:rsidRDefault="00E92824" w:rsidP="0024696C">
            <w:pPr>
              <w:spacing w:line="276" w:lineRule="auto"/>
              <w:jc w:val="center"/>
              <w:rPr>
                <w:rFonts w:cs="Times New Roman"/>
                <w:b/>
                <w:bCs/>
                <w:sz w:val="20"/>
                <w:szCs w:val="20"/>
                <w:lang w:val="en-GB"/>
              </w:rPr>
            </w:pPr>
            <w:r w:rsidRPr="008F3C15">
              <w:rPr>
                <w:rFonts w:cs="Times New Roman"/>
                <w:b/>
                <w:bCs/>
                <w:sz w:val="20"/>
                <w:szCs w:val="20"/>
                <w:lang w:val="en-GB"/>
              </w:rPr>
              <w:t>[mmol/mol]</w:t>
            </w:r>
          </w:p>
        </w:tc>
      </w:tr>
      <w:tr w:rsidR="00E92824" w:rsidRPr="008F3C15" w14:paraId="2F524A4B" w14:textId="175469D3" w:rsidTr="00952F25">
        <w:trPr>
          <w:trHeight w:val="269"/>
        </w:trPr>
        <w:tc>
          <w:tcPr>
            <w:tcW w:w="2511" w:type="dxa"/>
            <w:tcBorders>
              <w:left w:val="nil"/>
              <w:bottom w:val="nil"/>
              <w:right w:val="nil"/>
            </w:tcBorders>
            <w:vAlign w:val="center"/>
          </w:tcPr>
          <w:p w14:paraId="0745B9C2" w14:textId="5B3CEDF7" w:rsidR="00E92824" w:rsidRPr="008F3C15" w:rsidRDefault="00E92824" w:rsidP="0024696C">
            <w:pPr>
              <w:spacing w:line="276" w:lineRule="auto"/>
              <w:rPr>
                <w:rFonts w:cs="Times New Roman"/>
                <w:sz w:val="20"/>
                <w:szCs w:val="20"/>
                <w:lang w:val="en-GB"/>
              </w:rPr>
            </w:pPr>
            <w:r w:rsidRPr="008F3C15">
              <w:rPr>
                <w:rFonts w:cs="Times New Roman"/>
                <w:sz w:val="20"/>
                <w:szCs w:val="20"/>
                <w:lang w:val="en-GB"/>
              </w:rPr>
              <w:t>Ambient-1 (n=2,272)</w:t>
            </w:r>
          </w:p>
        </w:tc>
        <w:tc>
          <w:tcPr>
            <w:tcW w:w="1600" w:type="dxa"/>
            <w:tcBorders>
              <w:left w:val="nil"/>
              <w:bottom w:val="nil"/>
              <w:right w:val="nil"/>
            </w:tcBorders>
            <w:vAlign w:val="center"/>
          </w:tcPr>
          <w:p w14:paraId="18F40D63" w14:textId="6959C778"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3,400 </w:t>
            </w:r>
            <w:r w:rsidRPr="008F3C15">
              <w:rPr>
                <w:rFonts w:cs="Times New Roman"/>
                <w:sz w:val="20"/>
                <w:szCs w:val="18"/>
                <w:lang w:val="en-GB"/>
              </w:rPr>
              <w:t xml:space="preserve">± </w:t>
            </w:r>
            <w:r w:rsidRPr="008F3C15">
              <w:rPr>
                <w:sz w:val="20"/>
                <w:szCs w:val="18"/>
                <w:lang w:val="en-GB"/>
              </w:rPr>
              <w:t>100</w:t>
            </w:r>
          </w:p>
        </w:tc>
        <w:tc>
          <w:tcPr>
            <w:tcW w:w="1600" w:type="dxa"/>
            <w:tcBorders>
              <w:left w:val="nil"/>
              <w:bottom w:val="nil"/>
              <w:right w:val="nil"/>
            </w:tcBorders>
            <w:vAlign w:val="center"/>
          </w:tcPr>
          <w:p w14:paraId="05607B8F" w14:textId="2AF68EF3"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1,500 </w:t>
            </w:r>
            <w:r w:rsidRPr="008F3C15">
              <w:rPr>
                <w:rFonts w:cs="Times New Roman"/>
                <w:sz w:val="20"/>
                <w:szCs w:val="18"/>
                <w:lang w:val="en-GB"/>
              </w:rPr>
              <w:t xml:space="preserve">± </w:t>
            </w:r>
            <w:r w:rsidRPr="008F3C15">
              <w:rPr>
                <w:sz w:val="20"/>
                <w:szCs w:val="18"/>
                <w:lang w:val="en-GB"/>
              </w:rPr>
              <w:t>100</w:t>
            </w:r>
          </w:p>
        </w:tc>
        <w:tc>
          <w:tcPr>
            <w:tcW w:w="1600" w:type="dxa"/>
            <w:tcBorders>
              <w:left w:val="nil"/>
              <w:bottom w:val="nil"/>
              <w:right w:val="nil"/>
            </w:tcBorders>
            <w:vAlign w:val="center"/>
          </w:tcPr>
          <w:p w14:paraId="408B50AD" w14:textId="74668D7F"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447,200 </w:t>
            </w:r>
            <w:r w:rsidRPr="008F3C15">
              <w:rPr>
                <w:rFonts w:cs="Times New Roman"/>
                <w:sz w:val="20"/>
                <w:szCs w:val="18"/>
                <w:lang w:val="en-GB"/>
              </w:rPr>
              <w:t xml:space="preserve">± </w:t>
            </w:r>
            <w:r w:rsidRPr="008F3C15">
              <w:rPr>
                <w:sz w:val="20"/>
                <w:szCs w:val="18"/>
                <w:lang w:val="en-GB"/>
              </w:rPr>
              <w:t>100</w:t>
            </w:r>
          </w:p>
        </w:tc>
        <w:tc>
          <w:tcPr>
            <w:tcW w:w="1600" w:type="dxa"/>
            <w:tcBorders>
              <w:left w:val="nil"/>
              <w:bottom w:val="nil"/>
              <w:right w:val="nil"/>
            </w:tcBorders>
            <w:vAlign w:val="center"/>
          </w:tcPr>
          <w:p w14:paraId="6E417011" w14:textId="04E24E2C"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2,100 </w:t>
            </w:r>
            <w:r w:rsidRPr="008F3C15">
              <w:rPr>
                <w:rFonts w:cs="Times New Roman"/>
                <w:sz w:val="20"/>
                <w:szCs w:val="18"/>
                <w:lang w:val="en-GB"/>
              </w:rPr>
              <w:t xml:space="preserve">± </w:t>
            </w:r>
            <w:r w:rsidRPr="008F3C15">
              <w:rPr>
                <w:sz w:val="20"/>
                <w:szCs w:val="18"/>
                <w:lang w:val="en-GB"/>
              </w:rPr>
              <w:t>100</w:t>
            </w:r>
          </w:p>
        </w:tc>
        <w:tc>
          <w:tcPr>
            <w:tcW w:w="1600" w:type="dxa"/>
            <w:tcBorders>
              <w:left w:val="nil"/>
              <w:bottom w:val="nil"/>
              <w:right w:val="nil"/>
            </w:tcBorders>
          </w:tcPr>
          <w:p w14:paraId="1C6C7A6D" w14:textId="10E619F1" w:rsidR="00E92824" w:rsidRPr="008F3C15" w:rsidRDefault="00A2197C" w:rsidP="0024696C">
            <w:pPr>
              <w:spacing w:line="276" w:lineRule="auto"/>
              <w:jc w:val="center"/>
              <w:rPr>
                <w:sz w:val="20"/>
                <w:szCs w:val="18"/>
                <w:lang w:val="en-GB"/>
              </w:rPr>
            </w:pPr>
            <w:r w:rsidRPr="008F3C15">
              <w:rPr>
                <w:sz w:val="20"/>
                <w:szCs w:val="18"/>
                <w:lang w:val="en-GB"/>
              </w:rPr>
              <w:t>2.15</w:t>
            </w:r>
          </w:p>
        </w:tc>
      </w:tr>
      <w:tr w:rsidR="00E92824" w:rsidRPr="008F3C15" w14:paraId="2C39B84C" w14:textId="08A178F9" w:rsidTr="00952F25">
        <w:trPr>
          <w:trHeight w:val="257"/>
        </w:trPr>
        <w:tc>
          <w:tcPr>
            <w:tcW w:w="2511" w:type="dxa"/>
            <w:tcBorders>
              <w:top w:val="nil"/>
              <w:left w:val="nil"/>
              <w:bottom w:val="nil"/>
              <w:right w:val="nil"/>
            </w:tcBorders>
            <w:vAlign w:val="center"/>
          </w:tcPr>
          <w:p w14:paraId="02F8FA83" w14:textId="071D5FC6" w:rsidR="00E92824" w:rsidRPr="008F3C15" w:rsidRDefault="00E92824" w:rsidP="0024696C">
            <w:pPr>
              <w:spacing w:line="276" w:lineRule="auto"/>
              <w:rPr>
                <w:rFonts w:cs="Times New Roman"/>
                <w:sz w:val="20"/>
                <w:szCs w:val="20"/>
                <w:lang w:val="en-GB"/>
              </w:rPr>
            </w:pPr>
            <w:r w:rsidRPr="008F3C15">
              <w:rPr>
                <w:rFonts w:cs="Times New Roman"/>
                <w:sz w:val="20"/>
                <w:szCs w:val="20"/>
                <w:lang w:val="en-GB"/>
              </w:rPr>
              <w:t>Label-1 (n=1,043)</w:t>
            </w:r>
          </w:p>
        </w:tc>
        <w:tc>
          <w:tcPr>
            <w:tcW w:w="1600" w:type="dxa"/>
            <w:tcBorders>
              <w:top w:val="nil"/>
              <w:left w:val="nil"/>
              <w:bottom w:val="nil"/>
              <w:right w:val="nil"/>
            </w:tcBorders>
            <w:vAlign w:val="center"/>
          </w:tcPr>
          <w:p w14:paraId="24AF3035" w14:textId="479030F7"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3,700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7B6F53E2" w14:textId="1112763A"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1,000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75C869D7" w14:textId="7C8D0C03"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441,300 </w:t>
            </w:r>
            <w:r w:rsidRPr="008F3C15">
              <w:rPr>
                <w:rFonts w:cs="Times New Roman"/>
                <w:sz w:val="20"/>
                <w:szCs w:val="18"/>
                <w:lang w:val="en-GB"/>
              </w:rPr>
              <w:t xml:space="preserve">± </w:t>
            </w:r>
            <w:r w:rsidRPr="008F3C15">
              <w:rPr>
                <w:sz w:val="20"/>
                <w:szCs w:val="18"/>
                <w:lang w:val="en-GB"/>
              </w:rPr>
              <w:t>200</w:t>
            </w:r>
          </w:p>
        </w:tc>
        <w:tc>
          <w:tcPr>
            <w:tcW w:w="1600" w:type="dxa"/>
            <w:tcBorders>
              <w:top w:val="nil"/>
              <w:left w:val="nil"/>
              <w:bottom w:val="nil"/>
              <w:right w:val="nil"/>
            </w:tcBorders>
            <w:vAlign w:val="center"/>
          </w:tcPr>
          <w:p w14:paraId="78286C45" w14:textId="6AF7ECFC"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11,900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tcPr>
          <w:p w14:paraId="35AAA5F9" w14:textId="03DFBF15" w:rsidR="00E92824" w:rsidRPr="008F3C15" w:rsidRDefault="00A2197C" w:rsidP="0024696C">
            <w:pPr>
              <w:spacing w:line="276" w:lineRule="auto"/>
              <w:jc w:val="center"/>
              <w:rPr>
                <w:sz w:val="20"/>
                <w:szCs w:val="18"/>
                <w:lang w:val="en-GB"/>
              </w:rPr>
            </w:pPr>
            <w:r w:rsidRPr="008F3C15">
              <w:rPr>
                <w:sz w:val="20"/>
                <w:szCs w:val="18"/>
                <w:lang w:val="en-GB"/>
              </w:rPr>
              <w:t>12.33</w:t>
            </w:r>
          </w:p>
        </w:tc>
      </w:tr>
      <w:tr w:rsidR="00E92824" w:rsidRPr="008F3C15" w14:paraId="0C2EB7B7" w14:textId="6EAE202A" w:rsidTr="00952F25">
        <w:trPr>
          <w:trHeight w:val="269"/>
        </w:trPr>
        <w:tc>
          <w:tcPr>
            <w:tcW w:w="2511" w:type="dxa"/>
            <w:tcBorders>
              <w:top w:val="nil"/>
              <w:left w:val="nil"/>
              <w:bottom w:val="nil"/>
              <w:right w:val="nil"/>
            </w:tcBorders>
            <w:vAlign w:val="center"/>
          </w:tcPr>
          <w:p w14:paraId="3D5FFBE6" w14:textId="5A434896" w:rsidR="00E92824" w:rsidRPr="008F3C15" w:rsidRDefault="00E92824" w:rsidP="0024696C">
            <w:pPr>
              <w:spacing w:line="276" w:lineRule="auto"/>
              <w:rPr>
                <w:rFonts w:cs="Times New Roman"/>
                <w:sz w:val="20"/>
                <w:szCs w:val="20"/>
                <w:lang w:val="en-GB"/>
              </w:rPr>
            </w:pPr>
            <w:r w:rsidRPr="008F3C15">
              <w:rPr>
                <w:rFonts w:cs="Times New Roman"/>
                <w:sz w:val="20"/>
                <w:szCs w:val="20"/>
                <w:lang w:val="en-GB"/>
              </w:rPr>
              <w:t>Ambient-2 (n=1,337)</w:t>
            </w:r>
          </w:p>
        </w:tc>
        <w:tc>
          <w:tcPr>
            <w:tcW w:w="1600" w:type="dxa"/>
            <w:tcBorders>
              <w:top w:val="nil"/>
              <w:left w:val="nil"/>
              <w:bottom w:val="nil"/>
              <w:right w:val="nil"/>
            </w:tcBorders>
            <w:vAlign w:val="center"/>
          </w:tcPr>
          <w:p w14:paraId="264F7A8D" w14:textId="6C965CE2"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3,600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46F1A9B4" w14:textId="497CC2F0"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1,400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16032560" w14:textId="59786AD9"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448,500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320F1610" w14:textId="1B156CAE"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1,900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tcPr>
          <w:p w14:paraId="2914DBE0" w14:textId="79C70E42" w:rsidR="00E92824" w:rsidRPr="008F3C15" w:rsidRDefault="00A2197C" w:rsidP="0024696C">
            <w:pPr>
              <w:spacing w:line="276" w:lineRule="auto"/>
              <w:jc w:val="center"/>
              <w:rPr>
                <w:sz w:val="20"/>
                <w:szCs w:val="18"/>
                <w:lang w:val="en-GB"/>
              </w:rPr>
            </w:pPr>
            <w:r w:rsidRPr="008F3C15">
              <w:rPr>
                <w:sz w:val="20"/>
                <w:szCs w:val="18"/>
                <w:lang w:val="en-GB"/>
              </w:rPr>
              <w:t>1.94</w:t>
            </w:r>
          </w:p>
        </w:tc>
      </w:tr>
      <w:tr w:rsidR="00E92824" w:rsidRPr="008F3C15" w14:paraId="0316020C" w14:textId="2043FA84" w:rsidTr="00952F25">
        <w:trPr>
          <w:trHeight w:val="257"/>
        </w:trPr>
        <w:tc>
          <w:tcPr>
            <w:tcW w:w="2511" w:type="dxa"/>
            <w:tcBorders>
              <w:top w:val="nil"/>
              <w:left w:val="nil"/>
              <w:bottom w:val="nil"/>
              <w:right w:val="nil"/>
            </w:tcBorders>
            <w:vAlign w:val="center"/>
          </w:tcPr>
          <w:p w14:paraId="774AB0E8" w14:textId="77777777" w:rsidR="00E92824" w:rsidRPr="008F3C15" w:rsidRDefault="00E92824" w:rsidP="0024696C">
            <w:pPr>
              <w:spacing w:line="276" w:lineRule="auto"/>
              <w:rPr>
                <w:rFonts w:cs="Times New Roman"/>
                <w:sz w:val="20"/>
                <w:szCs w:val="20"/>
                <w:lang w:val="en-GB"/>
              </w:rPr>
            </w:pPr>
            <w:r w:rsidRPr="008F3C15">
              <w:rPr>
                <w:rFonts w:cs="Times New Roman"/>
                <w:sz w:val="20"/>
                <w:szCs w:val="20"/>
                <w:lang w:val="en-GB"/>
              </w:rPr>
              <w:t>Label-2 (n=1,163)</w:t>
            </w:r>
          </w:p>
        </w:tc>
        <w:tc>
          <w:tcPr>
            <w:tcW w:w="1600" w:type="dxa"/>
            <w:tcBorders>
              <w:top w:val="nil"/>
              <w:left w:val="nil"/>
              <w:bottom w:val="nil"/>
              <w:right w:val="nil"/>
            </w:tcBorders>
            <w:vAlign w:val="center"/>
          </w:tcPr>
          <w:p w14:paraId="0771B4C9" w14:textId="24E95785"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3,700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6DFB55AA" w14:textId="7F3ED1A1"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1,300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7F1639AF" w14:textId="77BC29D1"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437,500 </w:t>
            </w:r>
            <w:r w:rsidRPr="008F3C15">
              <w:rPr>
                <w:rFonts w:cs="Times New Roman"/>
                <w:sz w:val="20"/>
                <w:szCs w:val="18"/>
                <w:lang w:val="en-GB"/>
              </w:rPr>
              <w:t xml:space="preserve">± </w:t>
            </w:r>
            <w:r w:rsidRPr="008F3C15">
              <w:rPr>
                <w:sz w:val="20"/>
                <w:szCs w:val="18"/>
                <w:lang w:val="en-GB"/>
              </w:rPr>
              <w:t>200</w:t>
            </w:r>
          </w:p>
        </w:tc>
        <w:tc>
          <w:tcPr>
            <w:tcW w:w="1600" w:type="dxa"/>
            <w:tcBorders>
              <w:top w:val="nil"/>
              <w:left w:val="nil"/>
              <w:bottom w:val="nil"/>
              <w:right w:val="nil"/>
            </w:tcBorders>
            <w:vAlign w:val="center"/>
          </w:tcPr>
          <w:p w14:paraId="7FFE15C4" w14:textId="61519591"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12,500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tcPr>
          <w:p w14:paraId="6AEE6122" w14:textId="322F7F7E" w:rsidR="00E92824" w:rsidRPr="008F3C15" w:rsidRDefault="00A2197C" w:rsidP="0024696C">
            <w:pPr>
              <w:spacing w:line="276" w:lineRule="auto"/>
              <w:jc w:val="center"/>
              <w:rPr>
                <w:sz w:val="20"/>
                <w:szCs w:val="18"/>
                <w:lang w:val="en-GB"/>
              </w:rPr>
            </w:pPr>
            <w:r w:rsidRPr="008F3C15">
              <w:rPr>
                <w:sz w:val="20"/>
                <w:szCs w:val="18"/>
                <w:lang w:val="en-GB"/>
              </w:rPr>
              <w:t>13.07</w:t>
            </w:r>
          </w:p>
        </w:tc>
      </w:tr>
      <w:tr w:rsidR="00E92824" w:rsidRPr="008F3C15" w14:paraId="36856BCD" w14:textId="5611449E" w:rsidTr="00952F25">
        <w:trPr>
          <w:trHeight w:val="269"/>
        </w:trPr>
        <w:tc>
          <w:tcPr>
            <w:tcW w:w="2511" w:type="dxa"/>
            <w:tcBorders>
              <w:top w:val="nil"/>
              <w:left w:val="nil"/>
              <w:bottom w:val="nil"/>
              <w:right w:val="nil"/>
            </w:tcBorders>
            <w:vAlign w:val="center"/>
          </w:tcPr>
          <w:p w14:paraId="7E592F91" w14:textId="77777777" w:rsidR="00E92824" w:rsidRPr="008F3C15" w:rsidRDefault="00E92824" w:rsidP="0024696C">
            <w:pPr>
              <w:spacing w:line="276" w:lineRule="auto"/>
              <w:rPr>
                <w:rFonts w:cs="Times New Roman"/>
                <w:sz w:val="20"/>
                <w:szCs w:val="20"/>
                <w:lang w:val="en-GB"/>
              </w:rPr>
            </w:pPr>
            <w:r w:rsidRPr="008F3C15">
              <w:rPr>
                <w:rFonts w:cs="Times New Roman"/>
                <w:sz w:val="20"/>
                <w:szCs w:val="20"/>
                <w:lang w:val="en-GB"/>
              </w:rPr>
              <w:t>Ambient-</w:t>
            </w:r>
            <w:r w:rsidRPr="008F3C15">
              <w:rPr>
                <w:rFonts w:cs="Times New Roman"/>
                <w:color w:val="000000" w:themeColor="text1"/>
                <w:sz w:val="20"/>
                <w:szCs w:val="20"/>
                <w:lang w:val="en-GB"/>
              </w:rPr>
              <w:t>3 (n=3,235)</w:t>
            </w:r>
          </w:p>
        </w:tc>
        <w:tc>
          <w:tcPr>
            <w:tcW w:w="1600" w:type="dxa"/>
            <w:tcBorders>
              <w:top w:val="nil"/>
              <w:left w:val="nil"/>
              <w:bottom w:val="nil"/>
              <w:right w:val="nil"/>
            </w:tcBorders>
            <w:vAlign w:val="center"/>
          </w:tcPr>
          <w:p w14:paraId="3E82CA22" w14:textId="17BED448"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3,400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7618194B" w14:textId="1831CD4F"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1,500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37AE0844" w14:textId="53838037"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447,200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vAlign w:val="center"/>
          </w:tcPr>
          <w:p w14:paraId="06A011AB" w14:textId="6935A96C"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2,100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nil"/>
              <w:right w:val="nil"/>
            </w:tcBorders>
          </w:tcPr>
          <w:p w14:paraId="6F82578F" w14:textId="65F5A5BD" w:rsidR="00E92824" w:rsidRPr="008F3C15" w:rsidRDefault="00A2197C" w:rsidP="0024696C">
            <w:pPr>
              <w:spacing w:line="276" w:lineRule="auto"/>
              <w:jc w:val="center"/>
              <w:rPr>
                <w:sz w:val="20"/>
                <w:szCs w:val="18"/>
                <w:lang w:val="en-GB"/>
              </w:rPr>
            </w:pPr>
            <w:r w:rsidRPr="008F3C15">
              <w:rPr>
                <w:sz w:val="20"/>
                <w:szCs w:val="18"/>
                <w:lang w:val="en-GB"/>
              </w:rPr>
              <w:t>2.15</w:t>
            </w:r>
          </w:p>
        </w:tc>
      </w:tr>
      <w:tr w:rsidR="00E92824" w:rsidRPr="008F3C15" w14:paraId="3EDA048F" w14:textId="7665F3F2" w:rsidTr="00952F25">
        <w:trPr>
          <w:trHeight w:val="257"/>
        </w:trPr>
        <w:tc>
          <w:tcPr>
            <w:tcW w:w="2511" w:type="dxa"/>
            <w:tcBorders>
              <w:top w:val="nil"/>
              <w:left w:val="nil"/>
              <w:bottom w:val="single" w:sz="4" w:space="0" w:color="auto"/>
              <w:right w:val="nil"/>
            </w:tcBorders>
            <w:vAlign w:val="center"/>
          </w:tcPr>
          <w:p w14:paraId="37855A9C" w14:textId="375DB455" w:rsidR="00E92824" w:rsidRPr="008F3C15" w:rsidRDefault="00E92824" w:rsidP="0024696C">
            <w:pPr>
              <w:spacing w:line="276" w:lineRule="auto"/>
              <w:rPr>
                <w:rFonts w:cs="Times New Roman"/>
                <w:sz w:val="20"/>
                <w:szCs w:val="20"/>
                <w:lang w:val="en-GB"/>
              </w:rPr>
            </w:pPr>
            <w:r w:rsidRPr="008F3C15">
              <w:rPr>
                <w:rFonts w:cs="Times New Roman"/>
                <w:sz w:val="20"/>
                <w:szCs w:val="20"/>
                <w:lang w:val="en-GB"/>
              </w:rPr>
              <w:t>Label-3 (n=2,538)</w:t>
            </w:r>
          </w:p>
        </w:tc>
        <w:tc>
          <w:tcPr>
            <w:tcW w:w="1600" w:type="dxa"/>
            <w:tcBorders>
              <w:top w:val="nil"/>
              <w:left w:val="nil"/>
              <w:bottom w:val="single" w:sz="4" w:space="0" w:color="auto"/>
              <w:right w:val="nil"/>
            </w:tcBorders>
            <w:vAlign w:val="center"/>
          </w:tcPr>
          <w:p w14:paraId="11F1E2EC" w14:textId="02F4CD18"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3,200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single" w:sz="4" w:space="0" w:color="auto"/>
              <w:right w:val="nil"/>
            </w:tcBorders>
            <w:vAlign w:val="center"/>
          </w:tcPr>
          <w:p w14:paraId="69EC04B9" w14:textId="1B73DF42"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1,400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single" w:sz="4" w:space="0" w:color="auto"/>
              <w:right w:val="nil"/>
            </w:tcBorders>
            <w:vAlign w:val="center"/>
          </w:tcPr>
          <w:p w14:paraId="66736B6A" w14:textId="3CF96B99"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439,600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single" w:sz="4" w:space="0" w:color="auto"/>
              <w:right w:val="nil"/>
            </w:tcBorders>
            <w:vAlign w:val="center"/>
          </w:tcPr>
          <w:p w14:paraId="364C7D45" w14:textId="17E09226" w:rsidR="00E92824" w:rsidRPr="008F3C15" w:rsidRDefault="00E92824" w:rsidP="0024696C">
            <w:pPr>
              <w:spacing w:line="276" w:lineRule="auto"/>
              <w:jc w:val="center"/>
              <w:rPr>
                <w:rFonts w:cs="Times New Roman"/>
                <w:sz w:val="20"/>
                <w:szCs w:val="18"/>
                <w:lang w:val="en-GB"/>
              </w:rPr>
            </w:pPr>
            <w:r w:rsidRPr="008F3C15">
              <w:rPr>
                <w:sz w:val="20"/>
                <w:szCs w:val="18"/>
                <w:lang w:val="en-GB"/>
              </w:rPr>
              <w:t xml:space="preserve">13,000 </w:t>
            </w:r>
            <w:r w:rsidRPr="008F3C15">
              <w:rPr>
                <w:rFonts w:cs="Times New Roman"/>
                <w:sz w:val="20"/>
                <w:szCs w:val="18"/>
                <w:lang w:val="en-GB"/>
              </w:rPr>
              <w:t xml:space="preserve">± </w:t>
            </w:r>
            <w:r w:rsidRPr="008F3C15">
              <w:rPr>
                <w:sz w:val="20"/>
                <w:szCs w:val="18"/>
                <w:lang w:val="en-GB"/>
              </w:rPr>
              <w:t>100</w:t>
            </w:r>
          </w:p>
        </w:tc>
        <w:tc>
          <w:tcPr>
            <w:tcW w:w="1600" w:type="dxa"/>
            <w:tcBorders>
              <w:top w:val="nil"/>
              <w:left w:val="nil"/>
              <w:bottom w:val="single" w:sz="4" w:space="0" w:color="auto"/>
              <w:right w:val="nil"/>
            </w:tcBorders>
          </w:tcPr>
          <w:p w14:paraId="404C7370" w14:textId="52FB2A88" w:rsidR="00E92824" w:rsidRPr="008F3C15" w:rsidRDefault="00A2197C" w:rsidP="0024696C">
            <w:pPr>
              <w:spacing w:line="276" w:lineRule="auto"/>
              <w:jc w:val="center"/>
              <w:rPr>
                <w:sz w:val="20"/>
                <w:szCs w:val="18"/>
                <w:lang w:val="en-GB"/>
              </w:rPr>
            </w:pPr>
            <w:r w:rsidRPr="008F3C15">
              <w:rPr>
                <w:sz w:val="20"/>
                <w:szCs w:val="18"/>
                <w:lang w:val="en-GB"/>
              </w:rPr>
              <w:t>13.53</w:t>
            </w:r>
          </w:p>
        </w:tc>
      </w:tr>
    </w:tbl>
    <w:p w14:paraId="343D6B42" w14:textId="18BB652D" w:rsidR="00C73B37" w:rsidRPr="008F3C15" w:rsidRDefault="00C73B37" w:rsidP="00C73B37">
      <w:pPr>
        <w:pStyle w:val="Heading1"/>
        <w:rPr>
          <w:lang w:val="en-GB"/>
        </w:rPr>
      </w:pPr>
      <w:r w:rsidRPr="008F3C15">
        <w:rPr>
          <w:lang w:val="en-GB"/>
        </w:rPr>
        <w:lastRenderedPageBreak/>
        <w:t>NanoSIMS Sr/Ca ratio maps</w:t>
      </w:r>
    </w:p>
    <w:p w14:paraId="778C348B" w14:textId="4A9AAA12" w:rsidR="00413F4A" w:rsidRPr="008F3C15" w:rsidRDefault="00310E0A" w:rsidP="00DF4DCA">
      <w:pPr>
        <w:spacing w:after="0"/>
        <w:jc w:val="center"/>
        <w:rPr>
          <w:noProof/>
          <w:lang w:val="en-GB"/>
        </w:rPr>
      </w:pPr>
      <w:r w:rsidRPr="008F3C15">
        <w:rPr>
          <w:noProof/>
          <w:lang w:val="en-GB"/>
        </w:rPr>
        <w:drawing>
          <wp:inline distT="0" distB="0" distL="0" distR="0" wp14:anchorId="351705F0" wp14:editId="34AB9B19">
            <wp:extent cx="6583680" cy="7427360"/>
            <wp:effectExtent l="0" t="0" r="7620" b="2540"/>
            <wp:docPr id="12" name="Picture 12" descr="A picture containing bub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bubb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90055" cy="7434552"/>
                    </a:xfrm>
                    <a:prstGeom prst="rect">
                      <a:avLst/>
                    </a:prstGeom>
                    <a:noFill/>
                    <a:ln>
                      <a:noFill/>
                    </a:ln>
                  </pic:spPr>
                </pic:pic>
              </a:graphicData>
            </a:graphic>
          </wp:inline>
        </w:drawing>
      </w:r>
    </w:p>
    <w:p w14:paraId="42F46180" w14:textId="25E14F87" w:rsidR="008622D5" w:rsidRPr="008F3C15" w:rsidRDefault="008E7561" w:rsidP="002B46E2">
      <w:pPr>
        <w:rPr>
          <w:bCs/>
          <w:noProof/>
          <w:lang w:val="en-GB"/>
        </w:rPr>
      </w:pPr>
      <w:r w:rsidRPr="008F3C15">
        <w:rPr>
          <w:b/>
          <w:noProof/>
          <w:lang w:val="en-GB"/>
        </w:rPr>
        <w:t>Supplementary Fig</w:t>
      </w:r>
      <w:r w:rsidR="00173061" w:rsidRPr="008F3C15">
        <w:rPr>
          <w:b/>
          <w:noProof/>
          <w:lang w:val="en-GB"/>
        </w:rPr>
        <w:t>.</w:t>
      </w:r>
      <w:r w:rsidR="004D3648" w:rsidRPr="008F3C15">
        <w:rPr>
          <w:b/>
          <w:noProof/>
          <w:lang w:val="en-GB"/>
        </w:rPr>
        <w:t xml:space="preserve"> </w:t>
      </w:r>
      <w:r w:rsidRPr="008F3C15">
        <w:rPr>
          <w:b/>
          <w:noProof/>
          <w:lang w:val="en-GB"/>
        </w:rPr>
        <w:t>2</w:t>
      </w:r>
      <w:r w:rsidR="00084291" w:rsidRPr="008F3C15">
        <w:rPr>
          <w:bCs/>
          <w:noProof/>
          <w:lang w:val="en-GB"/>
        </w:rPr>
        <w:t xml:space="preserve">. </w:t>
      </w:r>
      <w:r w:rsidR="00DB37A7" w:rsidRPr="008F3C15">
        <w:rPr>
          <w:bCs/>
          <w:noProof/>
          <w:lang w:val="en-GB"/>
        </w:rPr>
        <w:t>NanoSIMS imaging of nacre growth visualised via Sr pulse chase labelling.</w:t>
      </w:r>
      <w:r w:rsidR="009D40D8" w:rsidRPr="008F3C15">
        <w:rPr>
          <w:bCs/>
          <w:noProof/>
          <w:lang w:val="en-GB"/>
        </w:rPr>
        <w:t xml:space="preserve"> </w:t>
      </w:r>
      <w:r w:rsidR="00114256" w:rsidRPr="008F3C15">
        <w:rPr>
          <w:bCs/>
          <w:noProof/>
          <w:lang w:val="en-GB"/>
        </w:rPr>
        <w:t>Depicted are t</w:t>
      </w:r>
      <w:r w:rsidR="00182017" w:rsidRPr="008F3C15">
        <w:rPr>
          <w:bCs/>
          <w:noProof/>
          <w:lang w:val="en-GB"/>
        </w:rPr>
        <w:t xml:space="preserve">hree additional </w:t>
      </w:r>
      <w:r w:rsidR="009D40D8" w:rsidRPr="008F3C15">
        <w:rPr>
          <w:bCs/>
          <w:noProof/>
          <w:lang w:val="en-GB"/>
        </w:rPr>
        <w:t xml:space="preserve">magnified areas </w:t>
      </w:r>
      <w:r w:rsidR="004E1649" w:rsidRPr="008F3C15">
        <w:rPr>
          <w:bCs/>
          <w:noProof/>
          <w:lang w:val="en-GB"/>
        </w:rPr>
        <w:t xml:space="preserve">to those shown in Fig. 2 </w:t>
      </w:r>
      <w:r w:rsidR="009D40D8" w:rsidRPr="008F3C15">
        <w:rPr>
          <w:bCs/>
          <w:noProof/>
          <w:lang w:val="en-GB"/>
        </w:rPr>
        <w:t>p</w:t>
      </w:r>
      <w:r w:rsidR="004E1649" w:rsidRPr="008F3C15">
        <w:rPr>
          <w:bCs/>
          <w:noProof/>
          <w:lang w:val="en-GB"/>
        </w:rPr>
        <w:t>r</w:t>
      </w:r>
      <w:r w:rsidR="009D40D8" w:rsidRPr="008F3C15">
        <w:rPr>
          <w:bCs/>
          <w:noProof/>
          <w:lang w:val="en-GB"/>
        </w:rPr>
        <w:t xml:space="preserve">oviding snapshots of </w:t>
      </w:r>
      <w:r w:rsidR="00DB37A7" w:rsidRPr="008F3C15">
        <w:rPr>
          <w:bCs/>
          <w:noProof/>
          <w:lang w:val="en-GB"/>
        </w:rPr>
        <w:t xml:space="preserve">dynamic </w:t>
      </w:r>
      <w:r w:rsidR="009D40D8" w:rsidRPr="008F3C15">
        <w:rPr>
          <w:bCs/>
          <w:noProof/>
          <w:lang w:val="en-GB"/>
        </w:rPr>
        <w:t>nanoscale growth processes.</w:t>
      </w:r>
      <w:r w:rsidR="00BD63D7" w:rsidRPr="008F3C15">
        <w:rPr>
          <w:bCs/>
          <w:noProof/>
          <w:lang w:val="en-GB"/>
        </w:rPr>
        <w:t xml:space="preserve"> All magnified regions s</w:t>
      </w:r>
      <w:r w:rsidR="009B4C0A" w:rsidRPr="008F3C15">
        <w:rPr>
          <w:bCs/>
          <w:noProof/>
          <w:lang w:val="en-GB"/>
        </w:rPr>
        <w:t xml:space="preserve">how </w:t>
      </w:r>
      <w:r w:rsidR="00DF4DCA" w:rsidRPr="008F3C15">
        <w:rPr>
          <w:bCs/>
          <w:noProof/>
          <w:lang w:val="en-GB"/>
        </w:rPr>
        <w:t xml:space="preserve">a </w:t>
      </w:r>
      <w:r w:rsidR="00DF4DCA" w:rsidRPr="008F3C15">
        <w:rPr>
          <w:lang w:val="en-GB"/>
        </w:rPr>
        <w:t>stepped growth pattern of intercalated nacre tablets formed in seawater with normal Sr concentration (blue) and during Sr-labelling (magenta). Magnified region</w:t>
      </w:r>
      <w:r w:rsidR="00114256" w:rsidRPr="008F3C15">
        <w:rPr>
          <w:lang w:val="en-GB"/>
        </w:rPr>
        <w:t>s</w:t>
      </w:r>
      <w:r w:rsidR="00DF4DCA" w:rsidRPr="008F3C15">
        <w:rPr>
          <w:lang w:val="en-GB"/>
        </w:rPr>
        <w:t xml:space="preserve"> of interest show sharp (i.e.</w:t>
      </w:r>
      <w:r w:rsidR="008F3C15" w:rsidRPr="008F3C15">
        <w:rPr>
          <w:lang w:val="en-GB"/>
        </w:rPr>
        <w:t>,</w:t>
      </w:r>
      <w:r w:rsidR="00DF4DCA" w:rsidRPr="008F3C15">
        <w:rPr>
          <w:lang w:val="en-GB"/>
        </w:rPr>
        <w:t xml:space="preserve"> within 100 nm) near-vertical transitions </w:t>
      </w:r>
      <w:r w:rsidR="00114256" w:rsidRPr="008F3C15">
        <w:rPr>
          <w:lang w:val="en-GB"/>
        </w:rPr>
        <w:t>(</w:t>
      </w:r>
      <w:r w:rsidR="00DF4DCA" w:rsidRPr="008F3C15">
        <w:rPr>
          <w:lang w:val="en-GB"/>
        </w:rPr>
        <w:t>white arrowheads</w:t>
      </w:r>
      <w:r w:rsidR="00114256" w:rsidRPr="008F3C15">
        <w:rPr>
          <w:lang w:val="en-GB"/>
        </w:rPr>
        <w:t>)</w:t>
      </w:r>
      <w:r w:rsidR="00DF4DCA" w:rsidRPr="008F3C15">
        <w:rPr>
          <w:lang w:val="en-GB"/>
        </w:rPr>
        <w:t xml:space="preserve"> between labelled and unlabelled portions of nacre lamellae.</w:t>
      </w:r>
      <w:r w:rsidR="00114256" w:rsidRPr="008F3C15">
        <w:rPr>
          <w:lang w:val="en-GB"/>
        </w:rPr>
        <w:t xml:space="preserve"> </w:t>
      </w:r>
      <w:r w:rsidR="00DF4DCA" w:rsidRPr="008F3C15">
        <w:rPr>
          <w:lang w:val="en-GB"/>
        </w:rPr>
        <w:t xml:space="preserve">The sizes of neighbouring labelled and unlabelled lamellae portions ranging between 3.0 to 4.2 </w:t>
      </w:r>
      <w:r w:rsidR="00DF4DCA" w:rsidRPr="008F3C15">
        <w:rPr>
          <w:rFonts w:cs="Times New Roman"/>
          <w:lang w:val="en-GB"/>
        </w:rPr>
        <w:t>µ</w:t>
      </w:r>
      <w:r w:rsidR="00DF4DCA" w:rsidRPr="008F3C15">
        <w:rPr>
          <w:lang w:val="en-GB"/>
        </w:rPr>
        <w:t>m demonstrate that these portions represent changes in Sr/Ca rations within individual tablets as the total length of a nacre tablet is 10-20 µm.</w:t>
      </w:r>
      <w:r w:rsidR="00084291" w:rsidRPr="008F3C15">
        <w:rPr>
          <w:bCs/>
          <w:noProof/>
          <w:lang w:val="en-GB"/>
        </w:rPr>
        <w:t xml:space="preserve"> Scale bar is 10 μm (</w:t>
      </w:r>
      <w:r w:rsidR="00470A09" w:rsidRPr="008F3C15">
        <w:rPr>
          <w:bCs/>
          <w:noProof/>
          <w:lang w:val="en-GB"/>
        </w:rPr>
        <w:t>large map</w:t>
      </w:r>
      <w:r w:rsidR="00084291" w:rsidRPr="008F3C15">
        <w:rPr>
          <w:bCs/>
          <w:noProof/>
          <w:lang w:val="en-GB"/>
        </w:rPr>
        <w:t>) and 3 μm.</w:t>
      </w:r>
      <w:r w:rsidR="008622D5" w:rsidRPr="008F3C15">
        <w:rPr>
          <w:bCs/>
          <w:noProof/>
          <w:lang w:val="en-GB"/>
        </w:rPr>
        <w:br w:type="page"/>
      </w:r>
    </w:p>
    <w:p w14:paraId="7374D324" w14:textId="49A65127" w:rsidR="000B0CEE" w:rsidRPr="008F3C15" w:rsidRDefault="000B0CEE" w:rsidP="000B0CEE">
      <w:pPr>
        <w:pStyle w:val="Heading1"/>
        <w:rPr>
          <w:lang w:val="en-GB"/>
        </w:rPr>
      </w:pPr>
      <w:r w:rsidRPr="008F3C15">
        <w:rPr>
          <w:lang w:val="en-GB"/>
        </w:rPr>
        <w:lastRenderedPageBreak/>
        <w:t>Supplementary Atom Probe Tomography details</w:t>
      </w:r>
    </w:p>
    <w:p w14:paraId="5E5F37EF" w14:textId="357C2F9D" w:rsidR="00EF7DDB" w:rsidRPr="008F3C15" w:rsidRDefault="00260C0F" w:rsidP="00260C0F">
      <w:pPr>
        <w:spacing w:after="0" w:line="259" w:lineRule="auto"/>
        <w:rPr>
          <w:noProof/>
          <w:lang w:val="en-GB"/>
        </w:rPr>
      </w:pPr>
      <w:r w:rsidRPr="008F3C15">
        <w:rPr>
          <w:noProof/>
          <w:lang w:val="en-GB"/>
        </w:rPr>
        <w:drawing>
          <wp:inline distT="0" distB="0" distL="0" distR="0" wp14:anchorId="13A47E15" wp14:editId="1163DB1C">
            <wp:extent cx="6645910" cy="1917065"/>
            <wp:effectExtent l="0" t="0" r="2540" b="6985"/>
            <wp:docPr id="14" name="Picture 1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5910" cy="1917065"/>
                    </a:xfrm>
                    <a:prstGeom prst="rect">
                      <a:avLst/>
                    </a:prstGeom>
                    <a:noFill/>
                    <a:ln>
                      <a:noFill/>
                    </a:ln>
                  </pic:spPr>
                </pic:pic>
              </a:graphicData>
            </a:graphic>
          </wp:inline>
        </w:drawing>
      </w:r>
    </w:p>
    <w:p w14:paraId="7C563DC5" w14:textId="45975098" w:rsidR="00E309E2" w:rsidRPr="008F3C15" w:rsidRDefault="008804C3" w:rsidP="00DF4DCA">
      <w:pPr>
        <w:rPr>
          <w:noProof/>
          <w:lang w:val="en-GB"/>
        </w:rPr>
      </w:pPr>
      <w:r w:rsidRPr="008F3C15">
        <w:rPr>
          <w:b/>
          <w:noProof/>
          <w:lang w:val="en-GB"/>
        </w:rPr>
        <w:t>Supplementary Fig. 3</w:t>
      </w:r>
      <w:r w:rsidRPr="008F3C15">
        <w:rPr>
          <w:noProof/>
          <w:lang w:val="en-GB"/>
        </w:rPr>
        <w:t xml:space="preserve">: </w:t>
      </w:r>
      <w:r w:rsidRPr="008F3C15">
        <w:rPr>
          <w:i/>
          <w:iCs/>
          <w:noProof/>
          <w:lang w:val="en-GB"/>
        </w:rPr>
        <w:t>In situ</w:t>
      </w:r>
      <w:r w:rsidRPr="008F3C15">
        <w:rPr>
          <w:noProof/>
          <w:lang w:val="en-GB"/>
        </w:rPr>
        <w:t xml:space="preserve"> FIB liftout from Sr-labelled nacre for APT analysis. </w:t>
      </w:r>
      <w:r w:rsidRPr="008F3C15">
        <w:rPr>
          <w:b/>
          <w:noProof/>
          <w:lang w:val="en-GB"/>
        </w:rPr>
        <w:t>a</w:t>
      </w:r>
      <w:r w:rsidRPr="008F3C15">
        <w:rPr>
          <w:noProof/>
          <w:lang w:val="en-GB"/>
        </w:rPr>
        <w:t xml:space="preserve"> BSE imag</w:t>
      </w:r>
      <w:r w:rsidR="00FE425B" w:rsidRPr="008F3C15">
        <w:rPr>
          <w:noProof/>
          <w:lang w:val="en-GB"/>
        </w:rPr>
        <w:t>e</w:t>
      </w:r>
      <w:r w:rsidRPr="008F3C15">
        <w:rPr>
          <w:noProof/>
          <w:lang w:val="en-GB"/>
        </w:rPr>
        <w:t xml:space="preserve"> of </w:t>
      </w:r>
      <w:r w:rsidR="00FE425B" w:rsidRPr="008F3C15">
        <w:rPr>
          <w:noProof/>
          <w:lang w:val="en-GB"/>
        </w:rPr>
        <w:t xml:space="preserve">the </w:t>
      </w:r>
      <w:r w:rsidRPr="008F3C15">
        <w:rPr>
          <w:noProof/>
          <w:lang w:val="en-GB"/>
        </w:rPr>
        <w:t xml:space="preserve">polished nacre cross-section at the umbo </w:t>
      </w:r>
      <w:r w:rsidR="00917DA4" w:rsidRPr="008F3C15">
        <w:rPr>
          <w:noProof/>
          <w:lang w:val="en-GB"/>
        </w:rPr>
        <w:t xml:space="preserve">used </w:t>
      </w:r>
      <w:r w:rsidRPr="008F3C15">
        <w:rPr>
          <w:noProof/>
          <w:lang w:val="en-GB"/>
        </w:rPr>
        <w:t xml:space="preserve">for site-specific FIB-SEM </w:t>
      </w:r>
      <w:r w:rsidR="00FE425B" w:rsidRPr="008F3C15">
        <w:rPr>
          <w:noProof/>
          <w:lang w:val="en-GB"/>
        </w:rPr>
        <w:t xml:space="preserve">lamellae </w:t>
      </w:r>
      <w:r w:rsidRPr="008F3C15">
        <w:rPr>
          <w:noProof/>
          <w:lang w:val="en-GB"/>
        </w:rPr>
        <w:t>extractions</w:t>
      </w:r>
      <w:r w:rsidR="00682BA5" w:rsidRPr="008F3C15">
        <w:rPr>
          <w:noProof/>
          <w:lang w:val="en-GB"/>
        </w:rPr>
        <w:t xml:space="preserve"> from within the Sr-labelled nacre</w:t>
      </w:r>
      <w:r w:rsidR="00FE425B" w:rsidRPr="008F3C15">
        <w:rPr>
          <w:noProof/>
          <w:lang w:val="en-GB"/>
        </w:rPr>
        <w:t>. The selected areas contain t</w:t>
      </w:r>
      <w:r w:rsidRPr="008F3C15">
        <w:rPr>
          <w:noProof/>
          <w:lang w:val="en-GB"/>
        </w:rPr>
        <w:t xml:space="preserve">he mineral-organic interface </w:t>
      </w:r>
      <w:r w:rsidR="00917DA4" w:rsidRPr="008F3C15">
        <w:rPr>
          <w:noProof/>
          <w:lang w:val="en-GB"/>
        </w:rPr>
        <w:t xml:space="preserve">and </w:t>
      </w:r>
      <w:r w:rsidR="00ED7090" w:rsidRPr="008F3C15">
        <w:rPr>
          <w:noProof/>
          <w:lang w:val="en-GB"/>
        </w:rPr>
        <w:t xml:space="preserve">the </w:t>
      </w:r>
      <w:r w:rsidR="00917DA4" w:rsidRPr="008F3C15">
        <w:rPr>
          <w:noProof/>
          <w:lang w:val="en-GB"/>
        </w:rPr>
        <w:t xml:space="preserve">oganic </w:t>
      </w:r>
      <w:r w:rsidR="00ED7090" w:rsidRPr="008F3C15">
        <w:rPr>
          <w:noProof/>
          <w:lang w:val="en-GB"/>
        </w:rPr>
        <w:t>interlamellar she</w:t>
      </w:r>
      <w:r w:rsidR="00917DA4" w:rsidRPr="008F3C15">
        <w:rPr>
          <w:noProof/>
          <w:lang w:val="en-GB"/>
        </w:rPr>
        <w:t>et</w:t>
      </w:r>
      <w:r w:rsidRPr="008F3C15">
        <w:rPr>
          <w:noProof/>
          <w:lang w:val="en-GB"/>
        </w:rPr>
        <w:t xml:space="preserve">. </w:t>
      </w:r>
      <w:r w:rsidR="00A65A96" w:rsidRPr="008F3C15">
        <w:rPr>
          <w:noProof/>
          <w:lang w:val="en-GB"/>
        </w:rPr>
        <w:t>T</w:t>
      </w:r>
      <w:r w:rsidRPr="008F3C15">
        <w:rPr>
          <w:noProof/>
          <w:lang w:val="en-GB"/>
        </w:rPr>
        <w:t>h</w:t>
      </w:r>
      <w:r w:rsidR="00A65A96" w:rsidRPr="008F3C15">
        <w:rPr>
          <w:noProof/>
          <w:lang w:val="en-GB"/>
        </w:rPr>
        <w:t>e</w:t>
      </w:r>
      <w:r w:rsidRPr="008F3C15">
        <w:rPr>
          <w:noProof/>
          <w:lang w:val="en-GB"/>
        </w:rPr>
        <w:t xml:space="preserve"> </w:t>
      </w:r>
      <w:r w:rsidR="009811B6" w:rsidRPr="008F3C15">
        <w:rPr>
          <w:noProof/>
          <w:lang w:val="en-GB"/>
        </w:rPr>
        <w:t xml:space="preserve">protective </w:t>
      </w:r>
      <w:r w:rsidRPr="008F3C15">
        <w:rPr>
          <w:noProof/>
          <w:lang w:val="en-GB"/>
        </w:rPr>
        <w:t>platinum strips</w:t>
      </w:r>
      <w:r w:rsidR="004E1649" w:rsidRPr="008F3C15">
        <w:rPr>
          <w:noProof/>
          <w:lang w:val="en-GB"/>
        </w:rPr>
        <w:t xml:space="preserve"> (white stripes in a)</w:t>
      </w:r>
      <w:r w:rsidRPr="008F3C15">
        <w:rPr>
          <w:noProof/>
          <w:lang w:val="en-GB"/>
        </w:rPr>
        <w:t xml:space="preserve"> were deposited on the Sr-enriched nacre increments prior to wedge milling</w:t>
      </w:r>
      <w:r w:rsidR="00F85A03" w:rsidRPr="008F3C15">
        <w:rPr>
          <w:noProof/>
          <w:lang w:val="en-GB"/>
        </w:rPr>
        <w:t xml:space="preserve"> using a </w:t>
      </w:r>
      <w:r w:rsidR="00A65A96" w:rsidRPr="008F3C15">
        <w:rPr>
          <w:noProof/>
          <w:lang w:val="en-GB"/>
        </w:rPr>
        <w:t>Xe</w:t>
      </w:r>
      <w:r w:rsidR="00F85A03" w:rsidRPr="008F3C15">
        <w:rPr>
          <w:noProof/>
          <w:lang w:val="en-GB"/>
        </w:rPr>
        <w:t xml:space="preserve"> ion beam</w:t>
      </w:r>
      <w:r w:rsidRPr="008F3C15">
        <w:rPr>
          <w:noProof/>
          <w:lang w:val="en-GB"/>
        </w:rPr>
        <w:t xml:space="preserve">. </w:t>
      </w:r>
      <w:r w:rsidRPr="008F3C15">
        <w:rPr>
          <w:b/>
          <w:noProof/>
          <w:lang w:val="en-GB"/>
        </w:rPr>
        <w:t>b</w:t>
      </w:r>
      <w:r w:rsidRPr="008F3C15">
        <w:rPr>
          <w:noProof/>
          <w:lang w:val="en-GB"/>
        </w:rPr>
        <w:t xml:space="preserve"> schematic of a APT tip </w:t>
      </w:r>
      <w:r w:rsidR="009811B6" w:rsidRPr="008F3C15">
        <w:rPr>
          <w:noProof/>
          <w:lang w:val="en-GB"/>
        </w:rPr>
        <w:t xml:space="preserve">milled in this study with </w:t>
      </w:r>
      <w:r w:rsidRPr="008F3C15">
        <w:rPr>
          <w:noProof/>
          <w:lang w:val="en-GB"/>
        </w:rPr>
        <w:t xml:space="preserve">the </w:t>
      </w:r>
      <w:r w:rsidR="009811B6" w:rsidRPr="008F3C15">
        <w:rPr>
          <w:noProof/>
          <w:lang w:val="en-GB"/>
        </w:rPr>
        <w:t xml:space="preserve">organic </w:t>
      </w:r>
      <w:r w:rsidR="001414AA" w:rsidRPr="008F3C15">
        <w:rPr>
          <w:noProof/>
          <w:lang w:val="en-GB"/>
        </w:rPr>
        <w:t>interlamellar she</w:t>
      </w:r>
      <w:r w:rsidR="004E1649" w:rsidRPr="008F3C15">
        <w:rPr>
          <w:noProof/>
          <w:lang w:val="en-GB"/>
        </w:rPr>
        <w:t>et</w:t>
      </w:r>
      <w:r w:rsidR="001414AA" w:rsidRPr="008F3C15">
        <w:rPr>
          <w:noProof/>
          <w:lang w:val="en-GB"/>
        </w:rPr>
        <w:t xml:space="preserve"> </w:t>
      </w:r>
      <w:r w:rsidR="00917DA4" w:rsidRPr="008F3C15">
        <w:rPr>
          <w:noProof/>
          <w:lang w:val="en-GB"/>
        </w:rPr>
        <w:t xml:space="preserve">(magenta) </w:t>
      </w:r>
      <w:r w:rsidRPr="008F3C15">
        <w:rPr>
          <w:noProof/>
          <w:lang w:val="en-GB"/>
        </w:rPr>
        <w:t>close to the tip</w:t>
      </w:r>
      <w:r w:rsidR="004E1649" w:rsidRPr="008F3C15">
        <w:rPr>
          <w:noProof/>
          <w:lang w:val="en-GB"/>
        </w:rPr>
        <w:t>’s</w:t>
      </w:r>
      <w:r w:rsidRPr="008F3C15">
        <w:rPr>
          <w:noProof/>
          <w:lang w:val="en-GB"/>
        </w:rPr>
        <w:t xml:space="preserve"> apex. Scale bar is 25 μm.</w:t>
      </w:r>
    </w:p>
    <w:p w14:paraId="3DD6CBF4" w14:textId="745B26EE" w:rsidR="00680E72" w:rsidRPr="008F3C15" w:rsidRDefault="00680E72" w:rsidP="009E447E">
      <w:pPr>
        <w:rPr>
          <w:noProof/>
          <w:sz w:val="14"/>
          <w:szCs w:val="12"/>
          <w:lang w:val="en-GB"/>
        </w:rPr>
      </w:pPr>
      <w:r w:rsidRPr="008F3C15">
        <w:rPr>
          <w:noProof/>
          <w:sz w:val="14"/>
          <w:szCs w:val="12"/>
          <w:lang w:val="en-GB"/>
        </w:rPr>
        <w:t xml:space="preserve"> </w:t>
      </w:r>
    </w:p>
    <w:p w14:paraId="33CF9910" w14:textId="682EFB6C" w:rsidR="00E309E2" w:rsidRPr="008F3C15" w:rsidRDefault="00D639E0" w:rsidP="00D639E0">
      <w:pPr>
        <w:spacing w:after="0"/>
        <w:jc w:val="center"/>
        <w:rPr>
          <w:b/>
          <w:bCs/>
          <w:noProof/>
          <w:lang w:val="en-GB"/>
        </w:rPr>
      </w:pPr>
      <w:r w:rsidRPr="008F3C15">
        <w:rPr>
          <w:noProof/>
          <w:lang w:val="en-GB"/>
        </w:rPr>
        <w:drawing>
          <wp:inline distT="0" distB="0" distL="0" distR="0" wp14:anchorId="495280E4" wp14:editId="51072683">
            <wp:extent cx="6645910" cy="4474210"/>
            <wp:effectExtent l="0" t="0" r="2540" b="254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45910" cy="4474210"/>
                    </a:xfrm>
                    <a:prstGeom prst="rect">
                      <a:avLst/>
                    </a:prstGeom>
                    <a:noFill/>
                    <a:ln>
                      <a:noFill/>
                    </a:ln>
                  </pic:spPr>
                </pic:pic>
              </a:graphicData>
            </a:graphic>
          </wp:inline>
        </w:drawing>
      </w:r>
    </w:p>
    <w:p w14:paraId="745E8D54" w14:textId="0EBF1AC5" w:rsidR="008622D5" w:rsidRPr="008F3C15" w:rsidRDefault="00E309E2" w:rsidP="00DE3673">
      <w:pPr>
        <w:rPr>
          <w:sz w:val="22"/>
          <w:lang w:val="en-GB"/>
        </w:rPr>
      </w:pPr>
      <w:r w:rsidRPr="008F3C15">
        <w:rPr>
          <w:b/>
          <w:sz w:val="22"/>
          <w:lang w:val="en-GB"/>
        </w:rPr>
        <w:t>Supplementary Fig. 4</w:t>
      </w:r>
      <w:r w:rsidRPr="008F3C15">
        <w:rPr>
          <w:sz w:val="22"/>
          <w:lang w:val="en-GB"/>
        </w:rPr>
        <w:t xml:space="preserve">. </w:t>
      </w:r>
      <w:r w:rsidR="0034796F" w:rsidRPr="008F3C15">
        <w:rPr>
          <w:sz w:val="22"/>
          <w:lang w:val="en-GB"/>
        </w:rPr>
        <w:t>APT Voltage evolution curve</w:t>
      </w:r>
      <w:r w:rsidR="0030670C" w:rsidRPr="008F3C15">
        <w:rPr>
          <w:sz w:val="22"/>
          <w:lang w:val="en-GB"/>
        </w:rPr>
        <w:t xml:space="preserve"> for </w:t>
      </w:r>
      <w:r w:rsidR="00917DA4" w:rsidRPr="008F3C15">
        <w:rPr>
          <w:sz w:val="22"/>
          <w:lang w:val="en-GB"/>
        </w:rPr>
        <w:t xml:space="preserve">the analysed </w:t>
      </w:r>
      <w:r w:rsidR="0030670C" w:rsidRPr="008F3C15">
        <w:rPr>
          <w:sz w:val="22"/>
          <w:lang w:val="en-GB"/>
        </w:rPr>
        <w:t>nacre</w:t>
      </w:r>
      <w:r w:rsidR="00917DA4" w:rsidRPr="008F3C15">
        <w:rPr>
          <w:sz w:val="22"/>
          <w:lang w:val="en-GB"/>
        </w:rPr>
        <w:t xml:space="preserve"> sample</w:t>
      </w:r>
      <w:r w:rsidR="0034796F" w:rsidRPr="008F3C15">
        <w:rPr>
          <w:sz w:val="22"/>
          <w:lang w:val="en-GB"/>
        </w:rPr>
        <w:t xml:space="preserve">. </w:t>
      </w:r>
      <w:r w:rsidR="004E5F52" w:rsidRPr="008F3C15">
        <w:rPr>
          <w:sz w:val="22"/>
          <w:lang w:val="en-GB"/>
        </w:rPr>
        <w:t xml:space="preserve">Bivariate plot showing the voltage evolution </w:t>
      </w:r>
      <w:r w:rsidR="00F85A03" w:rsidRPr="008F3C15">
        <w:rPr>
          <w:sz w:val="22"/>
          <w:lang w:val="en-GB"/>
        </w:rPr>
        <w:t xml:space="preserve">during analysis </w:t>
      </w:r>
      <w:r w:rsidR="004E5F52" w:rsidRPr="008F3C15">
        <w:rPr>
          <w:sz w:val="22"/>
          <w:lang w:val="en-GB"/>
        </w:rPr>
        <w:t>as a function of ion count</w:t>
      </w:r>
      <w:r w:rsidR="00D827EC" w:rsidRPr="008F3C15">
        <w:rPr>
          <w:sz w:val="22"/>
          <w:lang w:val="en-GB"/>
        </w:rPr>
        <w:t>s</w:t>
      </w:r>
      <w:r w:rsidR="004E5F52" w:rsidRPr="008F3C15">
        <w:rPr>
          <w:sz w:val="22"/>
          <w:lang w:val="en-GB"/>
        </w:rPr>
        <w:t xml:space="preserve"> for the APT tip. </w:t>
      </w:r>
      <w:r w:rsidR="00917DA4" w:rsidRPr="008F3C15">
        <w:rPr>
          <w:sz w:val="22"/>
          <w:lang w:val="en-GB"/>
        </w:rPr>
        <w:t>The voltage evolution obtained for nacre resembles a saw-tooth pattern due to the repeated encounter of the organic interlamellar sh</w:t>
      </w:r>
      <w:r w:rsidR="00BD4D79" w:rsidRPr="008F3C15">
        <w:rPr>
          <w:sz w:val="22"/>
          <w:lang w:val="en-GB"/>
        </w:rPr>
        <w:t>eet</w:t>
      </w:r>
      <w:r w:rsidR="00917DA4" w:rsidRPr="008F3C15">
        <w:rPr>
          <w:sz w:val="22"/>
          <w:lang w:val="en-GB"/>
        </w:rPr>
        <w:t xml:space="preserve"> </w:t>
      </w:r>
      <w:r w:rsidR="00243A9F" w:rsidRPr="008F3C15">
        <w:rPr>
          <w:sz w:val="22"/>
          <w:lang w:val="en-GB"/>
        </w:rPr>
        <w:t>which</w:t>
      </w:r>
      <w:r w:rsidR="00917DA4" w:rsidRPr="008F3C15">
        <w:rPr>
          <w:sz w:val="22"/>
          <w:lang w:val="en-GB"/>
        </w:rPr>
        <w:t xml:space="preserve"> caused change in the evaporation field. This is unlike to </w:t>
      </w:r>
      <w:r w:rsidR="0030670C" w:rsidRPr="008F3C15">
        <w:rPr>
          <w:sz w:val="22"/>
          <w:lang w:val="en-GB"/>
        </w:rPr>
        <w:t>voltage curves observed for conductive samples where voltage would be observed to ramp up smoothly</w:t>
      </w:r>
      <w:r w:rsidR="00917DA4" w:rsidRPr="008F3C15">
        <w:rPr>
          <w:sz w:val="22"/>
          <w:lang w:val="en-GB"/>
        </w:rPr>
        <w:t>.</w:t>
      </w:r>
      <w:r w:rsidR="0030670C" w:rsidRPr="008F3C15">
        <w:rPr>
          <w:sz w:val="22"/>
          <w:lang w:val="en-GB"/>
        </w:rPr>
        <w:t xml:space="preserve"> </w:t>
      </w:r>
      <w:r w:rsidR="00917DA4" w:rsidRPr="008F3C15">
        <w:rPr>
          <w:sz w:val="22"/>
          <w:lang w:val="en-GB"/>
        </w:rPr>
        <w:t>W</w:t>
      </w:r>
      <w:r w:rsidR="0030670C" w:rsidRPr="008F3C15">
        <w:rPr>
          <w:sz w:val="22"/>
          <w:lang w:val="en-GB"/>
        </w:rPr>
        <w:t xml:space="preserve">e </w:t>
      </w:r>
      <w:r w:rsidR="00917DA4" w:rsidRPr="008F3C15">
        <w:rPr>
          <w:sz w:val="22"/>
          <w:lang w:val="en-GB"/>
        </w:rPr>
        <w:t xml:space="preserve">therefore </w:t>
      </w:r>
      <w:r w:rsidR="009952D8" w:rsidRPr="008F3C15">
        <w:rPr>
          <w:sz w:val="22"/>
          <w:lang w:val="en-GB"/>
        </w:rPr>
        <w:t xml:space="preserve">chose </w:t>
      </w:r>
      <w:r w:rsidR="00917DA4" w:rsidRPr="008F3C15">
        <w:rPr>
          <w:sz w:val="22"/>
          <w:lang w:val="en-GB"/>
        </w:rPr>
        <w:t xml:space="preserve">to </w:t>
      </w:r>
      <w:r w:rsidR="0030670C" w:rsidRPr="008F3C15">
        <w:rPr>
          <w:sz w:val="22"/>
          <w:lang w:val="en-GB"/>
        </w:rPr>
        <w:t>reconstruct</w:t>
      </w:r>
      <w:r w:rsidR="009952D8" w:rsidRPr="008F3C15">
        <w:rPr>
          <w:lang w:val="en-GB"/>
        </w:rPr>
        <w:t xml:space="preserve"> </w:t>
      </w:r>
      <w:r w:rsidR="009952D8" w:rsidRPr="008F3C15">
        <w:rPr>
          <w:sz w:val="22"/>
          <w:lang w:val="en-GB"/>
        </w:rPr>
        <w:t>the dataset as s</w:t>
      </w:r>
      <w:r w:rsidR="0030670C" w:rsidRPr="008F3C15">
        <w:rPr>
          <w:sz w:val="22"/>
          <w:lang w:val="en-GB"/>
        </w:rPr>
        <w:t xml:space="preserve">eparate volumes (marked by red </w:t>
      </w:r>
      <w:r w:rsidR="004E5F52" w:rsidRPr="008F3C15">
        <w:rPr>
          <w:sz w:val="22"/>
          <w:lang w:val="en-GB"/>
        </w:rPr>
        <w:t>boxes</w:t>
      </w:r>
      <w:r w:rsidR="006B2129" w:rsidRPr="008F3C15">
        <w:rPr>
          <w:sz w:val="22"/>
          <w:lang w:val="en-GB"/>
        </w:rPr>
        <w:t xml:space="preserve"> and arrows pointing to the approximate location on a schematic APT tip</w:t>
      </w:r>
      <w:r w:rsidR="0030670C" w:rsidRPr="008F3C15">
        <w:rPr>
          <w:sz w:val="22"/>
          <w:lang w:val="en-GB"/>
        </w:rPr>
        <w:t>)</w:t>
      </w:r>
      <w:r w:rsidR="004E5F52" w:rsidRPr="008F3C15">
        <w:rPr>
          <w:sz w:val="22"/>
          <w:lang w:val="en-GB"/>
        </w:rPr>
        <w:t xml:space="preserve"> </w:t>
      </w:r>
      <w:r w:rsidR="0030670C" w:rsidRPr="008F3C15">
        <w:rPr>
          <w:sz w:val="22"/>
          <w:lang w:val="en-GB"/>
        </w:rPr>
        <w:t>instead of one large reconstruction</w:t>
      </w:r>
      <w:r w:rsidR="00243A9F" w:rsidRPr="008F3C15">
        <w:rPr>
          <w:sz w:val="22"/>
          <w:lang w:val="en-GB"/>
        </w:rPr>
        <w:t>,</w:t>
      </w:r>
      <w:r w:rsidR="006B2129" w:rsidRPr="008F3C15">
        <w:rPr>
          <w:sz w:val="22"/>
          <w:lang w:val="en-GB"/>
        </w:rPr>
        <w:t xml:space="preserve"> to minimise potential artefacts</w:t>
      </w:r>
      <w:r w:rsidR="0030670C" w:rsidRPr="008F3C15">
        <w:rPr>
          <w:sz w:val="22"/>
          <w:lang w:val="en-GB"/>
        </w:rPr>
        <w:t xml:space="preserve">. </w:t>
      </w:r>
      <w:r w:rsidR="00F71E48" w:rsidRPr="008F3C15">
        <w:rPr>
          <w:sz w:val="22"/>
          <w:lang w:val="en-GB"/>
        </w:rPr>
        <w:t xml:space="preserve">We </w:t>
      </w:r>
      <w:r w:rsidR="009952D8" w:rsidRPr="008F3C15">
        <w:rPr>
          <w:sz w:val="22"/>
          <w:lang w:val="en-GB"/>
        </w:rPr>
        <w:t xml:space="preserve">selected </w:t>
      </w:r>
      <w:r w:rsidR="00F71E48" w:rsidRPr="008F3C15">
        <w:rPr>
          <w:sz w:val="22"/>
          <w:lang w:val="en-GB"/>
        </w:rPr>
        <w:t>three areas</w:t>
      </w:r>
      <w:r w:rsidR="005936C5" w:rsidRPr="008F3C15">
        <w:rPr>
          <w:sz w:val="22"/>
          <w:lang w:val="en-GB"/>
        </w:rPr>
        <w:t xml:space="preserve"> where the signal was </w:t>
      </w:r>
      <w:r w:rsidR="004E5F52" w:rsidRPr="008F3C15">
        <w:rPr>
          <w:sz w:val="22"/>
          <w:lang w:val="en-GB"/>
        </w:rPr>
        <w:t>relatively stable</w:t>
      </w:r>
      <w:r w:rsidR="009E447E" w:rsidRPr="008F3C15">
        <w:rPr>
          <w:sz w:val="22"/>
          <w:lang w:val="en-GB"/>
        </w:rPr>
        <w:t>: area 1</w:t>
      </w:r>
      <w:r w:rsidR="003C7C07" w:rsidRPr="008F3C15">
        <w:rPr>
          <w:sz w:val="22"/>
          <w:lang w:val="en-GB"/>
        </w:rPr>
        <w:t xml:space="preserve"> to </w:t>
      </w:r>
      <w:r w:rsidR="00917DA4" w:rsidRPr="008F3C15">
        <w:rPr>
          <w:sz w:val="22"/>
          <w:lang w:val="en-GB"/>
        </w:rPr>
        <w:t>3</w:t>
      </w:r>
      <w:r w:rsidR="009E447E" w:rsidRPr="008F3C15">
        <w:rPr>
          <w:sz w:val="22"/>
          <w:lang w:val="en-GB"/>
        </w:rPr>
        <w:t xml:space="preserve"> </w:t>
      </w:r>
      <w:r w:rsidR="003C7C07" w:rsidRPr="008F3C15">
        <w:rPr>
          <w:sz w:val="22"/>
          <w:lang w:val="en-GB"/>
        </w:rPr>
        <w:t xml:space="preserve">are shown in </w:t>
      </w:r>
      <w:r w:rsidR="009E447E" w:rsidRPr="008F3C15">
        <w:rPr>
          <w:sz w:val="22"/>
          <w:lang w:val="en-GB"/>
        </w:rPr>
        <w:t>Fig</w:t>
      </w:r>
      <w:r w:rsidR="00133582" w:rsidRPr="008F3C15">
        <w:rPr>
          <w:sz w:val="22"/>
          <w:lang w:val="en-GB"/>
        </w:rPr>
        <w:t>.</w:t>
      </w:r>
      <w:r w:rsidR="009E447E" w:rsidRPr="008F3C15">
        <w:rPr>
          <w:sz w:val="22"/>
          <w:lang w:val="en-GB"/>
        </w:rPr>
        <w:t xml:space="preserve"> 3, </w:t>
      </w:r>
      <w:r w:rsidR="00917DA4" w:rsidRPr="008F3C15">
        <w:rPr>
          <w:sz w:val="22"/>
          <w:lang w:val="en-GB"/>
        </w:rPr>
        <w:t>Supplementary Figs. 5</w:t>
      </w:r>
      <w:r w:rsidR="00943A09" w:rsidRPr="008F3C15">
        <w:rPr>
          <w:sz w:val="22"/>
          <w:lang w:val="en-GB"/>
        </w:rPr>
        <w:t xml:space="preserve"> and </w:t>
      </w:r>
      <w:r w:rsidR="00917DA4" w:rsidRPr="008F3C15">
        <w:rPr>
          <w:sz w:val="22"/>
          <w:lang w:val="en-GB"/>
        </w:rPr>
        <w:t>7</w:t>
      </w:r>
      <w:r w:rsidR="003C7C07" w:rsidRPr="008F3C15">
        <w:rPr>
          <w:sz w:val="22"/>
          <w:lang w:val="en-GB"/>
        </w:rPr>
        <w:t>, respectively</w:t>
      </w:r>
      <w:r w:rsidR="0045373D" w:rsidRPr="008F3C15">
        <w:rPr>
          <w:sz w:val="22"/>
          <w:lang w:val="en-GB"/>
        </w:rPr>
        <w:t>.</w:t>
      </w:r>
      <w:r w:rsidR="008622D5" w:rsidRPr="008F3C15">
        <w:rPr>
          <w:sz w:val="22"/>
          <w:lang w:val="en-GB"/>
        </w:rPr>
        <w:br w:type="page"/>
      </w:r>
    </w:p>
    <w:p w14:paraId="7A553B7D" w14:textId="64199E59" w:rsidR="00FB3B58" w:rsidRPr="008F3C15" w:rsidRDefault="00635237" w:rsidP="008622D5">
      <w:pPr>
        <w:spacing w:after="0"/>
        <w:rPr>
          <w:sz w:val="22"/>
          <w:lang w:val="en-GB"/>
        </w:rPr>
      </w:pPr>
      <w:r w:rsidRPr="00635237">
        <w:rPr>
          <w:noProof/>
          <w:sz w:val="22"/>
          <w:lang w:val="en-GB"/>
        </w:rPr>
        <w:lastRenderedPageBreak/>
        <w:drawing>
          <wp:inline distT="0" distB="0" distL="0" distR="0" wp14:anchorId="04F70BFD" wp14:editId="63EC408B">
            <wp:extent cx="6645910" cy="6763385"/>
            <wp:effectExtent l="0" t="0" r="2540" b="0"/>
            <wp:docPr id="1" name="Picture 1" descr="A picture containing text, indoor, colorful,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indoor, colorful, differen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45910" cy="6763385"/>
                    </a:xfrm>
                    <a:prstGeom prst="rect">
                      <a:avLst/>
                    </a:prstGeom>
                    <a:noFill/>
                    <a:ln>
                      <a:noFill/>
                    </a:ln>
                  </pic:spPr>
                </pic:pic>
              </a:graphicData>
            </a:graphic>
          </wp:inline>
        </w:drawing>
      </w:r>
    </w:p>
    <w:p w14:paraId="5408E697" w14:textId="40FF5DC6" w:rsidR="00885CD7" w:rsidRPr="008F3C15" w:rsidRDefault="00BB5C78" w:rsidP="008622D5">
      <w:pPr>
        <w:rPr>
          <w:sz w:val="22"/>
          <w:lang w:val="en-GB"/>
        </w:rPr>
      </w:pPr>
      <w:r w:rsidRPr="008F3C15">
        <w:rPr>
          <w:b/>
          <w:sz w:val="22"/>
          <w:lang w:val="en-GB"/>
        </w:rPr>
        <w:t xml:space="preserve">Supplementary Fig. </w:t>
      </w:r>
      <w:r w:rsidR="004D3648" w:rsidRPr="008F3C15">
        <w:rPr>
          <w:b/>
          <w:sz w:val="22"/>
          <w:lang w:val="en-GB"/>
        </w:rPr>
        <w:t>5</w:t>
      </w:r>
      <w:r w:rsidRPr="008F3C15">
        <w:rPr>
          <w:sz w:val="22"/>
          <w:lang w:val="en-GB"/>
        </w:rPr>
        <w:t xml:space="preserve">. </w:t>
      </w:r>
      <w:r w:rsidR="003314EE" w:rsidRPr="008F3C15">
        <w:rPr>
          <w:sz w:val="22"/>
          <w:lang w:val="en-GB"/>
        </w:rPr>
        <w:t xml:space="preserve">3D atom probe reconstruction </w:t>
      </w:r>
      <w:r w:rsidR="00F85A03" w:rsidRPr="008F3C15">
        <w:rPr>
          <w:sz w:val="22"/>
          <w:lang w:val="en-GB"/>
        </w:rPr>
        <w:t>for area</w:t>
      </w:r>
      <w:r w:rsidR="00917DA4" w:rsidRPr="008F3C15">
        <w:rPr>
          <w:sz w:val="22"/>
          <w:lang w:val="en-GB"/>
        </w:rPr>
        <w:t xml:space="preserve"> 2</w:t>
      </w:r>
      <w:r w:rsidR="00F85A03" w:rsidRPr="008F3C15">
        <w:rPr>
          <w:sz w:val="22"/>
          <w:lang w:val="en-GB"/>
        </w:rPr>
        <w:t xml:space="preserve"> in the APT tip</w:t>
      </w:r>
      <w:r w:rsidR="003314EE" w:rsidRPr="008F3C15">
        <w:rPr>
          <w:sz w:val="22"/>
          <w:lang w:val="en-GB"/>
        </w:rPr>
        <w:t xml:space="preserve">. </w:t>
      </w:r>
      <w:r w:rsidR="00587E96" w:rsidRPr="008F3C15">
        <w:rPr>
          <w:b/>
          <w:bCs/>
          <w:sz w:val="22"/>
          <w:lang w:val="en-GB"/>
        </w:rPr>
        <w:t xml:space="preserve">a </w:t>
      </w:r>
      <w:r w:rsidR="00587E96" w:rsidRPr="008F3C15">
        <w:rPr>
          <w:sz w:val="22"/>
          <w:lang w:val="en-GB"/>
        </w:rPr>
        <w:t>iso-concentration surface of Ca (50 at%</w:t>
      </w:r>
      <w:r w:rsidR="00880C85" w:rsidRPr="008F3C15">
        <w:rPr>
          <w:sz w:val="22"/>
          <w:lang w:val="en-GB"/>
        </w:rPr>
        <w:t>, grey</w:t>
      </w:r>
      <w:r w:rsidR="00587E96" w:rsidRPr="008F3C15">
        <w:rPr>
          <w:sz w:val="22"/>
          <w:lang w:val="en-GB"/>
        </w:rPr>
        <w:t>) and C (5.1 at%</w:t>
      </w:r>
      <w:r w:rsidR="00880C85" w:rsidRPr="008F3C15">
        <w:rPr>
          <w:sz w:val="22"/>
          <w:lang w:val="en-GB"/>
        </w:rPr>
        <w:t>, magenta</w:t>
      </w:r>
      <w:r w:rsidR="00587E96" w:rsidRPr="008F3C15">
        <w:rPr>
          <w:sz w:val="22"/>
          <w:lang w:val="en-GB"/>
        </w:rPr>
        <w:t xml:space="preserve">) </w:t>
      </w:r>
      <w:r w:rsidR="00917DA4" w:rsidRPr="008F3C15">
        <w:rPr>
          <w:sz w:val="22"/>
          <w:lang w:val="en-GB"/>
        </w:rPr>
        <w:t xml:space="preserve">for </w:t>
      </w:r>
      <w:r w:rsidR="00587E96" w:rsidRPr="008F3C15">
        <w:rPr>
          <w:sz w:val="22"/>
          <w:lang w:val="en-GB"/>
        </w:rPr>
        <w:t xml:space="preserve">the nacre tablet and the organic interlamellar </w:t>
      </w:r>
      <w:r w:rsidR="00BD4D79" w:rsidRPr="008F3C15">
        <w:rPr>
          <w:sz w:val="22"/>
          <w:lang w:val="en-GB"/>
        </w:rPr>
        <w:t>sheet</w:t>
      </w:r>
      <w:r w:rsidR="00587E96" w:rsidRPr="008F3C15">
        <w:rPr>
          <w:sz w:val="22"/>
          <w:lang w:val="en-GB"/>
        </w:rPr>
        <w:t xml:space="preserve">. </w:t>
      </w:r>
      <w:r w:rsidR="00587E96" w:rsidRPr="008F3C15">
        <w:rPr>
          <w:b/>
          <w:bCs/>
          <w:sz w:val="22"/>
          <w:lang w:val="en-GB"/>
        </w:rPr>
        <w:t>b</w:t>
      </w:r>
      <w:r w:rsidR="00587E96" w:rsidRPr="008F3C15">
        <w:rPr>
          <w:sz w:val="22"/>
          <w:lang w:val="en-GB"/>
        </w:rPr>
        <w:t xml:space="preserve"> iso-concentration surface of </w:t>
      </w:r>
      <w:r w:rsidR="005936C5" w:rsidRPr="008F3C15">
        <w:rPr>
          <w:sz w:val="22"/>
          <w:lang w:val="en-GB"/>
        </w:rPr>
        <w:t xml:space="preserve">hydrogen </w:t>
      </w:r>
      <w:r w:rsidR="00587E96" w:rsidRPr="008F3C15">
        <w:rPr>
          <w:sz w:val="22"/>
          <w:lang w:val="en-GB"/>
        </w:rPr>
        <w:t>(10 at%</w:t>
      </w:r>
      <w:r w:rsidR="00880C85" w:rsidRPr="008F3C15">
        <w:rPr>
          <w:sz w:val="22"/>
          <w:lang w:val="en-GB"/>
        </w:rPr>
        <w:t>, yellow</w:t>
      </w:r>
      <w:r w:rsidR="00587E96" w:rsidRPr="008F3C15">
        <w:rPr>
          <w:sz w:val="22"/>
          <w:lang w:val="en-GB"/>
        </w:rPr>
        <w:t xml:space="preserve">) </w:t>
      </w:r>
      <w:r w:rsidR="00917DA4" w:rsidRPr="008F3C15">
        <w:rPr>
          <w:sz w:val="22"/>
          <w:lang w:val="en-GB"/>
        </w:rPr>
        <w:t>is enriched in</w:t>
      </w:r>
      <w:r w:rsidR="00F85A03" w:rsidRPr="008F3C15">
        <w:rPr>
          <w:sz w:val="22"/>
          <w:lang w:val="en-GB"/>
        </w:rPr>
        <w:t xml:space="preserve"> the organic</w:t>
      </w:r>
      <w:r w:rsidR="00587E96" w:rsidRPr="008F3C15">
        <w:rPr>
          <w:sz w:val="22"/>
          <w:lang w:val="en-GB"/>
        </w:rPr>
        <w:t xml:space="preserve"> interlamellar </w:t>
      </w:r>
      <w:r w:rsidR="00BD4D79" w:rsidRPr="008F3C15">
        <w:rPr>
          <w:sz w:val="22"/>
          <w:lang w:val="en-GB"/>
        </w:rPr>
        <w:t>sheet</w:t>
      </w:r>
      <w:r w:rsidR="00587E96" w:rsidRPr="008F3C15">
        <w:rPr>
          <w:sz w:val="22"/>
          <w:lang w:val="en-GB"/>
        </w:rPr>
        <w:t xml:space="preserve">. </w:t>
      </w:r>
      <w:r w:rsidR="00587E96" w:rsidRPr="008F3C15">
        <w:rPr>
          <w:b/>
          <w:bCs/>
          <w:sz w:val="22"/>
          <w:lang w:val="en-GB"/>
        </w:rPr>
        <w:t>c</w:t>
      </w:r>
      <w:r w:rsidR="00587E96" w:rsidRPr="008F3C15">
        <w:rPr>
          <w:sz w:val="22"/>
          <w:lang w:val="en-GB"/>
        </w:rPr>
        <w:t xml:space="preserve"> iso-concentration surface of Sr (20 at%</w:t>
      </w:r>
      <w:r w:rsidR="00880C85" w:rsidRPr="008F3C15">
        <w:rPr>
          <w:sz w:val="22"/>
          <w:lang w:val="en-GB"/>
        </w:rPr>
        <w:t>, red</w:t>
      </w:r>
      <w:r w:rsidR="00587E96" w:rsidRPr="008F3C15">
        <w:rPr>
          <w:sz w:val="22"/>
          <w:lang w:val="en-GB"/>
        </w:rPr>
        <w:t>) shows a</w:t>
      </w:r>
      <w:r w:rsidR="00243A9F" w:rsidRPr="008F3C15">
        <w:rPr>
          <w:sz w:val="22"/>
          <w:lang w:val="en-GB"/>
        </w:rPr>
        <w:t>n</w:t>
      </w:r>
      <w:r w:rsidR="00587E96" w:rsidRPr="008F3C15">
        <w:rPr>
          <w:sz w:val="22"/>
          <w:lang w:val="en-GB"/>
        </w:rPr>
        <w:t xml:space="preserve"> </w:t>
      </w:r>
      <w:r w:rsidR="00F85A03" w:rsidRPr="008F3C15">
        <w:rPr>
          <w:sz w:val="22"/>
          <w:lang w:val="en-GB"/>
        </w:rPr>
        <w:t xml:space="preserve">enriched </w:t>
      </w:r>
      <w:r w:rsidR="00587E96" w:rsidRPr="008F3C15">
        <w:rPr>
          <w:sz w:val="22"/>
          <w:lang w:val="en-GB"/>
        </w:rPr>
        <w:t xml:space="preserve">cortex </w:t>
      </w:r>
      <w:r w:rsidR="00917DA4" w:rsidRPr="008F3C15">
        <w:rPr>
          <w:sz w:val="22"/>
          <w:lang w:val="en-GB"/>
        </w:rPr>
        <w:t xml:space="preserve">along </w:t>
      </w:r>
      <w:r w:rsidR="00587E96" w:rsidRPr="008F3C15">
        <w:rPr>
          <w:sz w:val="22"/>
          <w:lang w:val="en-GB"/>
        </w:rPr>
        <w:t xml:space="preserve">the outermost </w:t>
      </w:r>
      <w:r w:rsidR="00AB6844" w:rsidRPr="008F3C15">
        <w:rPr>
          <w:sz w:val="22"/>
          <w:lang w:val="en-GB"/>
        </w:rPr>
        <w:t xml:space="preserve">part </w:t>
      </w:r>
      <w:r w:rsidR="00587E96" w:rsidRPr="008F3C15">
        <w:rPr>
          <w:sz w:val="22"/>
          <w:lang w:val="en-GB"/>
        </w:rPr>
        <w:t>of the nacre tablet</w:t>
      </w:r>
      <w:r w:rsidR="00917DA4" w:rsidRPr="008F3C15">
        <w:rPr>
          <w:sz w:val="22"/>
          <w:lang w:val="en-GB"/>
        </w:rPr>
        <w:t xml:space="preserve"> adjacent to the organic sheet</w:t>
      </w:r>
      <w:r w:rsidR="00587E96" w:rsidRPr="008F3C15">
        <w:rPr>
          <w:sz w:val="22"/>
          <w:lang w:val="en-GB"/>
        </w:rPr>
        <w:t xml:space="preserve">. </w:t>
      </w:r>
      <w:r w:rsidR="00587E96" w:rsidRPr="008F3C15">
        <w:rPr>
          <w:b/>
          <w:bCs/>
          <w:sz w:val="22"/>
          <w:lang w:val="en-GB"/>
        </w:rPr>
        <w:t>d</w:t>
      </w:r>
      <w:r w:rsidR="00587E96" w:rsidRPr="008F3C15">
        <w:rPr>
          <w:sz w:val="22"/>
          <w:lang w:val="en-GB"/>
        </w:rPr>
        <w:t xml:space="preserve"> volume rendering showing the distribution of Sr across the volume of the reconstruction</w:t>
      </w:r>
      <w:r w:rsidR="008A181B" w:rsidRPr="008F3C15">
        <w:rPr>
          <w:sz w:val="22"/>
          <w:lang w:val="en-GB"/>
        </w:rPr>
        <w:t xml:space="preserve"> showing Sr-enriched areas in </w:t>
      </w:r>
      <w:r w:rsidR="00546426" w:rsidRPr="008F3C15">
        <w:rPr>
          <w:sz w:val="22"/>
          <w:lang w:val="en-GB"/>
        </w:rPr>
        <w:t>warmer</w:t>
      </w:r>
      <w:r w:rsidR="008A181B" w:rsidRPr="008F3C15">
        <w:rPr>
          <w:sz w:val="22"/>
          <w:lang w:val="en-GB"/>
        </w:rPr>
        <w:t xml:space="preserve"> colours</w:t>
      </w:r>
      <w:r w:rsidR="00917DA4" w:rsidRPr="008F3C15">
        <w:rPr>
          <w:sz w:val="22"/>
          <w:lang w:val="en-GB"/>
        </w:rPr>
        <w:t>.</w:t>
      </w:r>
      <w:r w:rsidR="00587E96" w:rsidRPr="008F3C15">
        <w:rPr>
          <w:sz w:val="22"/>
          <w:lang w:val="en-GB"/>
        </w:rPr>
        <w:t xml:space="preserve"> </w:t>
      </w:r>
      <w:r w:rsidR="00587E96" w:rsidRPr="008F3C15">
        <w:rPr>
          <w:b/>
          <w:bCs/>
          <w:sz w:val="22"/>
          <w:lang w:val="en-GB"/>
        </w:rPr>
        <w:t>e</w:t>
      </w:r>
      <w:r w:rsidR="00587E96" w:rsidRPr="008F3C15">
        <w:rPr>
          <w:sz w:val="22"/>
          <w:lang w:val="en-GB"/>
        </w:rPr>
        <w:t xml:space="preserve"> iso-concentration surface of Na (8 at%</w:t>
      </w:r>
      <w:r w:rsidR="00880C85" w:rsidRPr="008F3C15">
        <w:rPr>
          <w:sz w:val="22"/>
          <w:lang w:val="en-GB"/>
        </w:rPr>
        <w:t>, green</w:t>
      </w:r>
      <w:r w:rsidR="00587E96" w:rsidRPr="008F3C15">
        <w:rPr>
          <w:sz w:val="22"/>
          <w:lang w:val="en-GB"/>
        </w:rPr>
        <w:t xml:space="preserve">). </w:t>
      </w:r>
      <w:r w:rsidR="00587E96" w:rsidRPr="008F3C15">
        <w:rPr>
          <w:b/>
          <w:bCs/>
          <w:sz w:val="22"/>
          <w:lang w:val="en-GB"/>
        </w:rPr>
        <w:t>f</w:t>
      </w:r>
      <w:r w:rsidR="00587E96" w:rsidRPr="008F3C15">
        <w:rPr>
          <w:sz w:val="22"/>
          <w:lang w:val="en-GB"/>
        </w:rPr>
        <w:t xml:space="preserve"> </w:t>
      </w:r>
      <w:bookmarkStart w:id="2" w:name="_Hlk105055417"/>
      <w:r w:rsidR="00587E96" w:rsidRPr="008F3C15">
        <w:rPr>
          <w:sz w:val="22"/>
          <w:lang w:val="en-GB"/>
        </w:rPr>
        <w:t xml:space="preserve">schematic representation of the APT reconstruction </w:t>
      </w:r>
      <w:r w:rsidR="008A181B" w:rsidRPr="008F3C15">
        <w:rPr>
          <w:sz w:val="22"/>
          <w:lang w:val="en-GB"/>
        </w:rPr>
        <w:t>(</w:t>
      </w:r>
      <w:r w:rsidR="00587E96" w:rsidRPr="008F3C15">
        <w:rPr>
          <w:sz w:val="22"/>
          <w:lang w:val="en-GB"/>
        </w:rPr>
        <w:t>red box</w:t>
      </w:r>
      <w:r w:rsidR="008A181B" w:rsidRPr="008F3C15">
        <w:rPr>
          <w:sz w:val="22"/>
          <w:lang w:val="en-GB"/>
        </w:rPr>
        <w:t>)</w:t>
      </w:r>
      <w:r w:rsidR="001A6B5B" w:rsidRPr="008F3C15">
        <w:rPr>
          <w:sz w:val="22"/>
          <w:lang w:val="en-GB"/>
        </w:rPr>
        <w:t xml:space="preserve"> and its relative position within the tip as well as within the nacreous architecture more generally</w:t>
      </w:r>
      <w:r w:rsidR="00587E96" w:rsidRPr="008F3C15">
        <w:rPr>
          <w:sz w:val="22"/>
          <w:lang w:val="en-GB"/>
        </w:rPr>
        <w:t>.</w:t>
      </w:r>
    </w:p>
    <w:p w14:paraId="27CE5F55" w14:textId="5472BBC0" w:rsidR="00885CD7" w:rsidRPr="008F3C15" w:rsidRDefault="00121DF8" w:rsidP="00DE3673">
      <w:pPr>
        <w:spacing w:after="0"/>
        <w:rPr>
          <w:sz w:val="22"/>
          <w:lang w:val="en-GB"/>
        </w:rPr>
      </w:pPr>
      <w:bookmarkStart w:id="3" w:name="_Hlk73532760"/>
      <w:bookmarkEnd w:id="2"/>
      <w:r w:rsidRPr="008F3C15">
        <w:rPr>
          <w:noProof/>
          <w:lang w:val="en-GB"/>
        </w:rPr>
        <w:lastRenderedPageBreak/>
        <w:drawing>
          <wp:inline distT="0" distB="0" distL="0" distR="0" wp14:anchorId="57310173" wp14:editId="0AD3A36D">
            <wp:extent cx="6645910" cy="5292090"/>
            <wp:effectExtent l="0" t="0" r="2540" b="3810"/>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45910" cy="5292090"/>
                    </a:xfrm>
                    <a:prstGeom prst="rect">
                      <a:avLst/>
                    </a:prstGeom>
                    <a:noFill/>
                    <a:ln>
                      <a:noFill/>
                    </a:ln>
                  </pic:spPr>
                </pic:pic>
              </a:graphicData>
            </a:graphic>
          </wp:inline>
        </w:drawing>
      </w:r>
      <w:r w:rsidR="006F1C32" w:rsidRPr="008F3C15">
        <w:rPr>
          <w:b/>
          <w:sz w:val="22"/>
          <w:lang w:val="en-GB"/>
        </w:rPr>
        <w:t xml:space="preserve">Supplementary Fig. </w:t>
      </w:r>
      <w:bookmarkEnd w:id="3"/>
      <w:r w:rsidR="004D3648" w:rsidRPr="008F3C15">
        <w:rPr>
          <w:b/>
          <w:sz w:val="22"/>
          <w:lang w:val="en-GB"/>
        </w:rPr>
        <w:t>6</w:t>
      </w:r>
      <w:r w:rsidR="006F1C32" w:rsidRPr="008F3C15">
        <w:rPr>
          <w:sz w:val="22"/>
          <w:lang w:val="en-GB"/>
        </w:rPr>
        <w:t xml:space="preserve">. </w:t>
      </w:r>
      <w:bookmarkStart w:id="4" w:name="_Hlk72137740"/>
      <w:r w:rsidR="00FF19D9" w:rsidRPr="008F3C15">
        <w:rPr>
          <w:sz w:val="22"/>
          <w:lang w:val="en-GB"/>
        </w:rPr>
        <w:t>Qualitative</w:t>
      </w:r>
      <w:r w:rsidR="00C2434C" w:rsidRPr="008F3C15">
        <w:rPr>
          <w:sz w:val="22"/>
          <w:lang w:val="en-GB"/>
        </w:rPr>
        <w:t xml:space="preserve"> compositional</w:t>
      </w:r>
      <w:r w:rsidR="00FF19D9" w:rsidRPr="008F3C15">
        <w:rPr>
          <w:sz w:val="22"/>
          <w:lang w:val="en-GB"/>
        </w:rPr>
        <w:t xml:space="preserve"> line </w:t>
      </w:r>
      <w:r w:rsidR="00954D96" w:rsidRPr="008F3C15">
        <w:rPr>
          <w:sz w:val="22"/>
          <w:lang w:val="en-GB"/>
        </w:rPr>
        <w:t xml:space="preserve">profile </w:t>
      </w:r>
      <w:r w:rsidR="00C2434C" w:rsidRPr="008F3C15">
        <w:rPr>
          <w:sz w:val="22"/>
          <w:lang w:val="en-GB"/>
        </w:rPr>
        <w:t xml:space="preserve">across the nacre tablet and the mineral-organic interface associated with the interlamellar sheet </w:t>
      </w:r>
      <w:r w:rsidR="00E6721C" w:rsidRPr="008F3C15">
        <w:rPr>
          <w:sz w:val="22"/>
          <w:lang w:val="en-GB"/>
        </w:rPr>
        <w:t>(area</w:t>
      </w:r>
      <w:r w:rsidR="00FF19D9" w:rsidRPr="008F3C15">
        <w:rPr>
          <w:sz w:val="22"/>
          <w:lang w:val="en-GB"/>
        </w:rPr>
        <w:t xml:space="preserve"> 2</w:t>
      </w:r>
      <w:r w:rsidR="008705EC" w:rsidRPr="008F3C15">
        <w:rPr>
          <w:sz w:val="22"/>
          <w:lang w:val="en-GB"/>
        </w:rPr>
        <w:t xml:space="preserve"> shown i</w:t>
      </w:r>
      <w:r w:rsidR="0014315A" w:rsidRPr="008F3C15">
        <w:rPr>
          <w:sz w:val="22"/>
          <w:lang w:val="en-GB"/>
        </w:rPr>
        <w:t>n</w:t>
      </w:r>
      <w:r w:rsidR="00E6721C" w:rsidRPr="008F3C15">
        <w:rPr>
          <w:sz w:val="22"/>
          <w:lang w:val="en-GB"/>
        </w:rPr>
        <w:t xml:space="preserve"> </w:t>
      </w:r>
      <w:r w:rsidR="00EB3274" w:rsidRPr="008F3C15">
        <w:rPr>
          <w:sz w:val="22"/>
          <w:lang w:val="en-GB"/>
        </w:rPr>
        <w:t xml:space="preserve">Supplementary Fig. </w:t>
      </w:r>
      <w:r w:rsidR="00647908" w:rsidRPr="008F3C15">
        <w:rPr>
          <w:sz w:val="22"/>
          <w:lang w:val="en-GB"/>
        </w:rPr>
        <w:t>5</w:t>
      </w:r>
      <w:r w:rsidR="007C3787" w:rsidRPr="008F3C15">
        <w:rPr>
          <w:sz w:val="22"/>
          <w:lang w:val="en-GB"/>
        </w:rPr>
        <w:t>)</w:t>
      </w:r>
      <w:r w:rsidR="00EB3274" w:rsidRPr="008F3C15">
        <w:rPr>
          <w:sz w:val="22"/>
          <w:lang w:val="en-GB"/>
        </w:rPr>
        <w:t xml:space="preserve">. </w:t>
      </w:r>
      <w:bookmarkEnd w:id="4"/>
      <w:r w:rsidR="00C2434C" w:rsidRPr="008F3C15">
        <w:rPr>
          <w:sz w:val="22"/>
          <w:lang w:val="en-GB"/>
        </w:rPr>
        <w:t>The profile is divided by black dashed lines into three sections ‘tablet’, ‘cortex’ and ‘interlamellar sheet’. The tablet-cortex transition is defined by a significant increase in Sr, while the transition from cortex to interlamellar sheet is defined as the point of intersection between the Ca (grey) and the C (magenta) signals (see methods). The ‘tablet’ is characterized by high Ca concentrations indicative of CaCO</w:t>
      </w:r>
      <w:r w:rsidR="00C2434C" w:rsidRPr="008F3C15">
        <w:rPr>
          <w:sz w:val="22"/>
          <w:vertAlign w:val="subscript"/>
          <w:lang w:val="en-GB"/>
        </w:rPr>
        <w:t>3</w:t>
      </w:r>
      <w:r w:rsidR="00C2434C" w:rsidRPr="008F3C15">
        <w:rPr>
          <w:sz w:val="22"/>
          <w:lang w:val="en-GB"/>
        </w:rPr>
        <w:t>, while the ‘cortex’ area is defined by high Sr (red) at intermediate Ca and the ‘interlamellar sheet’ by high C and H (yellow) counts indicative of organics. The Sr-enriched cortex appears within 4 nm of the mineralized nacre tablet adjacent to the organic sheet. The abundance of Na (green) increases steadily from the tablet into the organic sheet. Shaded error envelopes are calculated based on counting statistics.</w:t>
      </w:r>
      <w:r w:rsidR="00885CD7" w:rsidRPr="008F3C15">
        <w:rPr>
          <w:sz w:val="22"/>
          <w:lang w:val="en-GB"/>
        </w:rPr>
        <w:br w:type="page"/>
      </w:r>
    </w:p>
    <w:p w14:paraId="206D15D0" w14:textId="619504C5" w:rsidR="00885CD7" w:rsidRPr="008F3C15" w:rsidRDefault="003E2743" w:rsidP="00976BDB">
      <w:pPr>
        <w:spacing w:after="0"/>
        <w:rPr>
          <w:sz w:val="22"/>
          <w:lang w:val="en-GB"/>
        </w:rPr>
      </w:pPr>
      <w:r>
        <w:rPr>
          <w:noProof/>
        </w:rPr>
        <w:lastRenderedPageBreak/>
        <w:drawing>
          <wp:inline distT="0" distB="0" distL="0" distR="0" wp14:anchorId="08E538D4" wp14:editId="08FEA675">
            <wp:extent cx="6645910" cy="5072380"/>
            <wp:effectExtent l="0" t="0" r="2540" b="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45910" cy="5072380"/>
                    </a:xfrm>
                    <a:prstGeom prst="rect">
                      <a:avLst/>
                    </a:prstGeom>
                    <a:noFill/>
                    <a:ln>
                      <a:noFill/>
                    </a:ln>
                  </pic:spPr>
                </pic:pic>
              </a:graphicData>
            </a:graphic>
          </wp:inline>
        </w:drawing>
      </w:r>
    </w:p>
    <w:p w14:paraId="4298EA84" w14:textId="4A08BFFB" w:rsidR="00885CD7" w:rsidRPr="008F3C15" w:rsidRDefault="00885CD7" w:rsidP="00976BDB">
      <w:pPr>
        <w:rPr>
          <w:sz w:val="22"/>
          <w:lang w:val="en-GB"/>
        </w:rPr>
      </w:pPr>
      <w:r w:rsidRPr="008F3C15">
        <w:rPr>
          <w:b/>
          <w:sz w:val="22"/>
          <w:lang w:val="en-GB"/>
        </w:rPr>
        <w:t xml:space="preserve">Supplementary Fig. </w:t>
      </w:r>
      <w:r w:rsidR="004D3648" w:rsidRPr="008F3C15">
        <w:rPr>
          <w:b/>
          <w:sz w:val="22"/>
          <w:lang w:val="en-GB"/>
        </w:rPr>
        <w:t>7</w:t>
      </w:r>
      <w:r w:rsidRPr="008F3C15">
        <w:rPr>
          <w:sz w:val="22"/>
          <w:lang w:val="en-GB"/>
        </w:rPr>
        <w:t xml:space="preserve">. </w:t>
      </w:r>
      <w:r w:rsidR="00F9184E" w:rsidRPr="008F3C15">
        <w:rPr>
          <w:sz w:val="22"/>
          <w:lang w:val="en-GB"/>
        </w:rPr>
        <w:t>3D atom probe reconstruction for area</w:t>
      </w:r>
      <w:r w:rsidR="00695E1C" w:rsidRPr="008F3C15">
        <w:rPr>
          <w:sz w:val="22"/>
          <w:lang w:val="en-GB"/>
        </w:rPr>
        <w:t xml:space="preserve"> 3</w:t>
      </w:r>
      <w:r w:rsidR="00F9184E" w:rsidRPr="008F3C15">
        <w:rPr>
          <w:sz w:val="22"/>
          <w:lang w:val="en-GB"/>
        </w:rPr>
        <w:t xml:space="preserve">. </w:t>
      </w:r>
      <w:r w:rsidR="00F9184E" w:rsidRPr="008F3C15">
        <w:rPr>
          <w:b/>
          <w:bCs/>
          <w:sz w:val="22"/>
          <w:lang w:val="en-GB"/>
        </w:rPr>
        <w:t>a</w:t>
      </w:r>
      <w:r w:rsidR="00F9184E" w:rsidRPr="008F3C15">
        <w:rPr>
          <w:sz w:val="22"/>
          <w:lang w:val="en-GB"/>
        </w:rPr>
        <w:t xml:space="preserve"> iso-concentration surface of Ca (50 at%</w:t>
      </w:r>
      <w:r w:rsidR="00894D6C" w:rsidRPr="008F3C15">
        <w:rPr>
          <w:sz w:val="22"/>
          <w:lang w:val="en-GB"/>
        </w:rPr>
        <w:t>, grey</w:t>
      </w:r>
      <w:r w:rsidR="00F9184E" w:rsidRPr="008F3C15">
        <w:rPr>
          <w:sz w:val="22"/>
          <w:lang w:val="en-GB"/>
        </w:rPr>
        <w:t>) and C (5.1 at%</w:t>
      </w:r>
      <w:r w:rsidR="00894D6C" w:rsidRPr="008F3C15">
        <w:rPr>
          <w:sz w:val="22"/>
          <w:lang w:val="en-GB"/>
        </w:rPr>
        <w:t>, magenta</w:t>
      </w:r>
      <w:r w:rsidR="00F9184E" w:rsidRPr="008F3C15">
        <w:rPr>
          <w:sz w:val="22"/>
          <w:lang w:val="en-GB"/>
        </w:rPr>
        <w:t xml:space="preserve">) </w:t>
      </w:r>
      <w:r w:rsidR="00695E1C" w:rsidRPr="008F3C15">
        <w:rPr>
          <w:sz w:val="22"/>
          <w:lang w:val="en-GB"/>
        </w:rPr>
        <w:t xml:space="preserve">identifying </w:t>
      </w:r>
      <w:r w:rsidR="00F9184E" w:rsidRPr="008F3C15">
        <w:rPr>
          <w:sz w:val="22"/>
          <w:lang w:val="en-GB"/>
        </w:rPr>
        <w:t>the nacre tablet and the organic interlamellar she</w:t>
      </w:r>
      <w:r w:rsidR="00695E1C" w:rsidRPr="008F3C15">
        <w:rPr>
          <w:sz w:val="22"/>
          <w:lang w:val="en-GB"/>
        </w:rPr>
        <w:t>et</w:t>
      </w:r>
      <w:r w:rsidR="00F9184E" w:rsidRPr="008F3C15">
        <w:rPr>
          <w:sz w:val="22"/>
          <w:lang w:val="en-GB"/>
        </w:rPr>
        <w:t xml:space="preserve">. </w:t>
      </w:r>
      <w:r w:rsidR="00F9184E" w:rsidRPr="008F3C15">
        <w:rPr>
          <w:b/>
          <w:bCs/>
          <w:sz w:val="22"/>
          <w:lang w:val="en-GB"/>
        </w:rPr>
        <w:t>b</w:t>
      </w:r>
      <w:r w:rsidR="00F9184E" w:rsidRPr="008F3C15">
        <w:rPr>
          <w:sz w:val="22"/>
          <w:lang w:val="en-GB"/>
        </w:rPr>
        <w:t xml:space="preserve"> enriched iso-concentration surface of hydrogen (10 at%</w:t>
      </w:r>
      <w:r w:rsidR="00894D6C" w:rsidRPr="008F3C15">
        <w:rPr>
          <w:sz w:val="22"/>
          <w:lang w:val="en-GB"/>
        </w:rPr>
        <w:t>, yellow</w:t>
      </w:r>
      <w:r w:rsidR="00F9184E" w:rsidRPr="008F3C15">
        <w:rPr>
          <w:sz w:val="22"/>
          <w:lang w:val="en-GB"/>
        </w:rPr>
        <w:t xml:space="preserve">) </w:t>
      </w:r>
      <w:r w:rsidR="00695E1C" w:rsidRPr="008F3C15">
        <w:rPr>
          <w:sz w:val="22"/>
          <w:lang w:val="en-GB"/>
        </w:rPr>
        <w:t>in</w:t>
      </w:r>
      <w:r w:rsidR="00F9184E" w:rsidRPr="008F3C15">
        <w:rPr>
          <w:sz w:val="22"/>
          <w:lang w:val="en-GB"/>
        </w:rPr>
        <w:t xml:space="preserve"> the organic interlamellar </w:t>
      </w:r>
      <w:r w:rsidR="00BD4D79" w:rsidRPr="008F3C15">
        <w:rPr>
          <w:sz w:val="22"/>
          <w:lang w:val="en-GB"/>
        </w:rPr>
        <w:t>sheet</w:t>
      </w:r>
      <w:r w:rsidR="00F9184E" w:rsidRPr="008F3C15">
        <w:rPr>
          <w:sz w:val="22"/>
          <w:lang w:val="en-GB"/>
        </w:rPr>
        <w:t>.</w:t>
      </w:r>
      <w:r w:rsidR="00C6059D" w:rsidRPr="008F3C15">
        <w:rPr>
          <w:sz w:val="22"/>
          <w:lang w:val="en-GB"/>
        </w:rPr>
        <w:t xml:space="preserve"> </w:t>
      </w:r>
      <w:r w:rsidRPr="008F3C15">
        <w:rPr>
          <w:b/>
          <w:bCs/>
          <w:sz w:val="22"/>
          <w:lang w:val="en-GB"/>
        </w:rPr>
        <w:t>c</w:t>
      </w:r>
      <w:r w:rsidRPr="008F3C15">
        <w:rPr>
          <w:sz w:val="22"/>
          <w:lang w:val="en-GB"/>
        </w:rPr>
        <w:t xml:space="preserve"> iso-concentration surface of Sr (20 at%</w:t>
      </w:r>
      <w:r w:rsidR="00894D6C" w:rsidRPr="008F3C15">
        <w:rPr>
          <w:sz w:val="22"/>
          <w:lang w:val="en-GB"/>
        </w:rPr>
        <w:t>, red</w:t>
      </w:r>
      <w:r w:rsidRPr="008F3C15">
        <w:rPr>
          <w:sz w:val="22"/>
          <w:lang w:val="en-GB"/>
        </w:rPr>
        <w:t>) shows a</w:t>
      </w:r>
      <w:r w:rsidR="00695E1C" w:rsidRPr="008F3C15">
        <w:rPr>
          <w:sz w:val="22"/>
          <w:lang w:val="en-GB"/>
        </w:rPr>
        <w:t>n</w:t>
      </w:r>
      <w:r w:rsidRPr="008F3C15">
        <w:rPr>
          <w:sz w:val="22"/>
          <w:lang w:val="en-GB"/>
        </w:rPr>
        <w:t xml:space="preserve"> </w:t>
      </w:r>
      <w:r w:rsidR="007002A6" w:rsidRPr="008F3C15">
        <w:rPr>
          <w:sz w:val="22"/>
          <w:lang w:val="en-GB"/>
        </w:rPr>
        <w:t xml:space="preserve">enriched </w:t>
      </w:r>
      <w:r w:rsidRPr="008F3C15">
        <w:rPr>
          <w:sz w:val="22"/>
          <w:lang w:val="en-GB"/>
        </w:rPr>
        <w:t xml:space="preserve">cortex in the outermost </w:t>
      </w:r>
      <w:r w:rsidR="00090682" w:rsidRPr="008F3C15">
        <w:rPr>
          <w:sz w:val="22"/>
          <w:lang w:val="en-GB"/>
        </w:rPr>
        <w:t xml:space="preserve">part </w:t>
      </w:r>
      <w:r w:rsidRPr="008F3C15">
        <w:rPr>
          <w:sz w:val="22"/>
          <w:lang w:val="en-GB"/>
        </w:rPr>
        <w:t>of the nacre tablet</w:t>
      </w:r>
      <w:r w:rsidR="00695E1C" w:rsidRPr="008F3C15">
        <w:rPr>
          <w:sz w:val="22"/>
          <w:lang w:val="en-GB"/>
        </w:rPr>
        <w:t xml:space="preserve"> adjacent to the organic sheet</w:t>
      </w:r>
      <w:r w:rsidRPr="008F3C15">
        <w:rPr>
          <w:sz w:val="22"/>
          <w:lang w:val="en-GB"/>
        </w:rPr>
        <w:t xml:space="preserve">. </w:t>
      </w:r>
      <w:r w:rsidRPr="008F3C15">
        <w:rPr>
          <w:b/>
          <w:bCs/>
          <w:sz w:val="22"/>
          <w:lang w:val="en-GB"/>
        </w:rPr>
        <w:t>d</w:t>
      </w:r>
      <w:r w:rsidRPr="008F3C15">
        <w:rPr>
          <w:sz w:val="22"/>
          <w:lang w:val="en-GB"/>
        </w:rPr>
        <w:t xml:space="preserve"> volume rendering showing the distribution of Sr across the volume of the reconstruction </w:t>
      </w:r>
      <w:r w:rsidR="00695E1C" w:rsidRPr="008F3C15">
        <w:rPr>
          <w:sz w:val="22"/>
          <w:lang w:val="en-GB"/>
        </w:rPr>
        <w:t>showing Sr-</w:t>
      </w:r>
      <w:r w:rsidRPr="008F3C15">
        <w:rPr>
          <w:sz w:val="22"/>
          <w:lang w:val="en-GB"/>
        </w:rPr>
        <w:t xml:space="preserve">enriched </w:t>
      </w:r>
      <w:r w:rsidR="00695E1C" w:rsidRPr="008F3C15">
        <w:rPr>
          <w:sz w:val="22"/>
          <w:lang w:val="en-GB"/>
        </w:rPr>
        <w:t xml:space="preserve">areas in </w:t>
      </w:r>
      <w:r w:rsidR="00546426" w:rsidRPr="008F3C15">
        <w:rPr>
          <w:sz w:val="22"/>
          <w:lang w:val="en-GB"/>
        </w:rPr>
        <w:t>warmer</w:t>
      </w:r>
      <w:r w:rsidR="00695E1C" w:rsidRPr="008F3C15">
        <w:rPr>
          <w:sz w:val="22"/>
          <w:lang w:val="en-GB"/>
        </w:rPr>
        <w:t xml:space="preserve"> colours</w:t>
      </w:r>
      <w:r w:rsidRPr="008F3C15">
        <w:rPr>
          <w:sz w:val="22"/>
          <w:lang w:val="en-GB"/>
        </w:rPr>
        <w:t xml:space="preserve">. </w:t>
      </w:r>
      <w:r w:rsidRPr="008F3C15">
        <w:rPr>
          <w:b/>
          <w:bCs/>
          <w:sz w:val="22"/>
          <w:lang w:val="en-GB"/>
        </w:rPr>
        <w:t>e</w:t>
      </w:r>
      <w:r w:rsidRPr="008F3C15">
        <w:rPr>
          <w:sz w:val="22"/>
          <w:lang w:val="en-GB"/>
        </w:rPr>
        <w:t xml:space="preserve"> the iso-concentration surface of Na (8 at%</w:t>
      </w:r>
      <w:r w:rsidR="00894D6C" w:rsidRPr="008F3C15">
        <w:rPr>
          <w:sz w:val="22"/>
          <w:lang w:val="en-GB"/>
        </w:rPr>
        <w:t>, green</w:t>
      </w:r>
      <w:r w:rsidRPr="008F3C15">
        <w:rPr>
          <w:sz w:val="22"/>
          <w:lang w:val="en-GB"/>
        </w:rPr>
        <w:t xml:space="preserve">). </w:t>
      </w:r>
      <w:r w:rsidRPr="008F3C15">
        <w:rPr>
          <w:b/>
          <w:bCs/>
          <w:sz w:val="22"/>
          <w:lang w:val="en-GB"/>
        </w:rPr>
        <w:t>f</w:t>
      </w:r>
      <w:r w:rsidRPr="008F3C15">
        <w:rPr>
          <w:sz w:val="22"/>
          <w:lang w:val="en-GB"/>
        </w:rPr>
        <w:t xml:space="preserve"> </w:t>
      </w:r>
      <w:r w:rsidR="00F2686B" w:rsidRPr="008F3C15">
        <w:rPr>
          <w:sz w:val="22"/>
          <w:lang w:val="en-GB"/>
        </w:rPr>
        <w:t>schematic representation of the APT reconstruction (red box) and its relative position within the tip as well as within the nacreous architecture more generally.</w:t>
      </w:r>
    </w:p>
    <w:p w14:paraId="6ABD661E" w14:textId="0999CCFE" w:rsidR="00885CD7" w:rsidRPr="008F3C15" w:rsidRDefault="00D71573" w:rsidP="005F11A4">
      <w:pPr>
        <w:rPr>
          <w:sz w:val="22"/>
          <w:lang w:val="en-GB"/>
        </w:rPr>
      </w:pPr>
      <w:r w:rsidRPr="008F3C15">
        <w:rPr>
          <w:noProof/>
          <w:lang w:val="en-GB"/>
        </w:rPr>
        <w:lastRenderedPageBreak/>
        <w:drawing>
          <wp:inline distT="0" distB="0" distL="0" distR="0" wp14:anchorId="68FD0B08" wp14:editId="7768DF6D">
            <wp:extent cx="6634886" cy="6009342"/>
            <wp:effectExtent l="0" t="0" r="0" b="0"/>
            <wp:docPr id="20" name="Picture 2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11283" b="3247"/>
                    <a:stretch/>
                  </pic:blipFill>
                  <pic:spPr bwMode="auto">
                    <a:xfrm>
                      <a:off x="0" y="0"/>
                      <a:ext cx="6640644" cy="6014557"/>
                    </a:xfrm>
                    <a:prstGeom prst="rect">
                      <a:avLst/>
                    </a:prstGeom>
                    <a:noFill/>
                    <a:ln>
                      <a:noFill/>
                    </a:ln>
                    <a:extLst>
                      <a:ext uri="{53640926-AAD7-44D8-BBD7-CCE9431645EC}">
                        <a14:shadowObscured xmlns:a14="http://schemas.microsoft.com/office/drawing/2010/main"/>
                      </a:ext>
                    </a:extLst>
                  </pic:spPr>
                </pic:pic>
              </a:graphicData>
            </a:graphic>
          </wp:inline>
        </w:drawing>
      </w:r>
    </w:p>
    <w:p w14:paraId="35078A63" w14:textId="509999D4" w:rsidR="00DE3673" w:rsidRPr="008F3C15" w:rsidRDefault="00BE76A4" w:rsidP="00DE3673">
      <w:pPr>
        <w:rPr>
          <w:sz w:val="22"/>
          <w:lang w:val="en-GB"/>
        </w:rPr>
      </w:pPr>
      <w:r w:rsidRPr="008F3C15">
        <w:rPr>
          <w:b/>
          <w:color w:val="000000" w:themeColor="text1"/>
          <w:sz w:val="22"/>
          <w:lang w:val="en-GB"/>
        </w:rPr>
        <w:t xml:space="preserve">Supplementary Fig. </w:t>
      </w:r>
      <w:r w:rsidR="004D3648" w:rsidRPr="008F3C15">
        <w:rPr>
          <w:b/>
          <w:color w:val="000000" w:themeColor="text1"/>
          <w:sz w:val="22"/>
          <w:lang w:val="en-GB"/>
        </w:rPr>
        <w:t>8</w:t>
      </w:r>
      <w:r w:rsidRPr="008F3C15">
        <w:rPr>
          <w:color w:val="000000" w:themeColor="text1"/>
          <w:sz w:val="22"/>
          <w:lang w:val="en-GB"/>
        </w:rPr>
        <w:t xml:space="preserve">. </w:t>
      </w:r>
      <w:r w:rsidR="00DE3673" w:rsidRPr="008F3C15">
        <w:rPr>
          <w:sz w:val="22"/>
          <w:lang w:val="en-GB"/>
        </w:rPr>
        <w:t>Qualitative compositional line profile across the nacre tablet and the mineral-organic interface associated with the interlamellar sheet (area 3 shown in Supplementary Fig. 7). The profile is divided by black dashed lines into three sections ‘tablet’, ‘cortex’ and ‘interlamellar sheet’. The tablet-cortex transition is defined by a significant increase in Sr, while the transition from cortex to interlamellar sheet is defined as the point of intersection between the Ca (grey) and the C (magenta) signals (see methods). The ‘tablet’ is characterized by high Ca concentrations indicative of CaCO</w:t>
      </w:r>
      <w:r w:rsidR="00DE3673" w:rsidRPr="008F3C15">
        <w:rPr>
          <w:sz w:val="22"/>
          <w:vertAlign w:val="subscript"/>
          <w:lang w:val="en-GB"/>
        </w:rPr>
        <w:t>3</w:t>
      </w:r>
      <w:r w:rsidR="00DE3673" w:rsidRPr="008F3C15">
        <w:rPr>
          <w:sz w:val="22"/>
          <w:lang w:val="en-GB"/>
        </w:rPr>
        <w:t>, while the ‘cortex’ area is defined by high Sr (red) at intermediate Ca and the ‘interlamellar sheet’ by high C and H (yellow) counts indicative of organics. The Sr-enriched cortex appears within 4 nm of the mineralized nacre tablet adjacent to the organic sheet. The abundance of Na (green) increases steadily from the tablet into the organic sheet. Shaded error envelopes are calculated based on counting statistics.</w:t>
      </w:r>
    </w:p>
    <w:p w14:paraId="5E3F7DD8" w14:textId="4E78DAA3" w:rsidR="00F45356" w:rsidRPr="008F3C15" w:rsidRDefault="00F45356">
      <w:pPr>
        <w:spacing w:line="259" w:lineRule="auto"/>
        <w:rPr>
          <w:sz w:val="22"/>
          <w:lang w:val="en-GB"/>
        </w:rPr>
      </w:pPr>
      <w:r w:rsidRPr="008F3C15">
        <w:rPr>
          <w:sz w:val="22"/>
          <w:lang w:val="en-GB"/>
        </w:rPr>
        <w:br w:type="page"/>
      </w:r>
    </w:p>
    <w:p w14:paraId="574335B4" w14:textId="77777777" w:rsidR="00F45356" w:rsidRPr="008F3C15" w:rsidRDefault="00F45356" w:rsidP="00F45356">
      <w:pPr>
        <w:pStyle w:val="Heading1"/>
        <w:rPr>
          <w:sz w:val="22"/>
          <w:lang w:val="en-GB"/>
        </w:rPr>
      </w:pPr>
      <w:r w:rsidRPr="008F3C15">
        <w:rPr>
          <w:noProof/>
          <w:lang w:val="en-GB"/>
        </w:rPr>
        <w:lastRenderedPageBreak/>
        <w:t>Photo-induced Force Microscopy mapping</w:t>
      </w:r>
      <w:r w:rsidRPr="008F3C15">
        <w:rPr>
          <w:sz w:val="22"/>
          <w:lang w:val="en-GB"/>
        </w:rPr>
        <w:t xml:space="preserve"> </w:t>
      </w:r>
    </w:p>
    <w:p w14:paraId="487021B7" w14:textId="52E7BE35" w:rsidR="00F45356" w:rsidRPr="008F3C15" w:rsidRDefault="007C7D2F" w:rsidP="00DE3673">
      <w:pPr>
        <w:spacing w:after="0"/>
        <w:rPr>
          <w:sz w:val="22"/>
          <w:lang w:val="en-GB"/>
        </w:rPr>
      </w:pPr>
      <w:r w:rsidRPr="008F3C15">
        <w:rPr>
          <w:noProof/>
          <w:lang w:val="en-GB"/>
        </w:rPr>
        <w:drawing>
          <wp:inline distT="0" distB="0" distL="0" distR="0" wp14:anchorId="1BCF77DA" wp14:editId="6DC17FF6">
            <wp:extent cx="6645910" cy="6857365"/>
            <wp:effectExtent l="0" t="0" r="2540" b="635"/>
            <wp:docPr id="21" name="Picture 2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645910" cy="6857365"/>
                    </a:xfrm>
                    <a:prstGeom prst="rect">
                      <a:avLst/>
                    </a:prstGeom>
                    <a:noFill/>
                    <a:ln>
                      <a:noFill/>
                    </a:ln>
                  </pic:spPr>
                </pic:pic>
              </a:graphicData>
            </a:graphic>
          </wp:inline>
        </w:drawing>
      </w:r>
    </w:p>
    <w:p w14:paraId="3D4B7285" w14:textId="2FAF3521" w:rsidR="00F45356" w:rsidRPr="008F3C15" w:rsidRDefault="00F45356" w:rsidP="00AE761F">
      <w:pPr>
        <w:rPr>
          <w:lang w:val="en-GB"/>
        </w:rPr>
      </w:pPr>
      <w:r w:rsidRPr="008F3C15">
        <w:rPr>
          <w:b/>
          <w:sz w:val="22"/>
          <w:lang w:val="en-GB"/>
        </w:rPr>
        <w:t xml:space="preserve">Supplementary Fig. </w:t>
      </w:r>
      <w:r w:rsidR="002C45CF" w:rsidRPr="008F3C15">
        <w:rPr>
          <w:b/>
          <w:sz w:val="22"/>
          <w:lang w:val="en-GB"/>
        </w:rPr>
        <w:t>9</w:t>
      </w:r>
      <w:r w:rsidRPr="008F3C15">
        <w:rPr>
          <w:sz w:val="22"/>
          <w:lang w:val="en-GB"/>
        </w:rPr>
        <w:t xml:space="preserve">. </w:t>
      </w:r>
      <w:r w:rsidR="00F837CF" w:rsidRPr="008F3C15">
        <w:rPr>
          <w:sz w:val="22"/>
          <w:lang w:val="en-GB"/>
        </w:rPr>
        <w:t>O</w:t>
      </w:r>
      <w:r w:rsidRPr="008F3C15">
        <w:rPr>
          <w:sz w:val="22"/>
          <w:lang w:val="en-GB"/>
        </w:rPr>
        <w:t xml:space="preserve">verview </w:t>
      </w:r>
      <w:r w:rsidR="00F837CF" w:rsidRPr="008F3C15">
        <w:rPr>
          <w:sz w:val="22"/>
          <w:lang w:val="en-GB"/>
        </w:rPr>
        <w:t xml:space="preserve">PiFM </w:t>
      </w:r>
      <w:r w:rsidR="00A078F8" w:rsidRPr="008F3C15">
        <w:rPr>
          <w:sz w:val="22"/>
          <w:lang w:val="en-GB"/>
        </w:rPr>
        <w:t xml:space="preserve">phase distribution </w:t>
      </w:r>
      <w:r w:rsidRPr="008F3C15">
        <w:rPr>
          <w:sz w:val="22"/>
          <w:lang w:val="en-GB"/>
        </w:rPr>
        <w:t xml:space="preserve">map. </w:t>
      </w:r>
      <w:r w:rsidRPr="008F3C15">
        <w:rPr>
          <w:b/>
          <w:bCs/>
          <w:sz w:val="22"/>
          <w:lang w:val="en-GB"/>
        </w:rPr>
        <w:t>a</w:t>
      </w:r>
      <w:r w:rsidRPr="008F3C15">
        <w:rPr>
          <w:sz w:val="22"/>
          <w:lang w:val="en-GB"/>
        </w:rPr>
        <w:t xml:space="preserve"> topographic AFM image </w:t>
      </w:r>
      <w:r w:rsidR="00F837CF" w:rsidRPr="008F3C15">
        <w:rPr>
          <w:sz w:val="22"/>
          <w:lang w:val="en-GB"/>
        </w:rPr>
        <w:t>with lighter and darker colour representing differences in topography (60</w:t>
      </w:r>
      <w:r w:rsidRPr="008F3C15">
        <w:rPr>
          <w:sz w:val="22"/>
          <w:lang w:val="en-GB"/>
        </w:rPr>
        <w:t xml:space="preserve"> nm</w:t>
      </w:r>
      <w:r w:rsidR="00F837CF" w:rsidRPr="008F3C15">
        <w:rPr>
          <w:sz w:val="22"/>
          <w:lang w:val="en-GB"/>
        </w:rPr>
        <w:t>)</w:t>
      </w:r>
      <w:r w:rsidRPr="008F3C15">
        <w:rPr>
          <w:sz w:val="22"/>
          <w:lang w:val="en-GB"/>
        </w:rPr>
        <w:t xml:space="preserve">. </w:t>
      </w:r>
      <w:r w:rsidRPr="008F3C15">
        <w:rPr>
          <w:b/>
          <w:bCs/>
          <w:sz w:val="22"/>
          <w:lang w:val="en-GB"/>
        </w:rPr>
        <w:t>b</w:t>
      </w:r>
      <w:r w:rsidRPr="008F3C15">
        <w:rPr>
          <w:sz w:val="22"/>
          <w:lang w:val="en-GB"/>
        </w:rPr>
        <w:t xml:space="preserve"> composite PiFM map showing aragonite (</w:t>
      </w:r>
      <w:r w:rsidR="006603C8" w:rsidRPr="008F3C15">
        <w:rPr>
          <w:sz w:val="22"/>
          <w:lang w:val="en-GB"/>
        </w:rPr>
        <w:t xml:space="preserve">mapped using the band at </w:t>
      </w:r>
      <w:r w:rsidRPr="008F3C15">
        <w:rPr>
          <w:sz w:val="22"/>
          <w:lang w:val="en-GB"/>
        </w:rPr>
        <w:t>1470 cm</w:t>
      </w:r>
      <w:r w:rsidRPr="008F3C15">
        <w:rPr>
          <w:sz w:val="22"/>
          <w:vertAlign w:val="superscript"/>
          <w:lang w:val="en-GB"/>
        </w:rPr>
        <w:t>-1</w:t>
      </w:r>
      <w:r w:rsidRPr="008F3C15">
        <w:rPr>
          <w:sz w:val="22"/>
          <w:lang w:val="en-GB"/>
        </w:rPr>
        <w:t xml:space="preserve">, green) and </w:t>
      </w:r>
      <w:r w:rsidR="00942F16" w:rsidRPr="008F3C15">
        <w:rPr>
          <w:sz w:val="22"/>
          <w:lang w:val="en-GB"/>
        </w:rPr>
        <w:t>Sr-rich aragonite</w:t>
      </w:r>
      <w:r w:rsidRPr="008F3C15">
        <w:rPr>
          <w:sz w:val="22"/>
          <w:lang w:val="en-GB"/>
        </w:rPr>
        <w:t xml:space="preserve"> (</w:t>
      </w:r>
      <w:r w:rsidR="006603C8" w:rsidRPr="008F3C15">
        <w:rPr>
          <w:sz w:val="22"/>
          <w:lang w:val="en-GB"/>
        </w:rPr>
        <w:t xml:space="preserve">mapped using the shoulder at </w:t>
      </w:r>
      <w:r w:rsidRPr="008F3C15">
        <w:rPr>
          <w:sz w:val="22"/>
          <w:lang w:val="en-GB"/>
        </w:rPr>
        <w:t>1444 cm</w:t>
      </w:r>
      <w:r w:rsidRPr="008F3C15">
        <w:rPr>
          <w:sz w:val="22"/>
          <w:vertAlign w:val="superscript"/>
          <w:lang w:val="en-GB"/>
        </w:rPr>
        <w:t>-1</w:t>
      </w:r>
      <w:r w:rsidRPr="008F3C15">
        <w:rPr>
          <w:sz w:val="22"/>
          <w:lang w:val="en-GB"/>
        </w:rPr>
        <w:t xml:space="preserve">, red). The map was set up to cover the area showing the second Sr-labelled shell layer, which is clearly visible as a red band in the composite map (between </w:t>
      </w:r>
      <w:r w:rsidR="006603C8" w:rsidRPr="008F3C15">
        <w:rPr>
          <w:sz w:val="22"/>
          <w:lang w:val="en-GB"/>
        </w:rPr>
        <w:t xml:space="preserve">the </w:t>
      </w:r>
      <w:r w:rsidRPr="008F3C15">
        <w:rPr>
          <w:sz w:val="22"/>
          <w:lang w:val="en-GB"/>
        </w:rPr>
        <w:t xml:space="preserve">two dashed lines). </w:t>
      </w:r>
      <w:r w:rsidRPr="008F3C15">
        <w:rPr>
          <w:b/>
          <w:bCs/>
          <w:sz w:val="22"/>
          <w:lang w:val="en-GB"/>
        </w:rPr>
        <w:t>c</w:t>
      </w:r>
      <w:r w:rsidRPr="008F3C15">
        <w:rPr>
          <w:sz w:val="22"/>
          <w:lang w:val="en-GB"/>
        </w:rPr>
        <w:t xml:space="preserve"> full spectra obtained from hyperspectral IR (hyPIR) mapping. Spectra are numbered with location indicated in the composite map as white crosses. The bands related to the aragonite and </w:t>
      </w:r>
      <w:r w:rsidR="00942F16" w:rsidRPr="008F3C15">
        <w:rPr>
          <w:sz w:val="22"/>
          <w:lang w:val="en-GB"/>
        </w:rPr>
        <w:t>Sr-rich aragonite</w:t>
      </w:r>
      <w:r w:rsidRPr="008F3C15">
        <w:rPr>
          <w:sz w:val="22"/>
          <w:lang w:val="en-GB"/>
        </w:rPr>
        <w:t xml:space="preserve"> main peaks at 1470 and 1444 cm</w:t>
      </w:r>
      <w:r w:rsidRPr="008F3C15">
        <w:rPr>
          <w:sz w:val="22"/>
          <w:vertAlign w:val="superscript"/>
          <w:lang w:val="en-GB"/>
        </w:rPr>
        <w:t>-1</w:t>
      </w:r>
      <w:r w:rsidRPr="008F3C15">
        <w:rPr>
          <w:sz w:val="22"/>
          <w:lang w:val="en-GB"/>
        </w:rPr>
        <w:t xml:space="preserve"> are clearly visible. The small, sharp bands at 1262 and 854 cm</w:t>
      </w:r>
      <w:r w:rsidRPr="008F3C15">
        <w:rPr>
          <w:sz w:val="22"/>
          <w:vertAlign w:val="superscript"/>
          <w:lang w:val="en-GB"/>
        </w:rPr>
        <w:t>-1</w:t>
      </w:r>
      <w:r w:rsidRPr="008F3C15">
        <w:rPr>
          <w:sz w:val="22"/>
          <w:lang w:val="en-GB"/>
        </w:rPr>
        <w:t xml:space="preserve"> are associated with aragonite, while the remaining broad, peaks at 1262, 1101 cm</w:t>
      </w:r>
      <w:r w:rsidRPr="008F3C15">
        <w:rPr>
          <w:sz w:val="22"/>
          <w:vertAlign w:val="superscript"/>
          <w:lang w:val="en-GB"/>
        </w:rPr>
        <w:t>-1</w:t>
      </w:r>
      <w:r w:rsidRPr="008F3C15">
        <w:rPr>
          <w:sz w:val="22"/>
          <w:lang w:val="en-GB"/>
        </w:rPr>
        <w:t>, 1024 cm</w:t>
      </w:r>
      <w:r w:rsidRPr="008F3C15">
        <w:rPr>
          <w:sz w:val="22"/>
          <w:vertAlign w:val="superscript"/>
          <w:lang w:val="en-GB"/>
        </w:rPr>
        <w:t>-1</w:t>
      </w:r>
      <w:r w:rsidRPr="008F3C15">
        <w:rPr>
          <w:sz w:val="22"/>
          <w:lang w:val="en-GB"/>
        </w:rPr>
        <w:t xml:space="preserve"> and 809 cm</w:t>
      </w:r>
      <w:r w:rsidRPr="008F3C15">
        <w:rPr>
          <w:sz w:val="22"/>
          <w:vertAlign w:val="superscript"/>
          <w:lang w:val="en-GB"/>
        </w:rPr>
        <w:t>-1</w:t>
      </w:r>
      <w:r w:rsidRPr="008F3C15">
        <w:rPr>
          <w:sz w:val="22"/>
          <w:lang w:val="en-GB"/>
        </w:rPr>
        <w:t xml:space="preserve"> are associated with organic phases. </w:t>
      </w:r>
      <w:r w:rsidR="00537691" w:rsidRPr="008F3C15">
        <w:rPr>
          <w:sz w:val="22"/>
          <w:lang w:val="en-GB"/>
        </w:rPr>
        <w:t>See method</w:t>
      </w:r>
      <w:r w:rsidR="00D11285" w:rsidRPr="008F3C15">
        <w:rPr>
          <w:sz w:val="22"/>
          <w:lang w:val="en-GB"/>
        </w:rPr>
        <w:t xml:space="preserve">s </w:t>
      </w:r>
      <w:r w:rsidR="00537691" w:rsidRPr="008F3C15">
        <w:rPr>
          <w:sz w:val="22"/>
          <w:lang w:val="en-GB"/>
        </w:rPr>
        <w:t>for details</w:t>
      </w:r>
      <w:r w:rsidR="006603C8" w:rsidRPr="008F3C15">
        <w:rPr>
          <w:sz w:val="22"/>
          <w:lang w:val="en-GB"/>
        </w:rPr>
        <w:t xml:space="preserve"> and peak </w:t>
      </w:r>
      <w:r w:rsidR="00A078F8" w:rsidRPr="008F3C15">
        <w:rPr>
          <w:sz w:val="22"/>
          <w:lang w:val="en-GB"/>
        </w:rPr>
        <w:t>assignment</w:t>
      </w:r>
      <w:r w:rsidR="00537691" w:rsidRPr="008F3C15">
        <w:rPr>
          <w:sz w:val="22"/>
          <w:lang w:val="en-GB"/>
        </w:rPr>
        <w:t xml:space="preserve">. </w:t>
      </w:r>
      <w:r w:rsidRPr="008F3C15">
        <w:rPr>
          <w:sz w:val="22"/>
          <w:lang w:val="en-GB"/>
        </w:rPr>
        <w:t xml:space="preserve">Scale bar is 5 </w:t>
      </w:r>
      <w:r w:rsidRPr="008F3C15">
        <w:rPr>
          <w:rFonts w:cs="Times New Roman"/>
          <w:sz w:val="22"/>
          <w:lang w:val="en-GB"/>
        </w:rPr>
        <w:t>µ</w:t>
      </w:r>
      <w:r w:rsidRPr="008F3C15">
        <w:rPr>
          <w:sz w:val="22"/>
          <w:lang w:val="en-GB"/>
        </w:rPr>
        <w:t>m (a and b).</w:t>
      </w:r>
    </w:p>
    <w:p w14:paraId="34F4412E" w14:textId="33D353E5" w:rsidR="008804C3" w:rsidRPr="008F3C15" w:rsidRDefault="008804C3" w:rsidP="002E062D">
      <w:pPr>
        <w:pStyle w:val="CitaviBibliographyEntry"/>
        <w:rPr>
          <w:lang w:val="en-GB"/>
        </w:rPr>
      </w:pPr>
    </w:p>
    <w:sectPr w:rsidR="008804C3" w:rsidRPr="008F3C15" w:rsidSect="00941D44">
      <w:footerReference w:type="default" r:id="rId17"/>
      <w:pgSz w:w="11906" w:h="16838"/>
      <w:pgMar w:top="720" w:right="720" w:bottom="230" w:left="72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6D9C2" w14:textId="77777777" w:rsidR="00C7027C" w:rsidRDefault="00C7027C" w:rsidP="00E57DF5">
      <w:pPr>
        <w:spacing w:after="0"/>
      </w:pPr>
      <w:r>
        <w:separator/>
      </w:r>
    </w:p>
  </w:endnote>
  <w:endnote w:type="continuationSeparator" w:id="0">
    <w:p w14:paraId="5E3D3537" w14:textId="77777777" w:rsidR="00C7027C" w:rsidRDefault="00C7027C" w:rsidP="00E57DF5">
      <w:pPr>
        <w:spacing w:after="0"/>
      </w:pPr>
      <w:r>
        <w:continuationSeparator/>
      </w:r>
    </w:p>
  </w:endnote>
  <w:endnote w:type="continuationNotice" w:id="1">
    <w:p w14:paraId="50B0B0F2" w14:textId="77777777" w:rsidR="00C7027C" w:rsidRDefault="00C7027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5457236"/>
      <w:docPartObj>
        <w:docPartGallery w:val="Page Numbers (Bottom of Page)"/>
        <w:docPartUnique/>
      </w:docPartObj>
    </w:sdtPr>
    <w:sdtEndPr>
      <w:rPr>
        <w:noProof/>
      </w:rPr>
    </w:sdtEndPr>
    <w:sdtContent>
      <w:p w14:paraId="1858B941" w14:textId="18CC8487" w:rsidR="002A2D13" w:rsidRDefault="002A2D13">
        <w:pPr>
          <w:pStyle w:val="Footer"/>
          <w:jc w:val="right"/>
        </w:pPr>
        <w:r>
          <w:fldChar w:fldCharType="begin"/>
        </w:r>
        <w:r>
          <w:instrText xml:space="preserve"> PAGE   \* MERGEFORMAT </w:instrText>
        </w:r>
        <w:r>
          <w:fldChar w:fldCharType="separate"/>
        </w:r>
        <w:r w:rsidR="00BD4D79">
          <w:rPr>
            <w:noProof/>
          </w:rPr>
          <w:t>11</w:t>
        </w:r>
        <w:r>
          <w:rPr>
            <w:noProof/>
          </w:rPr>
          <w:fldChar w:fldCharType="end"/>
        </w:r>
      </w:p>
    </w:sdtContent>
  </w:sdt>
  <w:p w14:paraId="0C30E1A4" w14:textId="5ACB9F98" w:rsidR="00E57DF5" w:rsidRPr="002A2D13" w:rsidRDefault="002A2D13">
    <w:pPr>
      <w:pStyle w:val="Footer"/>
      <w:rPr>
        <w:szCs w:val="24"/>
      </w:rPr>
    </w:pPr>
    <w:r w:rsidRPr="002A2D13">
      <w:rPr>
        <w:szCs w:val="24"/>
      </w:rPr>
      <w:t>Otter et al.</w:t>
    </w:r>
    <w:r w:rsidR="00D639E0">
      <w:rPr>
        <w:szCs w:val="24"/>
      </w:rPr>
      <w:t xml:space="preserve"> Supplementary material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C06FB" w14:textId="77777777" w:rsidR="00C7027C" w:rsidRDefault="00C7027C" w:rsidP="00E57DF5">
      <w:pPr>
        <w:spacing w:after="0"/>
      </w:pPr>
      <w:r>
        <w:separator/>
      </w:r>
    </w:p>
  </w:footnote>
  <w:footnote w:type="continuationSeparator" w:id="0">
    <w:p w14:paraId="7D7C5109" w14:textId="77777777" w:rsidR="00C7027C" w:rsidRDefault="00C7027C" w:rsidP="00E57DF5">
      <w:pPr>
        <w:spacing w:after="0"/>
      </w:pPr>
      <w:r>
        <w:continuationSeparator/>
      </w:r>
    </w:p>
  </w:footnote>
  <w:footnote w:type="continuationNotice" w:id="1">
    <w:p w14:paraId="4D2D8AB4" w14:textId="77777777" w:rsidR="00C7027C" w:rsidRDefault="00C7027C">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10FAA"/>
    <w:multiLevelType w:val="hybridMultilevel"/>
    <w:tmpl w:val="9744A284"/>
    <w:lvl w:ilvl="0" w:tplc="7D36E2A4">
      <w:numFmt w:val="bullet"/>
      <w:lvlText w:val="-"/>
      <w:lvlJc w:val="left"/>
      <w:pPr>
        <w:ind w:left="720" w:hanging="360"/>
      </w:pPr>
      <w:rPr>
        <w:rFonts w:ascii="Times New Roman" w:eastAsiaTheme="minorHAnsi" w:hAnsi="Times New Roman" w:cs="Times New Roman" w:hint="default"/>
        <w:color w:val="auto"/>
      </w:rPr>
    </w:lvl>
    <w:lvl w:ilvl="1" w:tplc="1BDE8C34">
      <w:start w:val="1"/>
      <w:numFmt w:val="bullet"/>
      <w:lvlText w:val="o"/>
      <w:lvlJc w:val="left"/>
      <w:pPr>
        <w:ind w:left="1440" w:hanging="360"/>
      </w:pPr>
      <w:rPr>
        <w:rFonts w:ascii="Courier New" w:hAnsi="Courier New" w:cs="Courier New" w:hint="default"/>
        <w:color w:val="auto"/>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25C2803"/>
    <w:multiLevelType w:val="hybridMultilevel"/>
    <w:tmpl w:val="D018CA14"/>
    <w:lvl w:ilvl="0" w:tplc="F4A60C72">
      <w:start w:val="12"/>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4A92A3C"/>
    <w:multiLevelType w:val="hybridMultilevel"/>
    <w:tmpl w:val="69209006"/>
    <w:lvl w:ilvl="0" w:tplc="9894D9A0">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A0417CC"/>
    <w:multiLevelType w:val="hybridMultilevel"/>
    <w:tmpl w:val="5B82EEE0"/>
    <w:lvl w:ilvl="0" w:tplc="19D0AF8E">
      <w:numFmt w:val="bullet"/>
      <w:lvlText w:val="-"/>
      <w:lvlJc w:val="left"/>
      <w:pPr>
        <w:ind w:left="720" w:hanging="360"/>
      </w:pPr>
      <w:rPr>
        <w:rFonts w:ascii="Times New Roman" w:eastAsiaTheme="minorHAnsi" w:hAnsi="Times New Roman" w:cs="Times New Roman"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84915462">
    <w:abstractNumId w:val="3"/>
  </w:num>
  <w:num w:numId="2" w16cid:durableId="393701599">
    <w:abstractNumId w:val="2"/>
  </w:num>
  <w:num w:numId="3" w16cid:durableId="1942835555">
    <w:abstractNumId w:val="1"/>
  </w:num>
  <w:num w:numId="4" w16cid:durableId="1949580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965"/>
    <w:rsid w:val="000047F4"/>
    <w:rsid w:val="00005774"/>
    <w:rsid w:val="0001217A"/>
    <w:rsid w:val="0001398F"/>
    <w:rsid w:val="00013DD7"/>
    <w:rsid w:val="0001682C"/>
    <w:rsid w:val="0002275A"/>
    <w:rsid w:val="00027472"/>
    <w:rsid w:val="0003220A"/>
    <w:rsid w:val="00037095"/>
    <w:rsid w:val="00041379"/>
    <w:rsid w:val="00051BFC"/>
    <w:rsid w:val="00052DAE"/>
    <w:rsid w:val="00053590"/>
    <w:rsid w:val="00057FF6"/>
    <w:rsid w:val="00062006"/>
    <w:rsid w:val="00072291"/>
    <w:rsid w:val="00072719"/>
    <w:rsid w:val="00082721"/>
    <w:rsid w:val="000830DD"/>
    <w:rsid w:val="00084291"/>
    <w:rsid w:val="00086EA8"/>
    <w:rsid w:val="00090682"/>
    <w:rsid w:val="00091620"/>
    <w:rsid w:val="00097AF5"/>
    <w:rsid w:val="000A215C"/>
    <w:rsid w:val="000A44B7"/>
    <w:rsid w:val="000A48A1"/>
    <w:rsid w:val="000A5C41"/>
    <w:rsid w:val="000A5DEF"/>
    <w:rsid w:val="000A7264"/>
    <w:rsid w:val="000B0CEE"/>
    <w:rsid w:val="000B6D00"/>
    <w:rsid w:val="000B7590"/>
    <w:rsid w:val="000C67CE"/>
    <w:rsid w:val="000D01CA"/>
    <w:rsid w:val="000D2CAC"/>
    <w:rsid w:val="000D5B13"/>
    <w:rsid w:val="000D614D"/>
    <w:rsid w:val="000E1C9C"/>
    <w:rsid w:val="000E35FD"/>
    <w:rsid w:val="000E7A86"/>
    <w:rsid w:val="000F11AA"/>
    <w:rsid w:val="000F141D"/>
    <w:rsid w:val="001026A3"/>
    <w:rsid w:val="00106EE4"/>
    <w:rsid w:val="00114256"/>
    <w:rsid w:val="001177BC"/>
    <w:rsid w:val="00120A20"/>
    <w:rsid w:val="00121DF8"/>
    <w:rsid w:val="00123E91"/>
    <w:rsid w:val="00127AEC"/>
    <w:rsid w:val="00133582"/>
    <w:rsid w:val="001358BA"/>
    <w:rsid w:val="001409F1"/>
    <w:rsid w:val="00140F32"/>
    <w:rsid w:val="001414AA"/>
    <w:rsid w:val="00141FBC"/>
    <w:rsid w:val="0014315A"/>
    <w:rsid w:val="00147EAA"/>
    <w:rsid w:val="001519A5"/>
    <w:rsid w:val="00151CB5"/>
    <w:rsid w:val="001531FE"/>
    <w:rsid w:val="00155B56"/>
    <w:rsid w:val="00156A26"/>
    <w:rsid w:val="00157117"/>
    <w:rsid w:val="001574D1"/>
    <w:rsid w:val="0016060A"/>
    <w:rsid w:val="0016323B"/>
    <w:rsid w:val="00167B8E"/>
    <w:rsid w:val="00173061"/>
    <w:rsid w:val="00182017"/>
    <w:rsid w:val="001845FF"/>
    <w:rsid w:val="001A28B8"/>
    <w:rsid w:val="001A6B5B"/>
    <w:rsid w:val="001A78D0"/>
    <w:rsid w:val="001B2EA0"/>
    <w:rsid w:val="001B2FED"/>
    <w:rsid w:val="001B4428"/>
    <w:rsid w:val="001C30D8"/>
    <w:rsid w:val="001C606F"/>
    <w:rsid w:val="001C65C8"/>
    <w:rsid w:val="001D0034"/>
    <w:rsid w:val="001D5CE5"/>
    <w:rsid w:val="001D7AF0"/>
    <w:rsid w:val="001E06B4"/>
    <w:rsid w:val="001E3711"/>
    <w:rsid w:val="001E497B"/>
    <w:rsid w:val="001F1E08"/>
    <w:rsid w:val="001F265C"/>
    <w:rsid w:val="00201E76"/>
    <w:rsid w:val="00205675"/>
    <w:rsid w:val="0020740B"/>
    <w:rsid w:val="0021291E"/>
    <w:rsid w:val="002137E3"/>
    <w:rsid w:val="00216AC8"/>
    <w:rsid w:val="002203B4"/>
    <w:rsid w:val="00221A6F"/>
    <w:rsid w:val="002231B9"/>
    <w:rsid w:val="00225432"/>
    <w:rsid w:val="00225585"/>
    <w:rsid w:val="002305CC"/>
    <w:rsid w:val="00233EEC"/>
    <w:rsid w:val="00237C21"/>
    <w:rsid w:val="00240BFA"/>
    <w:rsid w:val="00241C9D"/>
    <w:rsid w:val="0024344C"/>
    <w:rsid w:val="00243A9F"/>
    <w:rsid w:val="0024591A"/>
    <w:rsid w:val="0024696C"/>
    <w:rsid w:val="002474EA"/>
    <w:rsid w:val="002529D2"/>
    <w:rsid w:val="00256322"/>
    <w:rsid w:val="00260A3E"/>
    <w:rsid w:val="00260C0F"/>
    <w:rsid w:val="00262E9A"/>
    <w:rsid w:val="00264AB7"/>
    <w:rsid w:val="00265D34"/>
    <w:rsid w:val="0027079F"/>
    <w:rsid w:val="0027132D"/>
    <w:rsid w:val="002755C6"/>
    <w:rsid w:val="00277EA6"/>
    <w:rsid w:val="002828D8"/>
    <w:rsid w:val="00285762"/>
    <w:rsid w:val="0028587A"/>
    <w:rsid w:val="00287ECE"/>
    <w:rsid w:val="00297DAE"/>
    <w:rsid w:val="002A2D13"/>
    <w:rsid w:val="002A37ED"/>
    <w:rsid w:val="002A51DE"/>
    <w:rsid w:val="002A7BE4"/>
    <w:rsid w:val="002B093F"/>
    <w:rsid w:val="002B1A0E"/>
    <w:rsid w:val="002B46E2"/>
    <w:rsid w:val="002B7E4B"/>
    <w:rsid w:val="002C1432"/>
    <w:rsid w:val="002C1B9B"/>
    <w:rsid w:val="002C2036"/>
    <w:rsid w:val="002C3D74"/>
    <w:rsid w:val="002C45CF"/>
    <w:rsid w:val="002C657F"/>
    <w:rsid w:val="002D4B98"/>
    <w:rsid w:val="002D651C"/>
    <w:rsid w:val="002E062D"/>
    <w:rsid w:val="002E27B5"/>
    <w:rsid w:val="002E4AF3"/>
    <w:rsid w:val="002F3086"/>
    <w:rsid w:val="0030026E"/>
    <w:rsid w:val="003003E6"/>
    <w:rsid w:val="0030317E"/>
    <w:rsid w:val="003034B9"/>
    <w:rsid w:val="0030447E"/>
    <w:rsid w:val="003059E4"/>
    <w:rsid w:val="0030662A"/>
    <w:rsid w:val="0030670C"/>
    <w:rsid w:val="003072BF"/>
    <w:rsid w:val="0031010B"/>
    <w:rsid w:val="00310E0A"/>
    <w:rsid w:val="003113F7"/>
    <w:rsid w:val="00311925"/>
    <w:rsid w:val="00317D32"/>
    <w:rsid w:val="003314EE"/>
    <w:rsid w:val="00334407"/>
    <w:rsid w:val="00334C98"/>
    <w:rsid w:val="0033664B"/>
    <w:rsid w:val="00336E1E"/>
    <w:rsid w:val="00336FB4"/>
    <w:rsid w:val="00337D09"/>
    <w:rsid w:val="003441DC"/>
    <w:rsid w:val="003458AA"/>
    <w:rsid w:val="00346742"/>
    <w:rsid w:val="0034796F"/>
    <w:rsid w:val="00356C16"/>
    <w:rsid w:val="00361B9E"/>
    <w:rsid w:val="00361C49"/>
    <w:rsid w:val="003669D2"/>
    <w:rsid w:val="00366F71"/>
    <w:rsid w:val="00372904"/>
    <w:rsid w:val="00390DCB"/>
    <w:rsid w:val="003934B4"/>
    <w:rsid w:val="0039477A"/>
    <w:rsid w:val="0039614E"/>
    <w:rsid w:val="003A0BEC"/>
    <w:rsid w:val="003A1FE0"/>
    <w:rsid w:val="003B018B"/>
    <w:rsid w:val="003C1A71"/>
    <w:rsid w:val="003C3791"/>
    <w:rsid w:val="003C684C"/>
    <w:rsid w:val="003C7C07"/>
    <w:rsid w:val="003D0A7C"/>
    <w:rsid w:val="003D1E6A"/>
    <w:rsid w:val="003D4CB1"/>
    <w:rsid w:val="003D5FDE"/>
    <w:rsid w:val="003E1152"/>
    <w:rsid w:val="003E2743"/>
    <w:rsid w:val="003E5073"/>
    <w:rsid w:val="003E5ADE"/>
    <w:rsid w:val="003F284E"/>
    <w:rsid w:val="003F29D8"/>
    <w:rsid w:val="00400DF2"/>
    <w:rsid w:val="00402569"/>
    <w:rsid w:val="00407E45"/>
    <w:rsid w:val="00412B84"/>
    <w:rsid w:val="0041375B"/>
    <w:rsid w:val="00413F4A"/>
    <w:rsid w:val="00415CEE"/>
    <w:rsid w:val="004161CF"/>
    <w:rsid w:val="004234A8"/>
    <w:rsid w:val="00426E24"/>
    <w:rsid w:val="00427816"/>
    <w:rsid w:val="0043079F"/>
    <w:rsid w:val="00431841"/>
    <w:rsid w:val="004335A0"/>
    <w:rsid w:val="0045373D"/>
    <w:rsid w:val="0046134E"/>
    <w:rsid w:val="00463BF5"/>
    <w:rsid w:val="00463E28"/>
    <w:rsid w:val="00465C86"/>
    <w:rsid w:val="004661E8"/>
    <w:rsid w:val="00470A09"/>
    <w:rsid w:val="00473267"/>
    <w:rsid w:val="00474D5B"/>
    <w:rsid w:val="00484A83"/>
    <w:rsid w:val="00486E3A"/>
    <w:rsid w:val="0048738F"/>
    <w:rsid w:val="00496915"/>
    <w:rsid w:val="004A0965"/>
    <w:rsid w:val="004A5B84"/>
    <w:rsid w:val="004B62E7"/>
    <w:rsid w:val="004C3B90"/>
    <w:rsid w:val="004C7ADF"/>
    <w:rsid w:val="004D3648"/>
    <w:rsid w:val="004D56EB"/>
    <w:rsid w:val="004D5776"/>
    <w:rsid w:val="004E1649"/>
    <w:rsid w:val="004E3BF7"/>
    <w:rsid w:val="004E567C"/>
    <w:rsid w:val="004E5CE6"/>
    <w:rsid w:val="004E5F52"/>
    <w:rsid w:val="004E66CC"/>
    <w:rsid w:val="004F3034"/>
    <w:rsid w:val="00501665"/>
    <w:rsid w:val="005023DE"/>
    <w:rsid w:val="00503A27"/>
    <w:rsid w:val="00512F0C"/>
    <w:rsid w:val="00514D0F"/>
    <w:rsid w:val="00517C01"/>
    <w:rsid w:val="00520D35"/>
    <w:rsid w:val="00526755"/>
    <w:rsid w:val="00527AC4"/>
    <w:rsid w:val="00530438"/>
    <w:rsid w:val="00530D5D"/>
    <w:rsid w:val="00533C4E"/>
    <w:rsid w:val="00534345"/>
    <w:rsid w:val="00537691"/>
    <w:rsid w:val="005420E8"/>
    <w:rsid w:val="0054550A"/>
    <w:rsid w:val="005459F1"/>
    <w:rsid w:val="00546426"/>
    <w:rsid w:val="005500A1"/>
    <w:rsid w:val="005510EA"/>
    <w:rsid w:val="005618DC"/>
    <w:rsid w:val="0056413A"/>
    <w:rsid w:val="00564866"/>
    <w:rsid w:val="005656B1"/>
    <w:rsid w:val="00565803"/>
    <w:rsid w:val="00567DAF"/>
    <w:rsid w:val="005713ED"/>
    <w:rsid w:val="00571454"/>
    <w:rsid w:val="00572AE3"/>
    <w:rsid w:val="00581B48"/>
    <w:rsid w:val="005863C5"/>
    <w:rsid w:val="00587E96"/>
    <w:rsid w:val="005936C5"/>
    <w:rsid w:val="0059516D"/>
    <w:rsid w:val="005A1423"/>
    <w:rsid w:val="005A40C0"/>
    <w:rsid w:val="005B5C40"/>
    <w:rsid w:val="005C3AE6"/>
    <w:rsid w:val="005E48F1"/>
    <w:rsid w:val="005E543D"/>
    <w:rsid w:val="005E6048"/>
    <w:rsid w:val="005E731E"/>
    <w:rsid w:val="005F11A4"/>
    <w:rsid w:val="005F141B"/>
    <w:rsid w:val="005F1ED6"/>
    <w:rsid w:val="005F2851"/>
    <w:rsid w:val="005F54E8"/>
    <w:rsid w:val="005F5E07"/>
    <w:rsid w:val="006030A8"/>
    <w:rsid w:val="00607193"/>
    <w:rsid w:val="006115DA"/>
    <w:rsid w:val="00621B2F"/>
    <w:rsid w:val="00621F1B"/>
    <w:rsid w:val="00623A32"/>
    <w:rsid w:val="0062534F"/>
    <w:rsid w:val="00630019"/>
    <w:rsid w:val="006317A3"/>
    <w:rsid w:val="0063294B"/>
    <w:rsid w:val="00635237"/>
    <w:rsid w:val="00645B8D"/>
    <w:rsid w:val="00647908"/>
    <w:rsid w:val="00651F1B"/>
    <w:rsid w:val="00657A4F"/>
    <w:rsid w:val="006603C8"/>
    <w:rsid w:val="0066217C"/>
    <w:rsid w:val="006641AA"/>
    <w:rsid w:val="00664BF5"/>
    <w:rsid w:val="00665DF2"/>
    <w:rsid w:val="00666359"/>
    <w:rsid w:val="0067553F"/>
    <w:rsid w:val="006772B0"/>
    <w:rsid w:val="00677524"/>
    <w:rsid w:val="00680E72"/>
    <w:rsid w:val="00682AAF"/>
    <w:rsid w:val="00682BA5"/>
    <w:rsid w:val="006845CE"/>
    <w:rsid w:val="00685605"/>
    <w:rsid w:val="006870E9"/>
    <w:rsid w:val="00694DD1"/>
    <w:rsid w:val="00695E1C"/>
    <w:rsid w:val="006A14BA"/>
    <w:rsid w:val="006A2DD1"/>
    <w:rsid w:val="006A4B59"/>
    <w:rsid w:val="006A66F1"/>
    <w:rsid w:val="006B000C"/>
    <w:rsid w:val="006B2129"/>
    <w:rsid w:val="006B63F3"/>
    <w:rsid w:val="006B720D"/>
    <w:rsid w:val="006C636D"/>
    <w:rsid w:val="006D4DF2"/>
    <w:rsid w:val="006D59C6"/>
    <w:rsid w:val="006E06A8"/>
    <w:rsid w:val="006E39E3"/>
    <w:rsid w:val="006E5779"/>
    <w:rsid w:val="006E5FA9"/>
    <w:rsid w:val="006F1C32"/>
    <w:rsid w:val="006F4BE4"/>
    <w:rsid w:val="006F5249"/>
    <w:rsid w:val="006F578D"/>
    <w:rsid w:val="006F5B9D"/>
    <w:rsid w:val="006F6701"/>
    <w:rsid w:val="006F787C"/>
    <w:rsid w:val="006F7D37"/>
    <w:rsid w:val="007002A6"/>
    <w:rsid w:val="00702E36"/>
    <w:rsid w:val="00706EF4"/>
    <w:rsid w:val="007164C4"/>
    <w:rsid w:val="00716599"/>
    <w:rsid w:val="007179B4"/>
    <w:rsid w:val="00721392"/>
    <w:rsid w:val="00721AA9"/>
    <w:rsid w:val="00722B0D"/>
    <w:rsid w:val="00722FB9"/>
    <w:rsid w:val="007251DE"/>
    <w:rsid w:val="007272F3"/>
    <w:rsid w:val="00727DC7"/>
    <w:rsid w:val="007321E7"/>
    <w:rsid w:val="00735F90"/>
    <w:rsid w:val="0073607A"/>
    <w:rsid w:val="0074118F"/>
    <w:rsid w:val="00746024"/>
    <w:rsid w:val="007508DB"/>
    <w:rsid w:val="007514CF"/>
    <w:rsid w:val="007534BF"/>
    <w:rsid w:val="00773047"/>
    <w:rsid w:val="0077639C"/>
    <w:rsid w:val="00777E4F"/>
    <w:rsid w:val="0078297F"/>
    <w:rsid w:val="00787266"/>
    <w:rsid w:val="00792714"/>
    <w:rsid w:val="007A3282"/>
    <w:rsid w:val="007A5C7D"/>
    <w:rsid w:val="007A67A3"/>
    <w:rsid w:val="007A6886"/>
    <w:rsid w:val="007B1441"/>
    <w:rsid w:val="007B147B"/>
    <w:rsid w:val="007B16C5"/>
    <w:rsid w:val="007B197C"/>
    <w:rsid w:val="007B1F29"/>
    <w:rsid w:val="007B2245"/>
    <w:rsid w:val="007B6CDD"/>
    <w:rsid w:val="007B78E4"/>
    <w:rsid w:val="007B7C62"/>
    <w:rsid w:val="007C2486"/>
    <w:rsid w:val="007C3787"/>
    <w:rsid w:val="007C3B22"/>
    <w:rsid w:val="007C6172"/>
    <w:rsid w:val="007C7286"/>
    <w:rsid w:val="007C7829"/>
    <w:rsid w:val="007C7D2F"/>
    <w:rsid w:val="007D1AC6"/>
    <w:rsid w:val="007D26E2"/>
    <w:rsid w:val="007D3A7B"/>
    <w:rsid w:val="007E0CFC"/>
    <w:rsid w:val="007E2E2B"/>
    <w:rsid w:val="007E4DED"/>
    <w:rsid w:val="007E5737"/>
    <w:rsid w:val="007E7972"/>
    <w:rsid w:val="007F458B"/>
    <w:rsid w:val="00803904"/>
    <w:rsid w:val="00804715"/>
    <w:rsid w:val="00807D88"/>
    <w:rsid w:val="0081098A"/>
    <w:rsid w:val="00813A45"/>
    <w:rsid w:val="00816225"/>
    <w:rsid w:val="0082278D"/>
    <w:rsid w:val="00830BDD"/>
    <w:rsid w:val="0083275D"/>
    <w:rsid w:val="00833870"/>
    <w:rsid w:val="00833D46"/>
    <w:rsid w:val="00833F11"/>
    <w:rsid w:val="00837825"/>
    <w:rsid w:val="00840583"/>
    <w:rsid w:val="00846110"/>
    <w:rsid w:val="008471FC"/>
    <w:rsid w:val="00855108"/>
    <w:rsid w:val="00860E00"/>
    <w:rsid w:val="008622D5"/>
    <w:rsid w:val="00866EA6"/>
    <w:rsid w:val="008705EC"/>
    <w:rsid w:val="00872F99"/>
    <w:rsid w:val="00874443"/>
    <w:rsid w:val="00874A44"/>
    <w:rsid w:val="00874D2E"/>
    <w:rsid w:val="00876B19"/>
    <w:rsid w:val="00877F13"/>
    <w:rsid w:val="008804C3"/>
    <w:rsid w:val="00880C85"/>
    <w:rsid w:val="00883069"/>
    <w:rsid w:val="00884352"/>
    <w:rsid w:val="00885CD7"/>
    <w:rsid w:val="00893832"/>
    <w:rsid w:val="00894D6C"/>
    <w:rsid w:val="008A0D93"/>
    <w:rsid w:val="008A0EB2"/>
    <w:rsid w:val="008A181B"/>
    <w:rsid w:val="008A1A71"/>
    <w:rsid w:val="008A1ED8"/>
    <w:rsid w:val="008A2CDB"/>
    <w:rsid w:val="008B1A40"/>
    <w:rsid w:val="008B46CC"/>
    <w:rsid w:val="008C0FE2"/>
    <w:rsid w:val="008C1738"/>
    <w:rsid w:val="008D5ADC"/>
    <w:rsid w:val="008D7534"/>
    <w:rsid w:val="008E5877"/>
    <w:rsid w:val="008E5B5F"/>
    <w:rsid w:val="008E7561"/>
    <w:rsid w:val="008F0432"/>
    <w:rsid w:val="008F38B5"/>
    <w:rsid w:val="008F3C15"/>
    <w:rsid w:val="008F7DF3"/>
    <w:rsid w:val="00901101"/>
    <w:rsid w:val="00904FEA"/>
    <w:rsid w:val="00906CBA"/>
    <w:rsid w:val="0091356C"/>
    <w:rsid w:val="00913DCC"/>
    <w:rsid w:val="00914585"/>
    <w:rsid w:val="00915CF9"/>
    <w:rsid w:val="00916C35"/>
    <w:rsid w:val="00917DA4"/>
    <w:rsid w:val="0092315B"/>
    <w:rsid w:val="00924B4B"/>
    <w:rsid w:val="00931108"/>
    <w:rsid w:val="00941D44"/>
    <w:rsid w:val="00942F16"/>
    <w:rsid w:val="00943A09"/>
    <w:rsid w:val="00952F25"/>
    <w:rsid w:val="00954D96"/>
    <w:rsid w:val="00956264"/>
    <w:rsid w:val="009601EF"/>
    <w:rsid w:val="00965EAB"/>
    <w:rsid w:val="00973DF1"/>
    <w:rsid w:val="00976BDB"/>
    <w:rsid w:val="009811B6"/>
    <w:rsid w:val="00985ED2"/>
    <w:rsid w:val="00990798"/>
    <w:rsid w:val="00993CD0"/>
    <w:rsid w:val="009952D8"/>
    <w:rsid w:val="00997F65"/>
    <w:rsid w:val="009A370C"/>
    <w:rsid w:val="009B4C0A"/>
    <w:rsid w:val="009B7FAF"/>
    <w:rsid w:val="009C1E8A"/>
    <w:rsid w:val="009C3BCC"/>
    <w:rsid w:val="009C5031"/>
    <w:rsid w:val="009C54E0"/>
    <w:rsid w:val="009C5D97"/>
    <w:rsid w:val="009C70FE"/>
    <w:rsid w:val="009D2B4F"/>
    <w:rsid w:val="009D40D8"/>
    <w:rsid w:val="009D6A9C"/>
    <w:rsid w:val="009E2DAF"/>
    <w:rsid w:val="009E447E"/>
    <w:rsid w:val="009E6AFE"/>
    <w:rsid w:val="009F0025"/>
    <w:rsid w:val="009F25C8"/>
    <w:rsid w:val="009F4ED1"/>
    <w:rsid w:val="009F5F9A"/>
    <w:rsid w:val="00A0294E"/>
    <w:rsid w:val="00A0407E"/>
    <w:rsid w:val="00A078F8"/>
    <w:rsid w:val="00A108BE"/>
    <w:rsid w:val="00A1132D"/>
    <w:rsid w:val="00A12A4A"/>
    <w:rsid w:val="00A12C0E"/>
    <w:rsid w:val="00A135EC"/>
    <w:rsid w:val="00A14C65"/>
    <w:rsid w:val="00A17F03"/>
    <w:rsid w:val="00A21365"/>
    <w:rsid w:val="00A2197C"/>
    <w:rsid w:val="00A21FED"/>
    <w:rsid w:val="00A24432"/>
    <w:rsid w:val="00A30C9A"/>
    <w:rsid w:val="00A31021"/>
    <w:rsid w:val="00A325B6"/>
    <w:rsid w:val="00A33947"/>
    <w:rsid w:val="00A3618A"/>
    <w:rsid w:val="00A37BB7"/>
    <w:rsid w:val="00A505C4"/>
    <w:rsid w:val="00A54CF7"/>
    <w:rsid w:val="00A557B6"/>
    <w:rsid w:val="00A57A17"/>
    <w:rsid w:val="00A57C53"/>
    <w:rsid w:val="00A61CBC"/>
    <w:rsid w:val="00A62E83"/>
    <w:rsid w:val="00A65A96"/>
    <w:rsid w:val="00A80EB4"/>
    <w:rsid w:val="00A87F1C"/>
    <w:rsid w:val="00A906A0"/>
    <w:rsid w:val="00A91D05"/>
    <w:rsid w:val="00A9266E"/>
    <w:rsid w:val="00A942BE"/>
    <w:rsid w:val="00A97FAB"/>
    <w:rsid w:val="00AA0D14"/>
    <w:rsid w:val="00AA23C1"/>
    <w:rsid w:val="00AA2D0F"/>
    <w:rsid w:val="00AA5278"/>
    <w:rsid w:val="00AA7B2A"/>
    <w:rsid w:val="00AA7F63"/>
    <w:rsid w:val="00AB5A1B"/>
    <w:rsid w:val="00AB6844"/>
    <w:rsid w:val="00AC5D1D"/>
    <w:rsid w:val="00AD001B"/>
    <w:rsid w:val="00AD0179"/>
    <w:rsid w:val="00AD3CED"/>
    <w:rsid w:val="00AE0F67"/>
    <w:rsid w:val="00AE32F6"/>
    <w:rsid w:val="00AE3575"/>
    <w:rsid w:val="00AE4DC1"/>
    <w:rsid w:val="00AE6E54"/>
    <w:rsid w:val="00AE761F"/>
    <w:rsid w:val="00AF14D9"/>
    <w:rsid w:val="00AF2D27"/>
    <w:rsid w:val="00B027EB"/>
    <w:rsid w:val="00B05AB3"/>
    <w:rsid w:val="00B145AB"/>
    <w:rsid w:val="00B17FA8"/>
    <w:rsid w:val="00B21CB4"/>
    <w:rsid w:val="00B22B97"/>
    <w:rsid w:val="00B24B41"/>
    <w:rsid w:val="00B2538D"/>
    <w:rsid w:val="00B271E2"/>
    <w:rsid w:val="00B27B47"/>
    <w:rsid w:val="00B323CE"/>
    <w:rsid w:val="00B33571"/>
    <w:rsid w:val="00B33E8E"/>
    <w:rsid w:val="00B46519"/>
    <w:rsid w:val="00B47855"/>
    <w:rsid w:val="00B52BFD"/>
    <w:rsid w:val="00B53F69"/>
    <w:rsid w:val="00B55E94"/>
    <w:rsid w:val="00B620A3"/>
    <w:rsid w:val="00B6330B"/>
    <w:rsid w:val="00B6498F"/>
    <w:rsid w:val="00B65D38"/>
    <w:rsid w:val="00B67468"/>
    <w:rsid w:val="00B70DF3"/>
    <w:rsid w:val="00B73FE1"/>
    <w:rsid w:val="00B7515F"/>
    <w:rsid w:val="00B77049"/>
    <w:rsid w:val="00B90A94"/>
    <w:rsid w:val="00B93C6D"/>
    <w:rsid w:val="00B978D1"/>
    <w:rsid w:val="00BA1237"/>
    <w:rsid w:val="00BA4C50"/>
    <w:rsid w:val="00BA5456"/>
    <w:rsid w:val="00BA6146"/>
    <w:rsid w:val="00BA6A4C"/>
    <w:rsid w:val="00BB1986"/>
    <w:rsid w:val="00BB5C78"/>
    <w:rsid w:val="00BC09B3"/>
    <w:rsid w:val="00BD2642"/>
    <w:rsid w:val="00BD4D79"/>
    <w:rsid w:val="00BD4FC8"/>
    <w:rsid w:val="00BD550A"/>
    <w:rsid w:val="00BD63D7"/>
    <w:rsid w:val="00BD708C"/>
    <w:rsid w:val="00BE026E"/>
    <w:rsid w:val="00BE119F"/>
    <w:rsid w:val="00BE7230"/>
    <w:rsid w:val="00BE76A4"/>
    <w:rsid w:val="00BF2013"/>
    <w:rsid w:val="00BF478B"/>
    <w:rsid w:val="00BF4D03"/>
    <w:rsid w:val="00BF7739"/>
    <w:rsid w:val="00C008E8"/>
    <w:rsid w:val="00C040DC"/>
    <w:rsid w:val="00C05D60"/>
    <w:rsid w:val="00C077E2"/>
    <w:rsid w:val="00C1007C"/>
    <w:rsid w:val="00C14518"/>
    <w:rsid w:val="00C14971"/>
    <w:rsid w:val="00C16503"/>
    <w:rsid w:val="00C16939"/>
    <w:rsid w:val="00C2405A"/>
    <w:rsid w:val="00C2434C"/>
    <w:rsid w:val="00C24F7B"/>
    <w:rsid w:val="00C31FD6"/>
    <w:rsid w:val="00C33CDE"/>
    <w:rsid w:val="00C33F13"/>
    <w:rsid w:val="00C33F82"/>
    <w:rsid w:val="00C347C5"/>
    <w:rsid w:val="00C47F5E"/>
    <w:rsid w:val="00C526DA"/>
    <w:rsid w:val="00C5564D"/>
    <w:rsid w:val="00C561BB"/>
    <w:rsid w:val="00C57496"/>
    <w:rsid w:val="00C6059D"/>
    <w:rsid w:val="00C6106B"/>
    <w:rsid w:val="00C61266"/>
    <w:rsid w:val="00C6277B"/>
    <w:rsid w:val="00C67754"/>
    <w:rsid w:val="00C7027C"/>
    <w:rsid w:val="00C73A78"/>
    <w:rsid w:val="00C73B37"/>
    <w:rsid w:val="00C76F05"/>
    <w:rsid w:val="00C801BC"/>
    <w:rsid w:val="00C8042C"/>
    <w:rsid w:val="00C80980"/>
    <w:rsid w:val="00C874A7"/>
    <w:rsid w:val="00C8795D"/>
    <w:rsid w:val="00C87C17"/>
    <w:rsid w:val="00C927CA"/>
    <w:rsid w:val="00C93BF5"/>
    <w:rsid w:val="00CA0BF5"/>
    <w:rsid w:val="00CA7DEA"/>
    <w:rsid w:val="00CB0EF0"/>
    <w:rsid w:val="00CB680F"/>
    <w:rsid w:val="00CC15DA"/>
    <w:rsid w:val="00CC6AEF"/>
    <w:rsid w:val="00CD0DC9"/>
    <w:rsid w:val="00CE0FC2"/>
    <w:rsid w:val="00CE111A"/>
    <w:rsid w:val="00CE31DC"/>
    <w:rsid w:val="00CF0337"/>
    <w:rsid w:val="00CF36FA"/>
    <w:rsid w:val="00CF7236"/>
    <w:rsid w:val="00CF7993"/>
    <w:rsid w:val="00D051B7"/>
    <w:rsid w:val="00D0758F"/>
    <w:rsid w:val="00D07A5C"/>
    <w:rsid w:val="00D07DFB"/>
    <w:rsid w:val="00D11285"/>
    <w:rsid w:val="00D12542"/>
    <w:rsid w:val="00D13438"/>
    <w:rsid w:val="00D15BCC"/>
    <w:rsid w:val="00D2340E"/>
    <w:rsid w:val="00D3630A"/>
    <w:rsid w:val="00D42142"/>
    <w:rsid w:val="00D4413D"/>
    <w:rsid w:val="00D4592F"/>
    <w:rsid w:val="00D50E41"/>
    <w:rsid w:val="00D57D64"/>
    <w:rsid w:val="00D60987"/>
    <w:rsid w:val="00D62652"/>
    <w:rsid w:val="00D639E0"/>
    <w:rsid w:val="00D6710D"/>
    <w:rsid w:val="00D71573"/>
    <w:rsid w:val="00D72E0E"/>
    <w:rsid w:val="00D7584A"/>
    <w:rsid w:val="00D827EC"/>
    <w:rsid w:val="00D8433E"/>
    <w:rsid w:val="00D8689F"/>
    <w:rsid w:val="00D876DA"/>
    <w:rsid w:val="00D96483"/>
    <w:rsid w:val="00DA1418"/>
    <w:rsid w:val="00DB0ADC"/>
    <w:rsid w:val="00DB37A7"/>
    <w:rsid w:val="00DB39C2"/>
    <w:rsid w:val="00DC537D"/>
    <w:rsid w:val="00DD0198"/>
    <w:rsid w:val="00DD13B4"/>
    <w:rsid w:val="00DD21FA"/>
    <w:rsid w:val="00DD4ADD"/>
    <w:rsid w:val="00DD6E1F"/>
    <w:rsid w:val="00DE0AD2"/>
    <w:rsid w:val="00DE0E20"/>
    <w:rsid w:val="00DE2772"/>
    <w:rsid w:val="00DE3673"/>
    <w:rsid w:val="00DE5AFC"/>
    <w:rsid w:val="00DE666A"/>
    <w:rsid w:val="00DF01CE"/>
    <w:rsid w:val="00DF3DE4"/>
    <w:rsid w:val="00DF4DCA"/>
    <w:rsid w:val="00DF56A1"/>
    <w:rsid w:val="00DF693C"/>
    <w:rsid w:val="00DF6DD8"/>
    <w:rsid w:val="00DF7793"/>
    <w:rsid w:val="00E0308A"/>
    <w:rsid w:val="00E06CE5"/>
    <w:rsid w:val="00E10E59"/>
    <w:rsid w:val="00E11B79"/>
    <w:rsid w:val="00E12212"/>
    <w:rsid w:val="00E21631"/>
    <w:rsid w:val="00E2294E"/>
    <w:rsid w:val="00E23023"/>
    <w:rsid w:val="00E27DE6"/>
    <w:rsid w:val="00E309E2"/>
    <w:rsid w:val="00E3140A"/>
    <w:rsid w:val="00E34165"/>
    <w:rsid w:val="00E347E6"/>
    <w:rsid w:val="00E36EBB"/>
    <w:rsid w:val="00E42AE5"/>
    <w:rsid w:val="00E45573"/>
    <w:rsid w:val="00E477B4"/>
    <w:rsid w:val="00E5521D"/>
    <w:rsid w:val="00E55509"/>
    <w:rsid w:val="00E5701F"/>
    <w:rsid w:val="00E57DF5"/>
    <w:rsid w:val="00E62D68"/>
    <w:rsid w:val="00E649D9"/>
    <w:rsid w:val="00E6721C"/>
    <w:rsid w:val="00E67CBC"/>
    <w:rsid w:val="00E72BF8"/>
    <w:rsid w:val="00E73046"/>
    <w:rsid w:val="00E75B11"/>
    <w:rsid w:val="00E802B3"/>
    <w:rsid w:val="00E804B1"/>
    <w:rsid w:val="00E83D58"/>
    <w:rsid w:val="00E84BA4"/>
    <w:rsid w:val="00E86DBC"/>
    <w:rsid w:val="00E91E86"/>
    <w:rsid w:val="00E92824"/>
    <w:rsid w:val="00E92E68"/>
    <w:rsid w:val="00E968F2"/>
    <w:rsid w:val="00EA6B61"/>
    <w:rsid w:val="00EB3274"/>
    <w:rsid w:val="00EB6BD0"/>
    <w:rsid w:val="00EB72D0"/>
    <w:rsid w:val="00EC4588"/>
    <w:rsid w:val="00EC5148"/>
    <w:rsid w:val="00EC599B"/>
    <w:rsid w:val="00ED26B9"/>
    <w:rsid w:val="00ED6ED8"/>
    <w:rsid w:val="00ED7090"/>
    <w:rsid w:val="00EE0F29"/>
    <w:rsid w:val="00EE403D"/>
    <w:rsid w:val="00EE4998"/>
    <w:rsid w:val="00EE4B16"/>
    <w:rsid w:val="00EE5F53"/>
    <w:rsid w:val="00EE6318"/>
    <w:rsid w:val="00EE6549"/>
    <w:rsid w:val="00EE70CF"/>
    <w:rsid w:val="00EF3760"/>
    <w:rsid w:val="00EF7DDB"/>
    <w:rsid w:val="00F0001F"/>
    <w:rsid w:val="00F0106C"/>
    <w:rsid w:val="00F01D18"/>
    <w:rsid w:val="00F04320"/>
    <w:rsid w:val="00F05961"/>
    <w:rsid w:val="00F05DBC"/>
    <w:rsid w:val="00F12BCE"/>
    <w:rsid w:val="00F1450E"/>
    <w:rsid w:val="00F14F4C"/>
    <w:rsid w:val="00F15383"/>
    <w:rsid w:val="00F15499"/>
    <w:rsid w:val="00F20740"/>
    <w:rsid w:val="00F20DDE"/>
    <w:rsid w:val="00F2218F"/>
    <w:rsid w:val="00F2686B"/>
    <w:rsid w:val="00F30899"/>
    <w:rsid w:val="00F3132D"/>
    <w:rsid w:val="00F320A0"/>
    <w:rsid w:val="00F342F1"/>
    <w:rsid w:val="00F41564"/>
    <w:rsid w:val="00F440AC"/>
    <w:rsid w:val="00F44B5F"/>
    <w:rsid w:val="00F45356"/>
    <w:rsid w:val="00F4773E"/>
    <w:rsid w:val="00F5110C"/>
    <w:rsid w:val="00F53F8B"/>
    <w:rsid w:val="00F6286C"/>
    <w:rsid w:val="00F634D4"/>
    <w:rsid w:val="00F6440D"/>
    <w:rsid w:val="00F6562F"/>
    <w:rsid w:val="00F70366"/>
    <w:rsid w:val="00F707A4"/>
    <w:rsid w:val="00F70E5A"/>
    <w:rsid w:val="00F71E48"/>
    <w:rsid w:val="00F72427"/>
    <w:rsid w:val="00F7490D"/>
    <w:rsid w:val="00F753B5"/>
    <w:rsid w:val="00F77A9F"/>
    <w:rsid w:val="00F80AC5"/>
    <w:rsid w:val="00F81663"/>
    <w:rsid w:val="00F832FC"/>
    <w:rsid w:val="00F837CF"/>
    <w:rsid w:val="00F85411"/>
    <w:rsid w:val="00F8568C"/>
    <w:rsid w:val="00F85A03"/>
    <w:rsid w:val="00F86945"/>
    <w:rsid w:val="00F9184E"/>
    <w:rsid w:val="00F92B28"/>
    <w:rsid w:val="00F93407"/>
    <w:rsid w:val="00F94D7B"/>
    <w:rsid w:val="00F96FB4"/>
    <w:rsid w:val="00FA0C5C"/>
    <w:rsid w:val="00FA6F30"/>
    <w:rsid w:val="00FB0390"/>
    <w:rsid w:val="00FB097C"/>
    <w:rsid w:val="00FB3B58"/>
    <w:rsid w:val="00FB3BEE"/>
    <w:rsid w:val="00FC2538"/>
    <w:rsid w:val="00FC4918"/>
    <w:rsid w:val="00FC569C"/>
    <w:rsid w:val="00FC6AA4"/>
    <w:rsid w:val="00FD0C8B"/>
    <w:rsid w:val="00FD6049"/>
    <w:rsid w:val="00FE015D"/>
    <w:rsid w:val="00FE425B"/>
    <w:rsid w:val="00FE6CBC"/>
    <w:rsid w:val="00FF19D9"/>
    <w:rsid w:val="00FF1CFE"/>
    <w:rsid w:val="00FF4DC3"/>
    <w:rsid w:val="00FF58D8"/>
    <w:rsid w:val="00FF754D"/>
    <w:rsid w:val="00FF79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6EC5B"/>
  <w15:chartTrackingRefBased/>
  <w15:docId w15:val="{AA9CC2CE-B957-40A5-A92F-C86C16FFF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673"/>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FA0C5C"/>
    <w:pPr>
      <w:keepNext/>
      <w:keepLines/>
      <w:spacing w:before="280" w:after="40"/>
      <w:outlineLvl w:val="0"/>
    </w:pPr>
    <w:rPr>
      <w:rFonts w:eastAsiaTheme="majorEastAsia" w:cstheme="majorBidi"/>
      <w:b/>
      <w:color w:val="1F4E79" w:themeColor="accent1" w:themeShade="80"/>
      <w:sz w:val="26"/>
      <w:szCs w:val="32"/>
    </w:rPr>
  </w:style>
  <w:style w:type="paragraph" w:styleId="Heading2">
    <w:name w:val="heading 2"/>
    <w:basedOn w:val="Normal"/>
    <w:next w:val="Normal"/>
    <w:link w:val="Heading2Char"/>
    <w:uiPriority w:val="9"/>
    <w:semiHidden/>
    <w:unhideWhenUsed/>
    <w:qFormat/>
    <w:rsid w:val="00A942B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942BE"/>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A942B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A942BE"/>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A942BE"/>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A942BE"/>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A942B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942B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F0432"/>
    <w:rPr>
      <w:sz w:val="16"/>
      <w:szCs w:val="16"/>
    </w:rPr>
  </w:style>
  <w:style w:type="paragraph" w:styleId="CommentText">
    <w:name w:val="annotation text"/>
    <w:basedOn w:val="Normal"/>
    <w:link w:val="CommentTextChar"/>
    <w:uiPriority w:val="99"/>
    <w:unhideWhenUsed/>
    <w:rsid w:val="008F0432"/>
    <w:rPr>
      <w:szCs w:val="20"/>
    </w:rPr>
  </w:style>
  <w:style w:type="character" w:customStyle="1" w:styleId="CommentTextChar">
    <w:name w:val="Comment Text Char"/>
    <w:basedOn w:val="DefaultParagraphFont"/>
    <w:link w:val="CommentText"/>
    <w:uiPriority w:val="99"/>
    <w:rsid w:val="008F0432"/>
    <w:rPr>
      <w:sz w:val="20"/>
      <w:szCs w:val="20"/>
    </w:rPr>
  </w:style>
  <w:style w:type="paragraph" w:styleId="CommentSubject">
    <w:name w:val="annotation subject"/>
    <w:basedOn w:val="CommentText"/>
    <w:next w:val="CommentText"/>
    <w:link w:val="CommentSubjectChar"/>
    <w:uiPriority w:val="99"/>
    <w:semiHidden/>
    <w:unhideWhenUsed/>
    <w:rsid w:val="008F0432"/>
    <w:rPr>
      <w:b/>
      <w:bCs/>
    </w:rPr>
  </w:style>
  <w:style w:type="character" w:customStyle="1" w:styleId="CommentSubjectChar">
    <w:name w:val="Comment Subject Char"/>
    <w:basedOn w:val="CommentTextChar"/>
    <w:link w:val="CommentSubject"/>
    <w:uiPriority w:val="99"/>
    <w:semiHidden/>
    <w:rsid w:val="008F0432"/>
    <w:rPr>
      <w:b/>
      <w:bCs/>
      <w:sz w:val="20"/>
      <w:szCs w:val="20"/>
    </w:rPr>
  </w:style>
  <w:style w:type="paragraph" w:styleId="BalloonText">
    <w:name w:val="Balloon Text"/>
    <w:basedOn w:val="Normal"/>
    <w:link w:val="BalloonTextChar"/>
    <w:uiPriority w:val="99"/>
    <w:semiHidden/>
    <w:unhideWhenUsed/>
    <w:rsid w:val="008F043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0432"/>
    <w:rPr>
      <w:rFonts w:ascii="Segoe UI" w:hAnsi="Segoe UI" w:cs="Segoe UI"/>
      <w:sz w:val="18"/>
      <w:szCs w:val="18"/>
    </w:rPr>
  </w:style>
  <w:style w:type="paragraph" w:customStyle="1" w:styleId="Default">
    <w:name w:val="Default"/>
    <w:rsid w:val="008F0432"/>
    <w:pPr>
      <w:autoSpaceDE w:val="0"/>
      <w:autoSpaceDN w:val="0"/>
      <w:adjustRightInd w:val="0"/>
      <w:spacing w:after="0" w:line="240" w:lineRule="auto"/>
    </w:pPr>
    <w:rPr>
      <w:rFonts w:ascii="Times New Roman" w:hAnsi="Times New Roman" w:cs="Times New Roman"/>
      <w:color w:val="000000"/>
      <w:sz w:val="24"/>
      <w:szCs w:val="24"/>
    </w:rPr>
  </w:style>
  <w:style w:type="paragraph" w:styleId="Title">
    <w:name w:val="Title"/>
    <w:basedOn w:val="Normal"/>
    <w:next w:val="Normal"/>
    <w:link w:val="TitleChar"/>
    <w:uiPriority w:val="10"/>
    <w:qFormat/>
    <w:rsid w:val="00A3618A"/>
    <w:pPr>
      <w:spacing w:after="0"/>
      <w:contextualSpacing/>
      <w:jc w:val="center"/>
    </w:pPr>
    <w:rPr>
      <w:rFonts w:eastAsiaTheme="majorEastAsia" w:cstheme="majorBidi"/>
      <w:b/>
      <w:spacing w:val="-10"/>
      <w:kern w:val="28"/>
      <w:sz w:val="30"/>
      <w:szCs w:val="56"/>
    </w:rPr>
  </w:style>
  <w:style w:type="character" w:customStyle="1" w:styleId="TitleChar">
    <w:name w:val="Title Char"/>
    <w:basedOn w:val="DefaultParagraphFont"/>
    <w:link w:val="Title"/>
    <w:uiPriority w:val="10"/>
    <w:rsid w:val="00A3618A"/>
    <w:rPr>
      <w:rFonts w:ascii="Times New Roman" w:eastAsiaTheme="majorEastAsia" w:hAnsi="Times New Roman" w:cstheme="majorBidi"/>
      <w:b/>
      <w:spacing w:val="-10"/>
      <w:kern w:val="28"/>
      <w:sz w:val="30"/>
      <w:szCs w:val="56"/>
    </w:rPr>
  </w:style>
  <w:style w:type="paragraph" w:styleId="Subtitle">
    <w:name w:val="Subtitle"/>
    <w:basedOn w:val="Normal"/>
    <w:next w:val="Normal"/>
    <w:link w:val="SubtitleChar"/>
    <w:uiPriority w:val="11"/>
    <w:qFormat/>
    <w:rsid w:val="004C3B90"/>
    <w:pPr>
      <w:numPr>
        <w:ilvl w:val="1"/>
      </w:numPr>
      <w:spacing w:before="120" w:after="120"/>
    </w:pPr>
    <w:rPr>
      <w:rFonts w:eastAsiaTheme="minorEastAsia"/>
      <w:spacing w:val="15"/>
      <w:sz w:val="22"/>
    </w:rPr>
  </w:style>
  <w:style w:type="character" w:customStyle="1" w:styleId="SubtitleChar">
    <w:name w:val="Subtitle Char"/>
    <w:basedOn w:val="DefaultParagraphFont"/>
    <w:link w:val="Subtitle"/>
    <w:uiPriority w:val="11"/>
    <w:rsid w:val="004C3B90"/>
    <w:rPr>
      <w:rFonts w:ascii="Times New Roman" w:eastAsiaTheme="minorEastAsia" w:hAnsi="Times New Roman"/>
      <w:spacing w:val="15"/>
    </w:rPr>
  </w:style>
  <w:style w:type="character" w:styleId="SubtleEmphasis">
    <w:name w:val="Subtle Emphasis"/>
    <w:basedOn w:val="DefaultParagraphFont"/>
    <w:uiPriority w:val="19"/>
    <w:qFormat/>
    <w:rsid w:val="00082721"/>
    <w:rPr>
      <w:rFonts w:ascii="Times New Roman" w:hAnsi="Times New Roman"/>
      <w:b w:val="0"/>
      <w:i w:val="0"/>
      <w:iCs/>
      <w:color w:val="auto"/>
      <w:sz w:val="20"/>
    </w:rPr>
  </w:style>
  <w:style w:type="character" w:customStyle="1" w:styleId="Heading1Char">
    <w:name w:val="Heading 1 Char"/>
    <w:basedOn w:val="DefaultParagraphFont"/>
    <w:link w:val="Heading1"/>
    <w:uiPriority w:val="9"/>
    <w:rsid w:val="00FA0C5C"/>
    <w:rPr>
      <w:rFonts w:ascii="Times New Roman" w:eastAsiaTheme="majorEastAsia" w:hAnsi="Times New Roman" w:cstheme="majorBidi"/>
      <w:b/>
      <w:color w:val="1F4E79" w:themeColor="accent1" w:themeShade="80"/>
      <w:sz w:val="26"/>
      <w:szCs w:val="32"/>
    </w:rPr>
  </w:style>
  <w:style w:type="paragraph" w:styleId="Header">
    <w:name w:val="header"/>
    <w:basedOn w:val="Normal"/>
    <w:link w:val="HeaderChar"/>
    <w:uiPriority w:val="99"/>
    <w:unhideWhenUsed/>
    <w:rsid w:val="00E57DF5"/>
    <w:pPr>
      <w:tabs>
        <w:tab w:val="center" w:pos="4513"/>
        <w:tab w:val="right" w:pos="9026"/>
      </w:tabs>
      <w:spacing w:after="0"/>
    </w:pPr>
  </w:style>
  <w:style w:type="character" w:customStyle="1" w:styleId="HeaderChar">
    <w:name w:val="Header Char"/>
    <w:basedOn w:val="DefaultParagraphFont"/>
    <w:link w:val="Header"/>
    <w:uiPriority w:val="99"/>
    <w:rsid w:val="00E57DF5"/>
    <w:rPr>
      <w:rFonts w:ascii="Times New Roman" w:hAnsi="Times New Roman"/>
      <w:sz w:val="24"/>
    </w:rPr>
  </w:style>
  <w:style w:type="paragraph" w:styleId="Footer">
    <w:name w:val="footer"/>
    <w:basedOn w:val="Normal"/>
    <w:link w:val="FooterChar"/>
    <w:uiPriority w:val="99"/>
    <w:unhideWhenUsed/>
    <w:rsid w:val="00E57DF5"/>
    <w:pPr>
      <w:tabs>
        <w:tab w:val="center" w:pos="4513"/>
        <w:tab w:val="right" w:pos="9026"/>
      </w:tabs>
      <w:spacing w:after="0"/>
    </w:pPr>
  </w:style>
  <w:style w:type="character" w:customStyle="1" w:styleId="FooterChar">
    <w:name w:val="Footer Char"/>
    <w:basedOn w:val="DefaultParagraphFont"/>
    <w:link w:val="Footer"/>
    <w:uiPriority w:val="99"/>
    <w:rsid w:val="00E57DF5"/>
    <w:rPr>
      <w:rFonts w:ascii="Times New Roman" w:hAnsi="Times New Roman"/>
      <w:sz w:val="24"/>
    </w:rPr>
  </w:style>
  <w:style w:type="paragraph" w:styleId="ListParagraph">
    <w:name w:val="List Paragraph"/>
    <w:basedOn w:val="Normal"/>
    <w:uiPriority w:val="34"/>
    <w:qFormat/>
    <w:rsid w:val="006A4B59"/>
    <w:pPr>
      <w:ind w:left="720"/>
      <w:contextualSpacing/>
    </w:pPr>
  </w:style>
  <w:style w:type="paragraph" w:customStyle="1" w:styleId="CitaviBibliographyEntry">
    <w:name w:val="Citavi Bibliography Entry"/>
    <w:basedOn w:val="Normal"/>
    <w:link w:val="CitaviBibliographyEntryChar"/>
    <w:rsid w:val="00A942BE"/>
    <w:pPr>
      <w:tabs>
        <w:tab w:val="left" w:pos="340"/>
      </w:tabs>
      <w:spacing w:after="120"/>
      <w:ind w:left="340" w:hanging="340"/>
    </w:pPr>
  </w:style>
  <w:style w:type="character" w:customStyle="1" w:styleId="CitaviBibliographyEntryChar">
    <w:name w:val="Citavi Bibliography Entry Char"/>
    <w:basedOn w:val="DefaultParagraphFont"/>
    <w:link w:val="CitaviBibliographyEntry"/>
    <w:rsid w:val="00A942BE"/>
    <w:rPr>
      <w:rFonts w:ascii="Times New Roman" w:hAnsi="Times New Roman"/>
      <w:sz w:val="24"/>
    </w:rPr>
  </w:style>
  <w:style w:type="paragraph" w:customStyle="1" w:styleId="CitaviBibliographyHeading">
    <w:name w:val="Citavi Bibliography Heading"/>
    <w:basedOn w:val="Heading1"/>
    <w:link w:val="CitaviBibliographyHeadingChar"/>
    <w:rsid w:val="00A942BE"/>
  </w:style>
  <w:style w:type="character" w:customStyle="1" w:styleId="CitaviBibliographyHeadingChar">
    <w:name w:val="Citavi Bibliography Heading Char"/>
    <w:basedOn w:val="DefaultParagraphFont"/>
    <w:link w:val="CitaviBibliographyHeading"/>
    <w:rsid w:val="00A942BE"/>
    <w:rPr>
      <w:rFonts w:ascii="Times New Roman" w:eastAsiaTheme="majorEastAsia" w:hAnsi="Times New Roman" w:cstheme="majorBidi"/>
      <w:b/>
      <w:sz w:val="24"/>
      <w:szCs w:val="32"/>
    </w:rPr>
  </w:style>
  <w:style w:type="paragraph" w:customStyle="1" w:styleId="CitaviBibliographySubheading1">
    <w:name w:val="Citavi Bibliography Subheading 1"/>
    <w:basedOn w:val="Heading2"/>
    <w:link w:val="CitaviBibliographySubheading1Char"/>
    <w:rsid w:val="00A942BE"/>
    <w:pPr>
      <w:outlineLvl w:val="9"/>
    </w:pPr>
  </w:style>
  <w:style w:type="character" w:customStyle="1" w:styleId="CitaviBibliographySubheading1Char">
    <w:name w:val="Citavi Bibliography Subheading 1 Char"/>
    <w:basedOn w:val="DefaultParagraphFont"/>
    <w:link w:val="CitaviBibliographySubheading1"/>
    <w:rsid w:val="00A942BE"/>
    <w:rPr>
      <w:rFonts w:asciiTheme="majorHAnsi" w:eastAsiaTheme="majorEastAsia" w:hAnsiTheme="majorHAnsi" w:cstheme="majorBidi"/>
      <w:color w:val="2E74B5" w:themeColor="accent1" w:themeShade="BF"/>
      <w:sz w:val="26"/>
      <w:szCs w:val="26"/>
    </w:rPr>
  </w:style>
  <w:style w:type="character" w:customStyle="1" w:styleId="Heading2Char">
    <w:name w:val="Heading 2 Char"/>
    <w:basedOn w:val="DefaultParagraphFont"/>
    <w:link w:val="Heading2"/>
    <w:uiPriority w:val="9"/>
    <w:semiHidden/>
    <w:rsid w:val="00A942BE"/>
    <w:rPr>
      <w:rFonts w:asciiTheme="majorHAnsi" w:eastAsiaTheme="majorEastAsia" w:hAnsiTheme="majorHAnsi" w:cstheme="majorBidi"/>
      <w:color w:val="2E74B5" w:themeColor="accent1" w:themeShade="BF"/>
      <w:sz w:val="26"/>
      <w:szCs w:val="26"/>
    </w:rPr>
  </w:style>
  <w:style w:type="paragraph" w:customStyle="1" w:styleId="CitaviBibliographySubheading2">
    <w:name w:val="Citavi Bibliography Subheading 2"/>
    <w:basedOn w:val="Heading3"/>
    <w:link w:val="CitaviBibliographySubheading2Char"/>
    <w:rsid w:val="00A942BE"/>
    <w:pPr>
      <w:outlineLvl w:val="9"/>
    </w:pPr>
  </w:style>
  <w:style w:type="character" w:customStyle="1" w:styleId="CitaviBibliographySubheading2Char">
    <w:name w:val="Citavi Bibliography Subheading 2 Char"/>
    <w:basedOn w:val="DefaultParagraphFont"/>
    <w:link w:val="CitaviBibliographySubheading2"/>
    <w:rsid w:val="00A942BE"/>
    <w:rPr>
      <w:rFonts w:asciiTheme="majorHAnsi" w:eastAsiaTheme="majorEastAsia" w:hAnsiTheme="majorHAnsi" w:cstheme="majorBidi"/>
      <w:color w:val="1F4D78" w:themeColor="accent1" w:themeShade="7F"/>
      <w:sz w:val="24"/>
      <w:szCs w:val="24"/>
    </w:rPr>
  </w:style>
  <w:style w:type="character" w:customStyle="1" w:styleId="Heading3Char">
    <w:name w:val="Heading 3 Char"/>
    <w:basedOn w:val="DefaultParagraphFont"/>
    <w:link w:val="Heading3"/>
    <w:uiPriority w:val="9"/>
    <w:semiHidden/>
    <w:rsid w:val="00A942BE"/>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Heading4"/>
    <w:link w:val="CitaviBibliographySubheading3Char"/>
    <w:rsid w:val="00A942BE"/>
    <w:pPr>
      <w:outlineLvl w:val="9"/>
    </w:pPr>
  </w:style>
  <w:style w:type="character" w:customStyle="1" w:styleId="CitaviBibliographySubheading3Char">
    <w:name w:val="Citavi Bibliography Subheading 3 Char"/>
    <w:basedOn w:val="DefaultParagraphFont"/>
    <w:link w:val="CitaviBibliographySubheading3"/>
    <w:rsid w:val="00A942BE"/>
    <w:rPr>
      <w:rFonts w:asciiTheme="majorHAnsi" w:eastAsiaTheme="majorEastAsia" w:hAnsiTheme="majorHAnsi" w:cstheme="majorBidi"/>
      <w:i/>
      <w:iCs/>
      <w:color w:val="2E74B5" w:themeColor="accent1" w:themeShade="BF"/>
      <w:sz w:val="24"/>
    </w:rPr>
  </w:style>
  <w:style w:type="character" w:customStyle="1" w:styleId="Heading4Char">
    <w:name w:val="Heading 4 Char"/>
    <w:basedOn w:val="DefaultParagraphFont"/>
    <w:link w:val="Heading4"/>
    <w:uiPriority w:val="9"/>
    <w:semiHidden/>
    <w:rsid w:val="00A942BE"/>
    <w:rPr>
      <w:rFonts w:asciiTheme="majorHAnsi" w:eastAsiaTheme="majorEastAsia" w:hAnsiTheme="majorHAnsi" w:cstheme="majorBidi"/>
      <w:i/>
      <w:iCs/>
      <w:color w:val="2E74B5" w:themeColor="accent1" w:themeShade="BF"/>
      <w:sz w:val="24"/>
    </w:rPr>
  </w:style>
  <w:style w:type="paragraph" w:customStyle="1" w:styleId="CitaviBibliographySubheading4">
    <w:name w:val="Citavi Bibliography Subheading 4"/>
    <w:basedOn w:val="Heading5"/>
    <w:link w:val="CitaviBibliographySubheading4Char"/>
    <w:rsid w:val="00A942BE"/>
    <w:pPr>
      <w:outlineLvl w:val="9"/>
    </w:pPr>
  </w:style>
  <w:style w:type="character" w:customStyle="1" w:styleId="CitaviBibliographySubheading4Char">
    <w:name w:val="Citavi Bibliography Subheading 4 Char"/>
    <w:basedOn w:val="DefaultParagraphFont"/>
    <w:link w:val="CitaviBibliographySubheading4"/>
    <w:rsid w:val="00A942BE"/>
    <w:rPr>
      <w:rFonts w:asciiTheme="majorHAnsi" w:eastAsiaTheme="majorEastAsia" w:hAnsiTheme="majorHAnsi" w:cstheme="majorBidi"/>
      <w:color w:val="2E74B5" w:themeColor="accent1" w:themeShade="BF"/>
      <w:sz w:val="24"/>
    </w:rPr>
  </w:style>
  <w:style w:type="character" w:customStyle="1" w:styleId="Heading5Char">
    <w:name w:val="Heading 5 Char"/>
    <w:basedOn w:val="DefaultParagraphFont"/>
    <w:link w:val="Heading5"/>
    <w:uiPriority w:val="9"/>
    <w:semiHidden/>
    <w:rsid w:val="00A942BE"/>
    <w:rPr>
      <w:rFonts w:asciiTheme="majorHAnsi" w:eastAsiaTheme="majorEastAsia" w:hAnsiTheme="majorHAnsi" w:cstheme="majorBidi"/>
      <w:color w:val="2E74B5" w:themeColor="accent1" w:themeShade="BF"/>
      <w:sz w:val="24"/>
    </w:rPr>
  </w:style>
  <w:style w:type="paragraph" w:customStyle="1" w:styleId="CitaviBibliographySubheading5">
    <w:name w:val="Citavi Bibliography Subheading 5"/>
    <w:basedOn w:val="Heading6"/>
    <w:link w:val="CitaviBibliographySubheading5Char"/>
    <w:rsid w:val="00A942BE"/>
    <w:pPr>
      <w:outlineLvl w:val="9"/>
    </w:pPr>
  </w:style>
  <w:style w:type="character" w:customStyle="1" w:styleId="CitaviBibliographySubheading5Char">
    <w:name w:val="Citavi Bibliography Subheading 5 Char"/>
    <w:basedOn w:val="DefaultParagraphFont"/>
    <w:link w:val="CitaviBibliographySubheading5"/>
    <w:rsid w:val="00A942BE"/>
    <w:rPr>
      <w:rFonts w:asciiTheme="majorHAnsi" w:eastAsiaTheme="majorEastAsia" w:hAnsiTheme="majorHAnsi" w:cstheme="majorBidi"/>
      <w:color w:val="1F4D78" w:themeColor="accent1" w:themeShade="7F"/>
      <w:sz w:val="24"/>
    </w:rPr>
  </w:style>
  <w:style w:type="character" w:customStyle="1" w:styleId="Heading6Char">
    <w:name w:val="Heading 6 Char"/>
    <w:basedOn w:val="DefaultParagraphFont"/>
    <w:link w:val="Heading6"/>
    <w:uiPriority w:val="9"/>
    <w:semiHidden/>
    <w:rsid w:val="00A942BE"/>
    <w:rPr>
      <w:rFonts w:asciiTheme="majorHAnsi" w:eastAsiaTheme="majorEastAsia" w:hAnsiTheme="majorHAnsi" w:cstheme="majorBidi"/>
      <w:color w:val="1F4D78" w:themeColor="accent1" w:themeShade="7F"/>
      <w:sz w:val="24"/>
    </w:rPr>
  </w:style>
  <w:style w:type="paragraph" w:customStyle="1" w:styleId="CitaviBibliographySubheading6">
    <w:name w:val="Citavi Bibliography Subheading 6"/>
    <w:basedOn w:val="Heading7"/>
    <w:link w:val="CitaviBibliographySubheading6Char"/>
    <w:rsid w:val="00A942BE"/>
    <w:pPr>
      <w:outlineLvl w:val="9"/>
    </w:pPr>
  </w:style>
  <w:style w:type="character" w:customStyle="1" w:styleId="CitaviBibliographySubheading6Char">
    <w:name w:val="Citavi Bibliography Subheading 6 Char"/>
    <w:basedOn w:val="DefaultParagraphFont"/>
    <w:link w:val="CitaviBibliographySubheading6"/>
    <w:rsid w:val="00A942BE"/>
    <w:rPr>
      <w:rFonts w:asciiTheme="majorHAnsi" w:eastAsiaTheme="majorEastAsia" w:hAnsiTheme="majorHAnsi" w:cstheme="majorBidi"/>
      <w:i/>
      <w:iCs/>
      <w:color w:val="1F4D78" w:themeColor="accent1" w:themeShade="7F"/>
      <w:sz w:val="24"/>
    </w:rPr>
  </w:style>
  <w:style w:type="character" w:customStyle="1" w:styleId="Heading7Char">
    <w:name w:val="Heading 7 Char"/>
    <w:basedOn w:val="DefaultParagraphFont"/>
    <w:link w:val="Heading7"/>
    <w:uiPriority w:val="9"/>
    <w:semiHidden/>
    <w:rsid w:val="00A942BE"/>
    <w:rPr>
      <w:rFonts w:asciiTheme="majorHAnsi" w:eastAsiaTheme="majorEastAsia" w:hAnsiTheme="majorHAnsi" w:cstheme="majorBidi"/>
      <w:i/>
      <w:iCs/>
      <w:color w:val="1F4D78" w:themeColor="accent1" w:themeShade="7F"/>
      <w:sz w:val="24"/>
    </w:rPr>
  </w:style>
  <w:style w:type="paragraph" w:customStyle="1" w:styleId="CitaviBibliographySubheading7">
    <w:name w:val="Citavi Bibliography Subheading 7"/>
    <w:basedOn w:val="Heading8"/>
    <w:link w:val="CitaviBibliographySubheading7Char"/>
    <w:rsid w:val="00A942BE"/>
    <w:pPr>
      <w:outlineLvl w:val="9"/>
    </w:pPr>
  </w:style>
  <w:style w:type="character" w:customStyle="1" w:styleId="CitaviBibliographySubheading7Char">
    <w:name w:val="Citavi Bibliography Subheading 7 Char"/>
    <w:basedOn w:val="DefaultParagraphFont"/>
    <w:link w:val="CitaviBibliographySubheading7"/>
    <w:rsid w:val="00A942BE"/>
    <w:rPr>
      <w:rFonts w:asciiTheme="majorHAnsi" w:eastAsiaTheme="majorEastAsia" w:hAnsiTheme="majorHAnsi" w:cstheme="majorBidi"/>
      <w:color w:val="272727" w:themeColor="text1" w:themeTint="D8"/>
      <w:sz w:val="21"/>
      <w:szCs w:val="21"/>
    </w:rPr>
  </w:style>
  <w:style w:type="character" w:customStyle="1" w:styleId="Heading8Char">
    <w:name w:val="Heading 8 Char"/>
    <w:basedOn w:val="DefaultParagraphFont"/>
    <w:link w:val="Heading8"/>
    <w:uiPriority w:val="9"/>
    <w:semiHidden/>
    <w:rsid w:val="00A942BE"/>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rsid w:val="00A942BE"/>
    <w:pPr>
      <w:outlineLvl w:val="9"/>
    </w:pPr>
  </w:style>
  <w:style w:type="character" w:customStyle="1" w:styleId="CitaviBibliographySubheading8Char">
    <w:name w:val="Citavi Bibliography Subheading 8 Char"/>
    <w:basedOn w:val="DefaultParagraphFont"/>
    <w:link w:val="CitaviBibliographySubheading8"/>
    <w:rsid w:val="00A942BE"/>
    <w:rPr>
      <w:rFonts w:asciiTheme="majorHAnsi" w:eastAsiaTheme="majorEastAsia" w:hAnsiTheme="majorHAnsi" w:cstheme="majorBidi"/>
      <w:i/>
      <w:iCs/>
      <w:color w:val="272727" w:themeColor="text1" w:themeTint="D8"/>
      <w:sz w:val="21"/>
      <w:szCs w:val="21"/>
    </w:rPr>
  </w:style>
  <w:style w:type="character" w:customStyle="1" w:styleId="Heading9Char">
    <w:name w:val="Heading 9 Char"/>
    <w:basedOn w:val="DefaultParagraphFont"/>
    <w:link w:val="Heading9"/>
    <w:uiPriority w:val="9"/>
    <w:semiHidden/>
    <w:rsid w:val="00A942BE"/>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rsid w:val="00BA6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80EB4"/>
    <w:pPr>
      <w:spacing w:after="0" w:line="240" w:lineRule="auto"/>
    </w:pPr>
    <w:rPr>
      <w:rFonts w:ascii="Times New Roman" w:hAnsi="Times New Roman"/>
      <w:sz w:val="24"/>
    </w:rPr>
  </w:style>
  <w:style w:type="character" w:styleId="PlaceholderText">
    <w:name w:val="Placeholder Text"/>
    <w:basedOn w:val="DefaultParagraphFont"/>
    <w:uiPriority w:val="99"/>
    <w:semiHidden/>
    <w:rsid w:val="001D5CE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386F6-F8D1-44D7-B78E-09B21C3B8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10</Pages>
  <Words>1549</Words>
  <Characters>8830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Macquarie University</Company>
  <LinksUpToDate>false</LinksUpToDate>
  <CharactersWithSpaces>10359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Laura Otter</dc:creator>
  <cp:keywords/>
  <dc:description/>
  <cp:lastModifiedBy>Laura Otter</cp:lastModifiedBy>
  <cp:revision>30</cp:revision>
  <dcterms:created xsi:type="dcterms:W3CDTF">2020-02-10T06:24:00Z</dcterms:created>
  <dcterms:modified xsi:type="dcterms:W3CDTF">2022-06-30T06:11:00Z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Calcification Pathways in marine Calcifiers (PhD Project) (2)</vt:lpwstr>
  </property>
  <property fmtid="{D5CDD505-2E9C-101B-9397-08002B2CF9AE}" pid="3" name="CitaviDocumentProperty_0">
    <vt:lpwstr>3c787294-50ed-43ab-8ebd-e3c92bbb1aa7</vt:lpwstr>
  </property>
  <property fmtid="{D5CDD505-2E9C-101B-9397-08002B2CF9AE}" pid="4" name="CitaviDocumentProperty_6">
    <vt:lpwstr>False</vt:lpwstr>
  </property>
  <property fmtid="{D5CDD505-2E9C-101B-9397-08002B2CF9AE}" pid="5" name="CitaviDocumentProperty_1">
    <vt:lpwstr>5.7.1.0</vt:lpwstr>
  </property>
  <property fmtid="{D5CDD505-2E9C-101B-9397-08002B2CF9AE}" pid="6" name="CitaviDocumentProperty_8">
    <vt:lpwstr>L:\Dropbox\Uni\Research\Citavi\Projects\Calcification Pathways in marine Calcifiers (PhD Project)\Calcification Pathways in marine Calcifiers (PhD Project) (2).ctv5</vt:lpwstr>
  </property>
</Properties>
</file>