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170" w:rsidRPr="00514DEC" w:rsidRDefault="009D4170" w:rsidP="009D4170">
      <w:pPr>
        <w:rPr>
          <w:rFonts w:ascii="Calibri" w:hAnsi="Calibri" w:cs="Calibri"/>
          <w:b/>
          <w:bCs/>
        </w:rPr>
      </w:pPr>
      <w:r w:rsidRPr="00514DEC">
        <w:rPr>
          <w:rFonts w:ascii="Calibri" w:hAnsi="Calibri" w:cs="Calibri"/>
          <w:b/>
          <w:bCs/>
        </w:rPr>
        <w:t xml:space="preserve">Supplementary Table 1: </w:t>
      </w:r>
      <w:r w:rsidRPr="00514DEC">
        <w:rPr>
          <w:rFonts w:ascii="Calibri" w:hAnsi="Calibri" w:cs="Calibri"/>
          <w:bCs/>
        </w:rPr>
        <w:t>Predictors of short-term mortality by cohort characteristics</w:t>
      </w:r>
    </w:p>
    <w:p w:rsidR="009D4170" w:rsidRPr="00514DEC" w:rsidRDefault="009D4170" w:rsidP="009D4170">
      <w:pPr>
        <w:rPr>
          <w:rFonts w:ascii="Calibri" w:hAnsi="Calibri" w:cs="Calibri"/>
          <w:b/>
          <w:bCs/>
        </w:rPr>
      </w:pPr>
    </w:p>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4"/>
        <w:gridCol w:w="2160"/>
        <w:gridCol w:w="1080"/>
        <w:gridCol w:w="2160"/>
        <w:gridCol w:w="1080"/>
        <w:gridCol w:w="2160"/>
        <w:gridCol w:w="1080"/>
      </w:tblGrid>
      <w:tr w:rsidR="009D4170" w:rsidRPr="00514DEC" w:rsidTr="00B04736">
        <w:trPr>
          <w:trHeight w:val="300"/>
        </w:trPr>
        <w:tc>
          <w:tcPr>
            <w:tcW w:w="32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textAlignment w:val="baseline"/>
              <w:rPr>
                <w:rFonts w:ascii="Calibri" w:hAnsi="Calibri" w:cs="Calibri"/>
                <w:b/>
              </w:rPr>
            </w:pPr>
            <w:r w:rsidRPr="00514DEC">
              <w:rPr>
                <w:rFonts w:ascii="Calibri" w:hAnsi="Calibri" w:cs="Calibri"/>
                <w:b/>
              </w:rPr>
              <w:t> </w:t>
            </w:r>
          </w:p>
        </w:tc>
        <w:tc>
          <w:tcPr>
            <w:tcW w:w="2160" w:type="dxa"/>
            <w:tcBorders>
              <w:top w:val="single" w:sz="6" w:space="0" w:color="000000"/>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Inpatient Mortality </w:t>
            </w:r>
          </w:p>
          <w:p w:rsidR="009D4170" w:rsidRPr="00514DEC" w:rsidRDefault="009D4170" w:rsidP="00B04736">
            <w:pPr>
              <w:jc w:val="center"/>
              <w:textAlignment w:val="baseline"/>
              <w:rPr>
                <w:rFonts w:ascii="Calibri" w:hAnsi="Calibri" w:cs="Calibri"/>
                <w:b/>
                <w:color w:val="000000"/>
              </w:rPr>
            </w:pPr>
            <w:r w:rsidRPr="00514DEC">
              <w:rPr>
                <w:rFonts w:ascii="Calibri" w:hAnsi="Calibri" w:cs="Calibri"/>
                <w:b/>
                <w:color w:val="000000"/>
              </w:rPr>
              <w:t>Unadjusted OR </w:t>
            </w:r>
          </w:p>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(95% CI) </w:t>
            </w:r>
          </w:p>
        </w:tc>
        <w:tc>
          <w:tcPr>
            <w:tcW w:w="1080" w:type="dxa"/>
            <w:tcBorders>
              <w:top w:val="single" w:sz="6" w:space="0" w:color="000000"/>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p-value </w:t>
            </w:r>
          </w:p>
        </w:tc>
        <w:tc>
          <w:tcPr>
            <w:tcW w:w="2160" w:type="dxa"/>
            <w:tcBorders>
              <w:top w:val="single" w:sz="6" w:space="0" w:color="000000"/>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Mortality 30 Day </w:t>
            </w:r>
          </w:p>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Unadjusted OR </w:t>
            </w:r>
          </w:p>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(95% CI) </w:t>
            </w:r>
          </w:p>
        </w:tc>
        <w:tc>
          <w:tcPr>
            <w:tcW w:w="1080" w:type="dxa"/>
            <w:tcBorders>
              <w:top w:val="single" w:sz="6" w:space="0" w:color="000000"/>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p-value </w:t>
            </w:r>
          </w:p>
        </w:tc>
        <w:tc>
          <w:tcPr>
            <w:tcW w:w="2160" w:type="dxa"/>
            <w:tcBorders>
              <w:top w:val="single" w:sz="6" w:space="0" w:color="000000"/>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Mortality 90 Day </w:t>
            </w:r>
          </w:p>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Unadjusted OR </w:t>
            </w:r>
          </w:p>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(95% CI) </w:t>
            </w:r>
          </w:p>
        </w:tc>
        <w:tc>
          <w:tcPr>
            <w:tcW w:w="1080" w:type="dxa"/>
            <w:tcBorders>
              <w:top w:val="single" w:sz="6" w:space="0" w:color="000000"/>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b/>
              </w:rPr>
            </w:pPr>
            <w:r w:rsidRPr="00514DEC">
              <w:rPr>
                <w:rFonts w:ascii="Calibri" w:hAnsi="Calibri" w:cs="Calibri"/>
                <w:b/>
                <w:color w:val="000000"/>
              </w:rPr>
              <w:t>p-value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textAlignment w:val="baseline"/>
              <w:rPr>
                <w:rFonts w:ascii="Calibri" w:hAnsi="Calibri" w:cs="Calibri"/>
                <w:b/>
              </w:rPr>
            </w:pPr>
            <w:r w:rsidRPr="00514DEC">
              <w:rPr>
                <w:rFonts w:ascii="Calibri" w:hAnsi="Calibri" w:cs="Calibri"/>
                <w:b/>
                <w:color w:val="000000"/>
              </w:rPr>
              <w:t>Age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0.98 (0.95-1.02)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0.3075 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1.01 (0.99-1.03)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0.4429 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1.02 (1-1.04)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0.0937 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textAlignment w:val="baseline"/>
              <w:rPr>
                <w:rFonts w:ascii="Calibri" w:hAnsi="Calibri" w:cs="Calibri"/>
                <w:b/>
              </w:rPr>
            </w:pPr>
            <w:r w:rsidRPr="00514DEC">
              <w:rPr>
                <w:rFonts w:ascii="Calibri" w:hAnsi="Calibri" w:cs="Calibri"/>
                <w:b/>
                <w:color w:val="000000"/>
              </w:rPr>
              <w:t>Sex, male vs. female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1.32 (0.62-2.78)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0.4683 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1.24 (0.75-2.05)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0.4025 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1.28 (0.85-1.93)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0.2449 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textAlignment w:val="baseline"/>
              <w:rPr>
                <w:rFonts w:ascii="Calibri" w:hAnsi="Calibri" w:cs="Calibri"/>
                <w:b/>
              </w:rPr>
            </w:pPr>
            <w:r w:rsidRPr="00514DEC">
              <w:rPr>
                <w:rFonts w:ascii="Calibri" w:hAnsi="Calibri" w:cs="Calibri"/>
                <w:b/>
                <w:color w:val="000000"/>
              </w:rPr>
              <w:t>Race, white vs. other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0.54 (0.15-1.91)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0.3392 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0.64 (0.25-1.63)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0.3477 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1.08 (0.44-2.61)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0.8696 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textAlignment w:val="baseline"/>
              <w:rPr>
                <w:rFonts w:ascii="Calibri" w:hAnsi="Calibri" w:cs="Calibri"/>
                <w:b/>
              </w:rPr>
            </w:pPr>
            <w:r w:rsidRPr="00514DEC">
              <w:rPr>
                <w:rFonts w:ascii="Calibri" w:hAnsi="Calibri" w:cs="Calibri"/>
                <w:b/>
                <w:color w:val="000000"/>
              </w:rPr>
              <w:t>Cirrhosis Etiology (vs. Alcohol)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ind w:left="150"/>
              <w:textAlignment w:val="baseline"/>
              <w:rPr>
                <w:rFonts w:ascii="Calibri" w:hAnsi="Calibri" w:cs="Calibri"/>
                <w:b/>
              </w:rPr>
            </w:pPr>
            <w:r w:rsidRPr="00514DEC">
              <w:rPr>
                <w:rFonts w:ascii="Calibri" w:hAnsi="Calibri" w:cs="Calibri"/>
                <w:b/>
                <w:color w:val="000000"/>
              </w:rPr>
              <w:t>Hepatitis C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0.51 (0.14-1.91)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0.3160 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0.96 (0.43-2.14)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0.9251 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0.95 (0.49-1.83)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0.8725 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ind w:left="150"/>
              <w:textAlignment w:val="baseline"/>
              <w:rPr>
                <w:rFonts w:ascii="Calibri" w:hAnsi="Calibri" w:cs="Calibri"/>
                <w:b/>
              </w:rPr>
            </w:pPr>
            <w:r w:rsidRPr="00514DEC">
              <w:rPr>
                <w:rFonts w:ascii="Calibri" w:hAnsi="Calibri" w:cs="Calibri"/>
                <w:b/>
                <w:color w:val="000000"/>
              </w:rPr>
              <w:t>Hepatitis C + Alcohol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1.53 (0.45-5.18)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0.4989 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1.6 (0.64-4.01)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0.3159 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1.7 (0.77-3.72)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0.1877 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ind w:left="150"/>
              <w:textAlignment w:val="baseline"/>
              <w:rPr>
                <w:rFonts w:ascii="Calibri" w:hAnsi="Calibri" w:cs="Calibri"/>
                <w:b/>
              </w:rPr>
            </w:pPr>
            <w:r w:rsidRPr="00514DEC">
              <w:rPr>
                <w:rFonts w:ascii="Calibri" w:hAnsi="Calibri" w:cs="Calibri"/>
                <w:b/>
                <w:color w:val="000000"/>
              </w:rPr>
              <w:t>NASH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0.95 (0.39-2.3)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0.9010 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0.94 (0.49-1.81)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0.8545 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0.96 (0.56-1.64)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0.8731 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ind w:left="150"/>
              <w:textAlignment w:val="baseline"/>
              <w:rPr>
                <w:rFonts w:ascii="Calibri" w:hAnsi="Calibri" w:cs="Calibri"/>
                <w:b/>
              </w:rPr>
            </w:pPr>
            <w:r w:rsidRPr="00514DEC">
              <w:rPr>
                <w:rFonts w:ascii="Calibri" w:hAnsi="Calibri" w:cs="Calibri"/>
                <w:b/>
                <w:color w:val="000000"/>
              </w:rPr>
              <w:t>Other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0.52 (0.14-1.96)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0.3368 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1.21 (0.56-2.61)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0.6205 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1.76 (0.95-3.26)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0.0723 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textAlignment w:val="baseline"/>
              <w:rPr>
                <w:rFonts w:ascii="Calibri" w:hAnsi="Calibri" w:cs="Calibri"/>
                <w:b/>
              </w:rPr>
            </w:pPr>
            <w:r w:rsidRPr="00514DEC">
              <w:rPr>
                <w:rFonts w:ascii="Calibri" w:hAnsi="Calibri" w:cs="Calibri"/>
                <w:b/>
                <w:color w:val="000000"/>
              </w:rPr>
              <w:t>MELD (1-point increase)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1.16 (1.1-1.21)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&lt; 0.0001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1.16 (1.12-1.21)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&lt; 0.0001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1.13 (1.1-1.17)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&lt; 0.0001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textAlignment w:val="baseline"/>
              <w:rPr>
                <w:rFonts w:ascii="Calibri" w:hAnsi="Calibri" w:cs="Calibri"/>
                <w:b/>
              </w:rPr>
            </w:pPr>
            <w:r w:rsidRPr="00514DEC">
              <w:rPr>
                <w:rFonts w:ascii="Calibri" w:hAnsi="Calibri" w:cs="Calibri"/>
                <w:b/>
                <w:color w:val="000000"/>
              </w:rPr>
              <w:t>Charlson Score (1-point increase)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1.07 (0.92-1.25)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0.3747 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1.2 (1.08-1.33)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0.0006 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1.15 (1.06-1.26)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0.0012 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textAlignment w:val="baseline"/>
              <w:rPr>
                <w:rFonts w:ascii="Calibri" w:hAnsi="Calibri" w:cs="Calibri"/>
                <w:b/>
              </w:rPr>
            </w:pPr>
            <w:r w:rsidRPr="00514DEC">
              <w:rPr>
                <w:rFonts w:ascii="Calibri" w:hAnsi="Calibri" w:cs="Calibri"/>
                <w:b/>
                <w:color w:val="000000"/>
              </w:rPr>
              <w:t>ICU Admission (yes vs. no)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2.98 (1.21-7.37)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0.0178 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1.56 (0.74-3.3)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0.2461 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1.33 (0.69-2.55)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0.3952 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ind w:left="150" w:hanging="150"/>
              <w:textAlignment w:val="baseline"/>
              <w:rPr>
                <w:rFonts w:ascii="Calibri" w:hAnsi="Calibri" w:cs="Calibri"/>
                <w:b/>
              </w:rPr>
            </w:pPr>
            <w:r w:rsidRPr="00514DEC">
              <w:rPr>
                <w:rFonts w:ascii="Calibri" w:hAnsi="Calibri" w:cs="Calibri"/>
                <w:b/>
                <w:color w:val="000000"/>
              </w:rPr>
              <w:t>Ascites (yes vs. no)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4.07 (0.95-17.36)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0.0579 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1.62 (0.82-3.2)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0.1676 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1.49 (0.87-2.53)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0.1447 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hideMark/>
          </w:tcPr>
          <w:p w:rsidR="009D4170" w:rsidRPr="00514DEC" w:rsidRDefault="009D4170" w:rsidP="00B04736">
            <w:pPr>
              <w:ind w:left="150" w:hanging="150"/>
              <w:textAlignment w:val="baseline"/>
              <w:rPr>
                <w:rFonts w:ascii="Calibri" w:hAnsi="Calibri" w:cs="Calibri"/>
                <w:b/>
              </w:rPr>
            </w:pPr>
            <w:r w:rsidRPr="00514DEC">
              <w:rPr>
                <w:rFonts w:ascii="Calibri" w:hAnsi="Calibri" w:cs="Calibri"/>
                <w:b/>
                <w:color w:val="000000"/>
              </w:rPr>
              <w:t>Hepatocellular Carcinoma  </w:t>
            </w:r>
          </w:p>
          <w:p w:rsidR="009D4170" w:rsidRPr="00514DEC" w:rsidRDefault="009D4170" w:rsidP="00B04736">
            <w:pPr>
              <w:ind w:left="150" w:hanging="150"/>
              <w:textAlignment w:val="baseline"/>
              <w:rPr>
                <w:rFonts w:ascii="Calibri" w:hAnsi="Calibri" w:cs="Calibri"/>
                <w:b/>
              </w:rPr>
            </w:pPr>
            <w:r w:rsidRPr="00514DEC">
              <w:rPr>
                <w:rFonts w:ascii="Calibri" w:hAnsi="Calibri" w:cs="Calibri"/>
                <w:b/>
                <w:color w:val="000000"/>
              </w:rPr>
              <w:t>(yes vs. no)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0.27 (0.04-2.03)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0.2038 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1.43 (0.68-3)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0.3490 </w:t>
            </w:r>
          </w:p>
        </w:tc>
        <w:tc>
          <w:tcPr>
            <w:tcW w:w="216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1.07 (0.56-2.07) </w:t>
            </w:r>
          </w:p>
        </w:tc>
        <w:tc>
          <w:tcPr>
            <w:tcW w:w="1080" w:type="dxa"/>
            <w:tcBorders>
              <w:top w:val="nil"/>
              <w:left w:val="nil"/>
              <w:bottom w:val="single" w:sz="6" w:space="0" w:color="000000"/>
              <w:right w:val="single" w:sz="6" w:space="0" w:color="000000"/>
            </w:tcBorders>
            <w:shd w:val="clear" w:color="auto" w:fill="auto"/>
            <w:vAlign w:val="center"/>
            <w:hideMark/>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0.8318 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tcPr>
          <w:p w:rsidR="009D4170" w:rsidRPr="00514DEC" w:rsidRDefault="009D4170" w:rsidP="00B04736">
            <w:pPr>
              <w:ind w:left="150" w:hanging="150"/>
              <w:textAlignment w:val="baseline"/>
              <w:rPr>
                <w:rFonts w:ascii="Calibri" w:hAnsi="Calibri" w:cs="Calibri"/>
                <w:b/>
              </w:rPr>
            </w:pPr>
            <w:r w:rsidRPr="00514DEC">
              <w:rPr>
                <w:rFonts w:ascii="Calibri" w:hAnsi="Calibri" w:cs="Calibri"/>
                <w:b/>
                <w:color w:val="000000"/>
              </w:rPr>
              <w:t>h/o Hepatic Encephalopathy (yes vs. no) </w:t>
            </w:r>
          </w:p>
        </w:tc>
        <w:tc>
          <w:tcPr>
            <w:tcW w:w="216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0.99(0.44-2.2) </w:t>
            </w:r>
          </w:p>
        </w:tc>
        <w:tc>
          <w:tcPr>
            <w:tcW w:w="108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0.9748 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0.95(0.55-1.63)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0.8449 </w:t>
            </w:r>
          </w:p>
        </w:tc>
        <w:tc>
          <w:tcPr>
            <w:tcW w:w="216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0.89(0.57-1.39) </w:t>
            </w:r>
          </w:p>
        </w:tc>
        <w:tc>
          <w:tcPr>
            <w:tcW w:w="108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rPr>
            </w:pPr>
            <w:r w:rsidRPr="00514DEC">
              <w:rPr>
                <w:rFonts w:ascii="Calibri" w:hAnsi="Calibri" w:cs="Calibri"/>
                <w:color w:val="000000"/>
              </w:rPr>
              <w:t>0.6217 </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tcPr>
          <w:p w:rsidR="009D4170" w:rsidRPr="00514DEC" w:rsidRDefault="009D4170" w:rsidP="00B04736">
            <w:pPr>
              <w:ind w:left="150" w:hanging="150"/>
              <w:textAlignment w:val="baseline"/>
              <w:rPr>
                <w:rFonts w:ascii="Calibri" w:hAnsi="Calibri" w:cs="Calibri"/>
                <w:b/>
                <w:color w:val="000000"/>
              </w:rPr>
            </w:pPr>
            <w:r w:rsidRPr="00514DEC">
              <w:rPr>
                <w:rFonts w:ascii="Calibri" w:hAnsi="Calibri" w:cs="Calibri"/>
                <w:b/>
                <w:color w:val="000000" w:themeColor="text1"/>
              </w:rPr>
              <w:t>West Haven (stage 2-4 vs. 0-1)</w:t>
            </w:r>
          </w:p>
        </w:tc>
        <w:tc>
          <w:tcPr>
            <w:tcW w:w="216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18.4 (8.14-41.6)</w:t>
            </w:r>
          </w:p>
        </w:tc>
        <w:tc>
          <w:tcPr>
            <w:tcW w:w="108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&lt;0.0001</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8.86 (4.46-17.61)</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&lt;0.0001</w:t>
            </w:r>
          </w:p>
        </w:tc>
        <w:tc>
          <w:tcPr>
            <w:tcW w:w="216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5.95 (3-11.83)</w:t>
            </w:r>
          </w:p>
        </w:tc>
        <w:tc>
          <w:tcPr>
            <w:tcW w:w="108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&lt;0.0001</w:t>
            </w:r>
          </w:p>
        </w:tc>
      </w:tr>
      <w:tr w:rsidR="009D4170" w:rsidRPr="00514DEC" w:rsidTr="00B04736">
        <w:trPr>
          <w:trHeight w:val="300"/>
        </w:trPr>
        <w:tc>
          <w:tcPr>
            <w:tcW w:w="3224" w:type="dxa"/>
            <w:tcBorders>
              <w:top w:val="nil"/>
              <w:left w:val="single" w:sz="6" w:space="0" w:color="000000"/>
              <w:bottom w:val="single" w:sz="6" w:space="0" w:color="000000"/>
              <w:right w:val="single" w:sz="6" w:space="0" w:color="000000"/>
            </w:tcBorders>
            <w:shd w:val="clear" w:color="auto" w:fill="D9D9D9" w:themeFill="background1" w:themeFillShade="D9"/>
          </w:tcPr>
          <w:p w:rsidR="009D4170" w:rsidRPr="00514DEC" w:rsidRDefault="009D4170" w:rsidP="00B04736">
            <w:pPr>
              <w:ind w:left="150" w:hanging="150"/>
              <w:textAlignment w:val="baseline"/>
              <w:rPr>
                <w:rFonts w:ascii="Calibri" w:hAnsi="Calibri" w:cs="Calibri"/>
                <w:b/>
                <w:color w:val="000000"/>
              </w:rPr>
            </w:pPr>
            <w:r w:rsidRPr="00B73338">
              <w:rPr>
                <w:rFonts w:ascii="Calibri" w:hAnsi="Calibri" w:cs="Calibri"/>
                <w:b/>
                <w:bCs/>
                <w:color w:val="000000"/>
              </w:rPr>
              <w:t>RAAS/CAM-ICU</w:t>
            </w:r>
            <w:r w:rsidRPr="00B73338">
              <w:rPr>
                <w:rFonts w:ascii="Calibri" w:hAnsi="Calibri" w:cs="Calibri"/>
                <w:b/>
                <w:color w:val="000000"/>
              </w:rPr>
              <w:t xml:space="preserve"> </w:t>
            </w:r>
            <w:r>
              <w:rPr>
                <w:rFonts w:ascii="Calibri" w:hAnsi="Calibri" w:cs="Calibri"/>
                <w:b/>
                <w:color w:val="000000"/>
              </w:rPr>
              <w:t>(+)</w:t>
            </w:r>
          </w:p>
        </w:tc>
        <w:tc>
          <w:tcPr>
            <w:tcW w:w="216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20.09 (8.96-45.04) </w:t>
            </w:r>
          </w:p>
        </w:tc>
        <w:tc>
          <w:tcPr>
            <w:tcW w:w="108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&lt; 0.0001 </w:t>
            </w:r>
          </w:p>
        </w:tc>
        <w:tc>
          <w:tcPr>
            <w:tcW w:w="2160" w:type="dxa"/>
            <w:tcBorders>
              <w:top w:val="nil"/>
              <w:left w:val="nil"/>
              <w:bottom w:val="single" w:sz="6" w:space="0" w:color="000000"/>
              <w:right w:val="single" w:sz="6" w:space="0" w:color="000000"/>
            </w:tcBorders>
            <w:shd w:val="clear" w:color="auto" w:fill="D9D9D9" w:themeFill="background1" w:themeFillShade="D9"/>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8.02 (4.29-15.00) </w:t>
            </w:r>
          </w:p>
        </w:tc>
        <w:tc>
          <w:tcPr>
            <w:tcW w:w="1080" w:type="dxa"/>
            <w:tcBorders>
              <w:top w:val="nil"/>
              <w:left w:val="nil"/>
              <w:bottom w:val="single" w:sz="6" w:space="0" w:color="000000"/>
              <w:right w:val="single" w:sz="6" w:space="0" w:color="000000"/>
            </w:tcBorders>
            <w:shd w:val="clear" w:color="auto" w:fill="D9D9D9" w:themeFill="background1" w:themeFillShade="D9"/>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&lt; 0.0001 </w:t>
            </w:r>
          </w:p>
        </w:tc>
        <w:tc>
          <w:tcPr>
            <w:tcW w:w="216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5.65 (3.06-10.41) </w:t>
            </w:r>
          </w:p>
        </w:tc>
        <w:tc>
          <w:tcPr>
            <w:tcW w:w="1080" w:type="dxa"/>
            <w:tcBorders>
              <w:top w:val="nil"/>
              <w:left w:val="nil"/>
              <w:bottom w:val="single" w:sz="6" w:space="0" w:color="000000"/>
              <w:right w:val="single" w:sz="6" w:space="0" w:color="000000"/>
            </w:tcBorders>
            <w:shd w:val="clear" w:color="auto" w:fill="auto"/>
            <w:vAlign w:val="center"/>
          </w:tcPr>
          <w:p w:rsidR="009D4170" w:rsidRPr="00514DEC" w:rsidRDefault="009D4170" w:rsidP="00B04736">
            <w:pPr>
              <w:jc w:val="center"/>
              <w:textAlignment w:val="baseline"/>
              <w:rPr>
                <w:rFonts w:ascii="Calibri" w:hAnsi="Calibri" w:cs="Calibri"/>
                <w:color w:val="000000"/>
              </w:rPr>
            </w:pPr>
            <w:r w:rsidRPr="00514DEC">
              <w:rPr>
                <w:rFonts w:ascii="Calibri" w:hAnsi="Calibri" w:cs="Calibri"/>
                <w:color w:val="000000"/>
              </w:rPr>
              <w:t>&lt; 0.0001 </w:t>
            </w:r>
          </w:p>
        </w:tc>
      </w:tr>
    </w:tbl>
    <w:p w:rsidR="009D4170" w:rsidRPr="00514DEC" w:rsidRDefault="009D4170" w:rsidP="009D4170">
      <w:pPr>
        <w:rPr>
          <w:rFonts w:ascii="Calibri" w:hAnsi="Calibri" w:cs="Calibri"/>
          <w:bCs/>
        </w:rPr>
        <w:sectPr w:rsidR="009D4170" w:rsidRPr="00514DEC" w:rsidSect="00566FEE">
          <w:pgSz w:w="15840" w:h="12240" w:orient="landscape"/>
          <w:pgMar w:top="1440" w:right="1440" w:bottom="1440" w:left="1440" w:header="720" w:footer="720" w:gutter="0"/>
          <w:cols w:space="720"/>
          <w:docGrid w:linePitch="360"/>
        </w:sectPr>
      </w:pPr>
    </w:p>
    <w:p w:rsidR="009D4170" w:rsidRPr="00514DEC" w:rsidRDefault="009D4170" w:rsidP="009D4170">
      <w:pPr>
        <w:rPr>
          <w:rFonts w:ascii="Calibri" w:hAnsi="Calibri" w:cs="Calibri"/>
          <w:b/>
          <w:bCs/>
        </w:rPr>
      </w:pPr>
      <w:r w:rsidRPr="00514DEC">
        <w:rPr>
          <w:rFonts w:ascii="Calibri" w:hAnsi="Calibri" w:cs="Calibri"/>
          <w:b/>
          <w:bCs/>
        </w:rPr>
        <w:lastRenderedPageBreak/>
        <w:t xml:space="preserve">Supplementary Figure 1. </w:t>
      </w:r>
      <w:r w:rsidRPr="00514DEC">
        <w:rPr>
          <w:rFonts w:ascii="Calibri" w:hAnsi="Calibri" w:cs="Calibri"/>
          <w:bCs/>
        </w:rPr>
        <w:t>Diagnosis of Delirium/Coma using RASS/CAM-ICU</w:t>
      </w:r>
      <w:r w:rsidRPr="00514DEC">
        <w:rPr>
          <w:rFonts w:ascii="Calibri" w:hAnsi="Calibri" w:cs="Calibri"/>
          <w:b/>
          <w:bCs/>
        </w:rPr>
        <w:t xml:space="preserve"> </w:t>
      </w:r>
    </w:p>
    <w:p w:rsidR="009D4170" w:rsidRPr="00514DEC" w:rsidRDefault="009D4170" w:rsidP="009D4170">
      <w:pPr>
        <w:jc w:val="both"/>
        <w:rPr>
          <w:rFonts w:ascii="Arial" w:hAnsi="Arial"/>
          <w:sz w:val="20"/>
        </w:rPr>
      </w:pPr>
      <w:r w:rsidRPr="00514DEC">
        <w:rPr>
          <w:rFonts w:ascii="Arial" w:hAnsi="Arial"/>
          <w:sz w:val="20"/>
        </w:rPr>
        <w:fldChar w:fldCharType="begin"/>
      </w:r>
      <w:r w:rsidRPr="00514DEC">
        <w:rPr>
          <w:rFonts w:ascii="Arial" w:hAnsi="Arial"/>
          <w:sz w:val="20"/>
        </w:rPr>
        <w:instrText xml:space="preserve"> INCLUDEPICTURE "https://www.researchgate.net/figure/profile/Thomas-Papadimos/publication/303790119/figure/fig1/AS:465299221815297@1487947387692/Confusion-assessment-method-for-the-ICU-CAM-ICU-Flow-sheet.png" \* MERGEFORMATINET </w:instrText>
      </w:r>
      <w:r w:rsidRPr="00514DEC">
        <w:rPr>
          <w:rFonts w:ascii="Arial" w:hAnsi="Arial"/>
          <w:sz w:val="20"/>
        </w:rPr>
        <w:fldChar w:fldCharType="end"/>
      </w:r>
      <w:r w:rsidRPr="00514DEC">
        <w:rPr>
          <w:rFonts w:ascii="Calibri" w:hAnsi="Calibri" w:cs="Calibri"/>
          <w:b/>
          <w:bCs/>
          <w:noProof/>
        </w:rPr>
        <w:drawing>
          <wp:inline distT="0" distB="0" distL="0" distR="0" wp14:anchorId="7CACA8F2" wp14:editId="06DA3FFB">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1.pdf"/>
                    <pic:cNvPicPr/>
                  </pic:nvPicPr>
                  <pic:blipFill>
                    <a:blip r:embed="rId4">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9D4170" w:rsidRPr="00514DEC" w:rsidRDefault="009D4170" w:rsidP="009D4170">
      <w:pPr>
        <w:rPr>
          <w:rFonts w:ascii="Calibri" w:hAnsi="Calibri" w:cs="Calibri"/>
          <w:b/>
          <w:bCs/>
          <w:sz w:val="20"/>
          <w:szCs w:val="20"/>
        </w:rPr>
      </w:pPr>
      <w:r w:rsidRPr="00514DEC">
        <w:rPr>
          <w:rFonts w:ascii="Calibri" w:hAnsi="Calibri" w:cs="Calibri"/>
          <w:color w:val="000000"/>
          <w:sz w:val="20"/>
          <w:szCs w:val="20"/>
        </w:rPr>
        <w:t>Patients were first assessed for level of sedation using the Richmond Agitation-Sedation Scale (RASS). Those with RAAS score of -4 are ineligible for CAM-ICU assessment and deemed comatose. In those eligible, CAM-ICU assessment was completed as described in the figure. Acute change in mental status from baseline or mental status fluctuation over the past 24 hours prompts testing for inattention. Inattention is defined as more than 2 errors when individuals are asked to squeeze the assessor’s hand when the letter “A” is said (assessor reads SAVEHAART or CASABLANCA or ABADBADDAAY). In those with more than 2 errors and a RAAS level other than zero are assessed with disorganized thinking. Thinking is assessed by a series of questions: 1. Will a stone float on water? 2. Are there fish in the sea? 3. Does one pound weight more than two? 4. Can you use a hammer to pound a nail? More than 1 error is categorized as disorganized thinking. Alternatively, assessor hold ups two figures and then participant is asked to do the same thing with the other hand or add one finger.</w:t>
      </w:r>
    </w:p>
    <w:p w:rsidR="009D4170" w:rsidRPr="00514DEC" w:rsidRDefault="009D4170" w:rsidP="009D4170">
      <w:pPr>
        <w:jc w:val="both"/>
        <w:rPr>
          <w:rFonts w:ascii="Arial" w:hAnsi="Arial"/>
          <w:sz w:val="20"/>
        </w:rPr>
      </w:pPr>
    </w:p>
    <w:p w:rsidR="009D4170" w:rsidRPr="00514DEC" w:rsidRDefault="009D4170" w:rsidP="009D4170">
      <w:pPr>
        <w:rPr>
          <w:rFonts w:ascii="Calibri" w:hAnsi="Calibri" w:cs="Calibri"/>
          <w:b/>
          <w:bCs/>
        </w:rPr>
        <w:sectPr w:rsidR="009D4170" w:rsidRPr="00514DEC" w:rsidSect="00566FEE">
          <w:pgSz w:w="12240" w:h="15840"/>
          <w:pgMar w:top="1440" w:right="1440" w:bottom="1440" w:left="1440" w:header="720" w:footer="720" w:gutter="0"/>
          <w:cols w:space="720"/>
          <w:docGrid w:linePitch="360"/>
        </w:sectPr>
      </w:pPr>
    </w:p>
    <w:p w:rsidR="009D4170" w:rsidRPr="00514DEC" w:rsidRDefault="009D4170" w:rsidP="009D4170">
      <w:pPr>
        <w:rPr>
          <w:rFonts w:ascii="Calibri" w:hAnsi="Calibri" w:cs="Calibri"/>
          <w:b/>
          <w:bCs/>
        </w:rPr>
      </w:pPr>
      <w:r w:rsidRPr="00514DEC">
        <w:rPr>
          <w:rFonts w:ascii="Calibri" w:hAnsi="Calibri" w:cs="Calibri"/>
          <w:b/>
          <w:bCs/>
        </w:rPr>
        <w:lastRenderedPageBreak/>
        <w:t xml:space="preserve">Supplementary Figure 2. </w:t>
      </w:r>
      <w:r w:rsidRPr="00514DEC">
        <w:rPr>
          <w:rFonts w:ascii="Calibri" w:hAnsi="Calibri" w:cs="Calibri"/>
          <w:bCs/>
        </w:rPr>
        <w:t xml:space="preserve">Prediction of inpatient, 30-day and 90-day mortality using RASS/CAM-ICU in different MELD subgroups*. </w:t>
      </w:r>
    </w:p>
    <w:p w:rsidR="009D4170" w:rsidRPr="00514DEC" w:rsidRDefault="009D4170" w:rsidP="009D4170">
      <w:pPr>
        <w:rPr>
          <w:rFonts w:ascii="Calibri" w:hAnsi="Calibri" w:cs="Calibri"/>
          <w:b/>
          <w:bCs/>
        </w:rPr>
      </w:pPr>
    </w:p>
    <w:p w:rsidR="009D4170" w:rsidRPr="00514DEC" w:rsidRDefault="009D4170" w:rsidP="009D4170">
      <w:pPr>
        <w:rPr>
          <w:rFonts w:ascii="Calibri" w:hAnsi="Calibri" w:cs="Calibri"/>
          <w:bCs/>
        </w:rPr>
      </w:pPr>
      <w:r w:rsidRPr="00514DEC">
        <w:rPr>
          <w:rFonts w:ascii="Calibri" w:hAnsi="Calibri" w:cs="Calibri"/>
          <w:bCs/>
          <w:noProof/>
        </w:rPr>
        <w:drawing>
          <wp:inline distT="0" distB="0" distL="0" distR="0" wp14:anchorId="7DD54198" wp14:editId="79425402">
            <wp:extent cx="8229600" cy="317402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b="31434"/>
                    <a:stretch/>
                  </pic:blipFill>
                  <pic:spPr bwMode="auto">
                    <a:xfrm>
                      <a:off x="0" y="0"/>
                      <a:ext cx="8229600" cy="3174023"/>
                    </a:xfrm>
                    <a:prstGeom prst="rect">
                      <a:avLst/>
                    </a:prstGeom>
                    <a:ln>
                      <a:noFill/>
                    </a:ln>
                    <a:extLst>
                      <a:ext uri="{53640926-AAD7-44D8-BBD7-CCE9431645EC}">
                        <a14:shadowObscured xmlns:a14="http://schemas.microsoft.com/office/drawing/2010/main"/>
                      </a:ext>
                    </a:extLst>
                  </pic:spPr>
                </pic:pic>
              </a:graphicData>
            </a:graphic>
          </wp:inline>
        </w:drawing>
      </w:r>
    </w:p>
    <w:p w:rsidR="009D4170" w:rsidRPr="00514DEC" w:rsidRDefault="009D4170" w:rsidP="009D4170">
      <w:pPr>
        <w:rPr>
          <w:rFonts w:ascii="Calibri" w:hAnsi="Calibri" w:cs="Calibri"/>
          <w:bCs/>
        </w:rPr>
      </w:pPr>
      <w:r w:rsidRPr="00514DEC">
        <w:rPr>
          <w:rFonts w:ascii="Calibri" w:hAnsi="Calibri" w:cs="Calibri"/>
          <w:bCs/>
        </w:rPr>
        <w:t>*Group 1 = MELD &lt; 20 (n = 258); Group 2 = MELD 20 – 29 (n = 139); Group 3 = MELD ≥ 30 (n = 42). Model adjusted for ICU at admission</w:t>
      </w:r>
      <w:r>
        <w:rPr>
          <w:rFonts w:ascii="Calibri" w:hAnsi="Calibri" w:cs="Calibri"/>
          <w:bCs/>
        </w:rPr>
        <w:t xml:space="preserve"> and</w:t>
      </w:r>
      <w:r w:rsidRPr="00514DEC">
        <w:rPr>
          <w:rFonts w:ascii="Calibri" w:hAnsi="Calibri" w:cs="Calibri"/>
          <w:bCs/>
        </w:rPr>
        <w:t xml:space="preserve"> Charlson Co-morbidity score. Pair-wise comparisons between groups for each outcome using Chi-squared all with p&gt;0.05.</w:t>
      </w:r>
    </w:p>
    <w:p w:rsidR="009D4170" w:rsidRPr="00514DEC" w:rsidRDefault="009D4170" w:rsidP="009D4170">
      <w:pPr>
        <w:rPr>
          <w:rFonts w:ascii="Calibri" w:hAnsi="Calibri" w:cs="Calibri"/>
          <w:b/>
          <w:bCs/>
        </w:rPr>
      </w:pPr>
    </w:p>
    <w:p w:rsidR="009D4170" w:rsidRPr="00514DEC" w:rsidRDefault="009D4170" w:rsidP="009D4170">
      <w:pPr>
        <w:rPr>
          <w:rFonts w:ascii="Calibri" w:hAnsi="Calibri" w:cs="Calibri"/>
          <w:bCs/>
        </w:rPr>
      </w:pPr>
    </w:p>
    <w:p w:rsidR="009D4170" w:rsidRDefault="009D4170" w:rsidP="009D4170">
      <w:pPr>
        <w:rPr>
          <w:rFonts w:ascii="Calibri" w:hAnsi="Calibri" w:cs="Calibri"/>
          <w:b/>
        </w:rPr>
      </w:pPr>
    </w:p>
    <w:p w:rsidR="00AB398A" w:rsidRDefault="00AB398A">
      <w:bookmarkStart w:id="0" w:name="_GoBack"/>
      <w:bookmarkEnd w:id="0"/>
    </w:p>
    <w:sectPr w:rsidR="00AB398A" w:rsidSect="00514DE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170"/>
    <w:rsid w:val="009D4170"/>
    <w:rsid w:val="00AB3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5E1DB-8F99-4F1C-A352-BBC5647DF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1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535</Words>
  <Characters>3051</Characters>
  <Application>Microsoft Office Word</Application>
  <DocSecurity>0</DocSecurity>
  <Lines>25</Lines>
  <Paragraphs>7</Paragraphs>
  <ScaleCrop>false</ScaleCrop>
  <Company>Springer Nature</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2022-07-17T16:27:00Z</dcterms:created>
  <dcterms:modified xsi:type="dcterms:W3CDTF">2022-07-17T16:27:00Z</dcterms:modified>
</cp:coreProperties>
</file>