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7634A" w14:textId="77777777" w:rsidR="00CA477B" w:rsidRDefault="00CA477B" w:rsidP="00CA477B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t>Supplementary Table 1</w:t>
      </w:r>
      <w:r>
        <w:rPr>
          <w:rFonts w:ascii="Times New Roman" w:hAnsi="Times New Roman" w:cs="Times New Roman"/>
          <w:b/>
          <w:bCs/>
          <w:szCs w:val="21"/>
        </w:rPr>
        <w:t>. Scoring of histological lesions of VBDS in the liver biopsy specimens</w:t>
      </w:r>
    </w:p>
    <w:tbl>
      <w:tblPr>
        <w:tblW w:w="1049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666"/>
        <w:gridCol w:w="1740"/>
        <w:gridCol w:w="1701"/>
        <w:gridCol w:w="1701"/>
        <w:gridCol w:w="1743"/>
      </w:tblGrid>
      <w:tr w:rsidR="00CA477B" w14:paraId="526E2B91" w14:textId="77777777" w:rsidTr="00005C26">
        <w:trPr>
          <w:jc w:val="center"/>
        </w:trPr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8E10D" w14:textId="77777777" w:rsidR="00CA477B" w:rsidRDefault="00CA477B" w:rsidP="00005C26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Histological lesions               Score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14:paraId="647EA163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14:paraId="690241DB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A5682C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9A0BE4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14:paraId="4AC7149A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CA477B" w14:paraId="5DC23947" w14:textId="77777777" w:rsidTr="00005C26">
        <w:trPr>
          <w:jc w:val="center"/>
        </w:trPr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A286C" w14:textId="77777777" w:rsidR="00CA477B" w:rsidRDefault="00CA477B" w:rsidP="00005C26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Cholangitis and regeneration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14:paraId="3A3DB3C4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auto"/>
            </w:tcBorders>
          </w:tcPr>
          <w:p w14:paraId="6C263BB2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1CCFF2C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065F6DB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</w:tcPr>
          <w:p w14:paraId="62BBE80E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77B" w14:paraId="50250710" w14:textId="77777777" w:rsidTr="00005C26">
        <w:trPr>
          <w:jc w:val="center"/>
        </w:trPr>
        <w:tc>
          <w:tcPr>
            <w:tcW w:w="293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C38FF" w14:textId="77777777" w:rsidR="00CA477B" w:rsidRDefault="00CA477B" w:rsidP="00005C26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Vanishing bile duct</w:t>
            </w:r>
          </w:p>
        </w:tc>
        <w:tc>
          <w:tcPr>
            <w:tcW w:w="666" w:type="dxa"/>
          </w:tcPr>
          <w:p w14:paraId="78C39787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740" w:type="dxa"/>
          </w:tcPr>
          <w:p w14:paraId="029910DB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≥1/2,</w:t>
            </w:r>
            <w:r>
              <w:rPr>
                <w:rFonts w:ascii="宋体" w:eastAsia="宋体" w:hAnsi="宋体" w:cs="宋体" w:hint="eastAsia"/>
                <w:szCs w:val="21"/>
              </w:rPr>
              <w:t>＜</w:t>
            </w:r>
            <w:r>
              <w:rPr>
                <w:rFonts w:ascii="Times New Roman" w:hAnsi="Times New Roman" w:cs="Times New Roman"/>
                <w:szCs w:val="21"/>
              </w:rPr>
              <w:t>3/4</w:t>
            </w:r>
          </w:p>
        </w:tc>
        <w:tc>
          <w:tcPr>
            <w:tcW w:w="1701" w:type="dxa"/>
          </w:tcPr>
          <w:p w14:paraId="452849F2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≥3/4</w:t>
            </w:r>
          </w:p>
        </w:tc>
        <w:tc>
          <w:tcPr>
            <w:tcW w:w="1701" w:type="dxa"/>
          </w:tcPr>
          <w:p w14:paraId="35A99F16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743" w:type="dxa"/>
          </w:tcPr>
          <w:p w14:paraId="4748D520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A477B" w14:paraId="7CF5D58D" w14:textId="77777777" w:rsidTr="00005C26">
        <w:trPr>
          <w:jc w:val="center"/>
        </w:trPr>
        <w:tc>
          <w:tcPr>
            <w:tcW w:w="29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8CD3DE" w14:textId="77777777" w:rsidR="00CA477B" w:rsidRDefault="00CA477B" w:rsidP="00005C26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CK7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 xml:space="preserve">+ </w:t>
            </w:r>
            <w:r>
              <w:rPr>
                <w:rFonts w:ascii="Times New Roman" w:hAnsi="Times New Roman" w:cs="Times New Roman"/>
                <w:szCs w:val="21"/>
              </w:rPr>
              <w:t xml:space="preserve">hepatocyte </w:t>
            </w:r>
          </w:p>
        </w:tc>
        <w:tc>
          <w:tcPr>
            <w:tcW w:w="666" w:type="dxa"/>
          </w:tcPr>
          <w:p w14:paraId="30A8CA6F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740" w:type="dxa"/>
          </w:tcPr>
          <w:p w14:paraId="566AD58C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＜</w:t>
            </w:r>
            <w:r>
              <w:rPr>
                <w:rFonts w:ascii="Times New Roman" w:hAnsi="Times New Roman" w:cs="Times New Roman"/>
                <w:szCs w:val="21"/>
              </w:rPr>
              <w:t>1/3 portal tract</w:t>
            </w:r>
          </w:p>
        </w:tc>
        <w:tc>
          <w:tcPr>
            <w:tcW w:w="1701" w:type="dxa"/>
          </w:tcPr>
          <w:p w14:paraId="5B8F31CD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1/3-2/3 portal tract</w:t>
            </w:r>
          </w:p>
        </w:tc>
        <w:tc>
          <w:tcPr>
            <w:tcW w:w="1701" w:type="dxa"/>
          </w:tcPr>
          <w:p w14:paraId="1F766C6D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＞</w:t>
            </w:r>
            <w:r>
              <w:rPr>
                <w:rFonts w:ascii="Times New Roman" w:hAnsi="Times New Roman" w:cs="Times New Roman"/>
                <w:szCs w:val="21"/>
              </w:rPr>
              <w:t>2/3 portal tract</w:t>
            </w:r>
          </w:p>
        </w:tc>
        <w:tc>
          <w:tcPr>
            <w:tcW w:w="1743" w:type="dxa"/>
          </w:tcPr>
          <w:p w14:paraId="1D2A5B1B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A477B" w14:paraId="362F2A38" w14:textId="77777777" w:rsidTr="00005C26">
        <w:trPr>
          <w:jc w:val="center"/>
        </w:trPr>
        <w:tc>
          <w:tcPr>
            <w:tcW w:w="293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E6BA5" w14:textId="77777777" w:rsidR="00CA477B" w:rsidRDefault="00CA477B" w:rsidP="00005C26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Ductular reaction, type Ⅱ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0A4488AA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Absent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14:paraId="023B8EA5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Periportal,</w:t>
            </w:r>
          </w:p>
          <w:p w14:paraId="41DBFBD9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small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599E9C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Periportal, branched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268AEF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14:paraId="0DACB883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A477B" w14:paraId="77E373B8" w14:textId="77777777" w:rsidTr="00005C26">
        <w:trPr>
          <w:jc w:val="center"/>
        </w:trPr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37BC3" w14:textId="77777777" w:rsidR="00CA477B" w:rsidRDefault="00CA477B" w:rsidP="00005C26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Cholestasis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14:paraId="4B5FC460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auto"/>
            </w:tcBorders>
          </w:tcPr>
          <w:p w14:paraId="33FD7D3A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EB9F88F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813B4C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</w:tcPr>
          <w:p w14:paraId="7BCCB908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77B" w14:paraId="1E66A95F" w14:textId="77777777" w:rsidTr="00005C26">
        <w:trPr>
          <w:jc w:val="center"/>
        </w:trPr>
        <w:tc>
          <w:tcPr>
            <w:tcW w:w="293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B57F2" w14:textId="77777777" w:rsidR="00CA477B" w:rsidRDefault="00CA477B" w:rsidP="00005C26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Canalicular cholestasis</w:t>
            </w:r>
          </w:p>
        </w:tc>
        <w:tc>
          <w:tcPr>
            <w:tcW w:w="666" w:type="dxa"/>
          </w:tcPr>
          <w:p w14:paraId="58C9D3BA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Absent</w:t>
            </w:r>
          </w:p>
        </w:tc>
        <w:tc>
          <w:tcPr>
            <w:tcW w:w="1740" w:type="dxa"/>
          </w:tcPr>
          <w:p w14:paraId="51CC674D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Obvious in high power microscopic view in zone 3</w:t>
            </w:r>
          </w:p>
        </w:tc>
        <w:tc>
          <w:tcPr>
            <w:tcW w:w="1701" w:type="dxa"/>
          </w:tcPr>
          <w:p w14:paraId="29A3E1EC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Obvious in low power microscopic view in zone 3</w:t>
            </w:r>
          </w:p>
        </w:tc>
        <w:tc>
          <w:tcPr>
            <w:tcW w:w="1701" w:type="dxa"/>
          </w:tcPr>
          <w:p w14:paraId="0F1ED242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Obvious in low power microscopic view in zone 2,3</w:t>
            </w:r>
          </w:p>
        </w:tc>
        <w:tc>
          <w:tcPr>
            <w:tcW w:w="1743" w:type="dxa"/>
          </w:tcPr>
          <w:p w14:paraId="2C74F84F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Obvious in low power microscopic view in all zone </w:t>
            </w:r>
          </w:p>
        </w:tc>
      </w:tr>
      <w:tr w:rsidR="00CA477B" w14:paraId="75C836B6" w14:textId="77777777" w:rsidTr="00005C26">
        <w:trPr>
          <w:jc w:val="center"/>
        </w:trPr>
        <w:tc>
          <w:tcPr>
            <w:tcW w:w="29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C5D9A" w14:textId="77777777" w:rsidR="00CA477B" w:rsidRDefault="00CA477B" w:rsidP="00005C26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Hepatocellular cholestasis</w:t>
            </w:r>
          </w:p>
        </w:tc>
        <w:tc>
          <w:tcPr>
            <w:tcW w:w="666" w:type="dxa"/>
          </w:tcPr>
          <w:p w14:paraId="351FD0B6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Absent</w:t>
            </w:r>
          </w:p>
        </w:tc>
        <w:tc>
          <w:tcPr>
            <w:tcW w:w="1740" w:type="dxa"/>
          </w:tcPr>
          <w:p w14:paraId="2096A1F2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Some in zone 3</w:t>
            </w:r>
          </w:p>
        </w:tc>
        <w:tc>
          <w:tcPr>
            <w:tcW w:w="1701" w:type="dxa"/>
          </w:tcPr>
          <w:p w14:paraId="4DCF93DC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most in zone 3</w:t>
            </w:r>
          </w:p>
        </w:tc>
        <w:tc>
          <w:tcPr>
            <w:tcW w:w="1701" w:type="dxa"/>
          </w:tcPr>
          <w:p w14:paraId="2F683BAF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most in zone 2,3</w:t>
            </w:r>
          </w:p>
        </w:tc>
        <w:tc>
          <w:tcPr>
            <w:tcW w:w="1743" w:type="dxa"/>
          </w:tcPr>
          <w:p w14:paraId="4CC67D78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most in zone 1,2,3</w:t>
            </w:r>
          </w:p>
        </w:tc>
      </w:tr>
      <w:tr w:rsidR="00CA477B" w14:paraId="62393D69" w14:textId="77777777" w:rsidTr="00005C26">
        <w:trPr>
          <w:jc w:val="center"/>
        </w:trPr>
        <w:tc>
          <w:tcPr>
            <w:tcW w:w="29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7E752" w14:textId="77777777" w:rsidR="00CA477B" w:rsidRDefault="00CA477B" w:rsidP="00005C26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Cholestasis in Kupffer cells</w:t>
            </w:r>
          </w:p>
        </w:tc>
        <w:tc>
          <w:tcPr>
            <w:tcW w:w="666" w:type="dxa"/>
          </w:tcPr>
          <w:p w14:paraId="07A1EA5E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Absent</w:t>
            </w:r>
          </w:p>
        </w:tc>
        <w:tc>
          <w:tcPr>
            <w:tcW w:w="1740" w:type="dxa"/>
          </w:tcPr>
          <w:p w14:paraId="69A8C6C0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Scattered</w:t>
            </w:r>
          </w:p>
        </w:tc>
        <w:tc>
          <w:tcPr>
            <w:tcW w:w="1701" w:type="dxa"/>
          </w:tcPr>
          <w:p w14:paraId="0ADDB335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Numerous</w:t>
            </w:r>
          </w:p>
        </w:tc>
        <w:tc>
          <w:tcPr>
            <w:tcW w:w="1701" w:type="dxa"/>
          </w:tcPr>
          <w:p w14:paraId="7630AA9A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743" w:type="dxa"/>
          </w:tcPr>
          <w:p w14:paraId="440DD88C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Cs w:val="21"/>
              </w:rPr>
              <w:t>/</w:t>
            </w:r>
          </w:p>
        </w:tc>
      </w:tr>
      <w:tr w:rsidR="00CA477B" w14:paraId="399752AB" w14:textId="77777777" w:rsidTr="00005C26">
        <w:trPr>
          <w:jc w:val="center"/>
        </w:trPr>
        <w:tc>
          <w:tcPr>
            <w:tcW w:w="29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5DB15" w14:textId="77777777" w:rsidR="00CA477B" w:rsidRDefault="00CA477B" w:rsidP="00005C26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Cholate stasis</w:t>
            </w:r>
          </w:p>
        </w:tc>
        <w:tc>
          <w:tcPr>
            <w:tcW w:w="666" w:type="dxa"/>
          </w:tcPr>
          <w:p w14:paraId="1AE28AB9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Absent</w:t>
            </w:r>
          </w:p>
        </w:tc>
        <w:tc>
          <w:tcPr>
            <w:tcW w:w="1740" w:type="dxa"/>
          </w:tcPr>
          <w:p w14:paraId="7FF0A9BA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Cs w:val="21"/>
              </w:rPr>
              <w:t>f</w:t>
            </w:r>
            <w:r>
              <w:rPr>
                <w:rFonts w:ascii="Times New Roman" w:eastAsiaTheme="minorEastAsia" w:hAnsi="Times New Roman" w:cs="Times New Roman"/>
                <w:szCs w:val="21"/>
              </w:rPr>
              <w:t>ew</w:t>
            </w:r>
          </w:p>
        </w:tc>
        <w:tc>
          <w:tcPr>
            <w:tcW w:w="1701" w:type="dxa"/>
          </w:tcPr>
          <w:p w14:paraId="4EAC528F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Cs w:val="21"/>
              </w:rPr>
              <w:t>m</w:t>
            </w:r>
            <w:r>
              <w:rPr>
                <w:rFonts w:ascii="Times New Roman" w:eastAsiaTheme="minorEastAsia" w:hAnsi="Times New Roman" w:cs="Times New Roman"/>
                <w:szCs w:val="21"/>
              </w:rPr>
              <w:t>any</w:t>
            </w:r>
          </w:p>
        </w:tc>
        <w:tc>
          <w:tcPr>
            <w:tcW w:w="1701" w:type="dxa"/>
          </w:tcPr>
          <w:p w14:paraId="43E819E1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Cs w:val="21"/>
              </w:rPr>
              <w:t>/</w:t>
            </w:r>
          </w:p>
        </w:tc>
        <w:tc>
          <w:tcPr>
            <w:tcW w:w="1743" w:type="dxa"/>
          </w:tcPr>
          <w:p w14:paraId="3A35B617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Cs w:val="21"/>
              </w:rPr>
              <w:t>/</w:t>
            </w:r>
          </w:p>
        </w:tc>
      </w:tr>
      <w:tr w:rsidR="00CA477B" w14:paraId="5D8AEEE4" w14:textId="77777777" w:rsidTr="00005C26">
        <w:trPr>
          <w:jc w:val="center"/>
        </w:trPr>
        <w:tc>
          <w:tcPr>
            <w:tcW w:w="293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B3A71" w14:textId="77777777" w:rsidR="00CA477B" w:rsidRDefault="00CA477B" w:rsidP="00005C26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Foam cells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4A0DF677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Absent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14:paraId="14B4FEFC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Minimal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A6D585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Clusters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15A568F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14:paraId="61B7A6E8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A477B" w14:paraId="44F71B1B" w14:textId="77777777" w:rsidTr="00005C26">
        <w:trPr>
          <w:jc w:val="center"/>
        </w:trPr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B8E26" w14:textId="77777777" w:rsidR="00CA477B" w:rsidRDefault="00CA477B" w:rsidP="00005C26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Inflammation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14:paraId="0E89222C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auto"/>
            </w:tcBorders>
          </w:tcPr>
          <w:p w14:paraId="3DF0A7B5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45EADA9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F38FD3E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</w:tcPr>
          <w:p w14:paraId="58580CFD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77B" w14:paraId="37362700" w14:textId="77777777" w:rsidTr="00005C26">
        <w:trPr>
          <w:jc w:val="center"/>
        </w:trPr>
        <w:tc>
          <w:tcPr>
            <w:tcW w:w="293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7A270" w14:textId="77777777" w:rsidR="00CA477B" w:rsidRDefault="00CA477B" w:rsidP="00005C26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Portal inflammation</w:t>
            </w:r>
          </w:p>
        </w:tc>
        <w:tc>
          <w:tcPr>
            <w:tcW w:w="666" w:type="dxa"/>
          </w:tcPr>
          <w:p w14:paraId="297F9568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Absent</w:t>
            </w:r>
          </w:p>
        </w:tc>
        <w:tc>
          <w:tcPr>
            <w:tcW w:w="1740" w:type="dxa"/>
          </w:tcPr>
          <w:p w14:paraId="1E936DC8" w14:textId="77777777" w:rsidR="00CA477B" w:rsidRDefault="00CA477B" w:rsidP="00005C26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Mild, some or all portal areas</w:t>
            </w:r>
          </w:p>
        </w:tc>
        <w:tc>
          <w:tcPr>
            <w:tcW w:w="1701" w:type="dxa"/>
          </w:tcPr>
          <w:p w14:paraId="18E75193" w14:textId="77777777" w:rsidR="00CA477B" w:rsidRDefault="00CA477B" w:rsidP="00005C26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Moderate, some or all portal areas</w:t>
            </w:r>
          </w:p>
        </w:tc>
        <w:tc>
          <w:tcPr>
            <w:tcW w:w="1701" w:type="dxa"/>
          </w:tcPr>
          <w:p w14:paraId="7D31258D" w14:textId="77777777" w:rsidR="00CA477B" w:rsidRDefault="00CA477B" w:rsidP="00005C26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Moderate/marked, all portal areas</w:t>
            </w:r>
          </w:p>
        </w:tc>
        <w:tc>
          <w:tcPr>
            <w:tcW w:w="1743" w:type="dxa"/>
          </w:tcPr>
          <w:p w14:paraId="617A986B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Marked, all portal areas</w:t>
            </w:r>
          </w:p>
        </w:tc>
      </w:tr>
      <w:tr w:rsidR="00CA477B" w14:paraId="2AAF0F8B" w14:textId="77777777" w:rsidTr="00005C26">
        <w:trPr>
          <w:jc w:val="center"/>
        </w:trPr>
        <w:tc>
          <w:tcPr>
            <w:tcW w:w="29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2F495" w14:textId="77777777" w:rsidR="00CA477B" w:rsidRDefault="00CA477B" w:rsidP="00005C26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Interface hepatitis</w:t>
            </w:r>
          </w:p>
        </w:tc>
        <w:tc>
          <w:tcPr>
            <w:tcW w:w="666" w:type="dxa"/>
          </w:tcPr>
          <w:p w14:paraId="41EDB9D7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Absent</w:t>
            </w:r>
          </w:p>
        </w:tc>
        <w:tc>
          <w:tcPr>
            <w:tcW w:w="1740" w:type="dxa"/>
          </w:tcPr>
          <w:p w14:paraId="57FF5268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Mild</w:t>
            </w:r>
          </w:p>
        </w:tc>
        <w:tc>
          <w:tcPr>
            <w:tcW w:w="1701" w:type="dxa"/>
          </w:tcPr>
          <w:p w14:paraId="79094FCC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Mild-Moderate</w:t>
            </w:r>
          </w:p>
        </w:tc>
        <w:tc>
          <w:tcPr>
            <w:tcW w:w="1701" w:type="dxa"/>
          </w:tcPr>
          <w:p w14:paraId="75473426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Moderate</w:t>
            </w:r>
          </w:p>
        </w:tc>
        <w:tc>
          <w:tcPr>
            <w:tcW w:w="1743" w:type="dxa"/>
          </w:tcPr>
          <w:p w14:paraId="47A89D80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Severe</w:t>
            </w:r>
          </w:p>
        </w:tc>
      </w:tr>
      <w:tr w:rsidR="00CA477B" w14:paraId="2C64D244" w14:textId="77777777" w:rsidTr="00005C26">
        <w:trPr>
          <w:jc w:val="center"/>
        </w:trPr>
        <w:tc>
          <w:tcPr>
            <w:tcW w:w="293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40B62" w14:textId="77777777" w:rsidR="00CA477B" w:rsidRPr="00E6209B" w:rsidRDefault="00CA477B" w:rsidP="00005C26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6209B">
              <w:rPr>
                <w:rFonts w:ascii="Times New Roman" w:hAnsi="Times New Roman" w:cs="Times New Roman"/>
                <w:color w:val="000000" w:themeColor="text1"/>
                <w:szCs w:val="21"/>
              </w:rPr>
              <w:t>Lobular inflammation</w:t>
            </w:r>
          </w:p>
          <w:p w14:paraId="656577CE" w14:textId="77777777" w:rsidR="00CA477B" w:rsidRDefault="00CA477B" w:rsidP="00005C26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E6209B">
              <w:rPr>
                <w:rFonts w:ascii="Times New Roman" w:hAnsi="Times New Roman" w:cs="Times New Roman"/>
                <w:color w:val="000000" w:themeColor="text1"/>
                <w:szCs w:val="21"/>
              </w:rPr>
              <w:t>(Assessment at X200)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00B20570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Absent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14:paraId="488746DE" w14:textId="77777777" w:rsidR="00CA477B" w:rsidRPr="007337BA" w:rsidRDefault="00CA477B" w:rsidP="00005C26">
            <w:pPr>
              <w:widowControl/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＜</w:t>
            </w:r>
            <w:r>
              <w:rPr>
                <w:rFonts w:ascii="Times New Roman" w:eastAsiaTheme="minorEastAsia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 lesions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B6A0CC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2-4</w:t>
            </w:r>
            <w:r w:rsidRPr="007337BA">
              <w:rPr>
                <w:rFonts w:ascii="Times New Roman" w:eastAsiaTheme="minorEastAsia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lesions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143717F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＞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 w:rsidRPr="007337BA">
              <w:rPr>
                <w:rFonts w:ascii="Times New Roman" w:eastAsiaTheme="minorEastAsia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lesions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14:paraId="73660899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A477B" w14:paraId="6B873AA8" w14:textId="77777777" w:rsidTr="00005C26">
        <w:trPr>
          <w:jc w:val="center"/>
        </w:trPr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337C5" w14:textId="77777777" w:rsidR="00CA477B" w:rsidRDefault="00CA477B" w:rsidP="00005C26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Fibrosis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14:paraId="51DF5BD4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auto"/>
            </w:tcBorders>
          </w:tcPr>
          <w:p w14:paraId="00D2B700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EC32C74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08D337D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</w:tcPr>
          <w:p w14:paraId="13FCFD1F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77B" w14:paraId="2A8A0058" w14:textId="77777777" w:rsidTr="00005C26">
        <w:trPr>
          <w:jc w:val="center"/>
        </w:trPr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21D8E" w14:textId="77777777" w:rsidR="00CA477B" w:rsidRDefault="00CA477B" w:rsidP="00005C26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Fibrosis (according to Ludwig)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26949CA4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Absent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14:paraId="2E4A0111" w14:textId="77777777" w:rsidR="00CA477B" w:rsidRDefault="00CA477B" w:rsidP="00005C2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portal inflammation with or without florid bile duct lesions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17B992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Periportal lesions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37126B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Septal fibrosis or bridging necrosis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14:paraId="68CA80CA" w14:textId="77777777" w:rsidR="00CA477B" w:rsidRDefault="00CA477B" w:rsidP="00005C26">
            <w:pPr>
              <w:spacing w:line="276" w:lineRule="auto"/>
              <w:ind w:left="708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Cirrhosis</w:t>
            </w:r>
          </w:p>
          <w:p w14:paraId="3BBBB135" w14:textId="77777777" w:rsidR="00CA477B" w:rsidRDefault="00CA477B" w:rsidP="00005C2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39466AA3" w14:textId="678BD8D0" w:rsidR="00CA477B" w:rsidRPr="00CA477B" w:rsidRDefault="00CA477B" w:rsidP="00CA477B">
      <w:pPr>
        <w:spacing w:line="360" w:lineRule="auto"/>
        <w:rPr>
          <w:rFonts w:ascii="Times New Roman" w:eastAsiaTheme="minorEastAsia" w:hAnsi="Times New Roman" w:cs="Times New Roman" w:hint="eastAsia"/>
          <w:b/>
          <w:bCs/>
          <w:szCs w:val="21"/>
        </w:rPr>
      </w:pPr>
      <w:r>
        <w:rPr>
          <w:rFonts w:ascii="Times New Roman" w:eastAsiaTheme="minorEastAsia" w:hAnsi="Times New Roman" w:cs="Times New Roman"/>
          <w:szCs w:val="21"/>
        </w:rPr>
        <w:br w:type="page"/>
      </w:r>
      <w:r>
        <w:rPr>
          <w:rFonts w:ascii="Times New Roman" w:eastAsia="宋体" w:hAnsi="Times New Roman" w:cs="Times New Roman"/>
          <w:b/>
          <w:bCs/>
          <w:szCs w:val="21"/>
        </w:rPr>
        <w:lastRenderedPageBreak/>
        <w:t xml:space="preserve">Supplementary Table </w:t>
      </w:r>
      <w:r>
        <w:rPr>
          <w:rFonts w:ascii="Times New Roman" w:eastAsia="宋体" w:hAnsi="Times New Roman" w:cs="Times New Roman"/>
          <w:b/>
          <w:bCs/>
          <w:szCs w:val="21"/>
        </w:rPr>
        <w:t>2</w:t>
      </w:r>
      <w:r>
        <w:rPr>
          <w:rFonts w:ascii="Times New Roman" w:hAnsi="Times New Roman" w:cs="Times New Roman"/>
          <w:b/>
          <w:bCs/>
          <w:szCs w:val="21"/>
        </w:rPr>
        <w:t xml:space="preserve">. Univariate and multivariable 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C</w:t>
      </w:r>
      <w:r>
        <w:rPr>
          <w:rFonts w:ascii="Times New Roman" w:hAnsi="Times New Roman" w:cs="Times New Roman"/>
          <w:b/>
          <w:bCs/>
          <w:szCs w:val="21"/>
        </w:rPr>
        <w:t>ox regression analysis of clinical and biochemical characteristics associated with liver transplantation or liver-related deaths</w:t>
      </w:r>
      <w:r w:rsidRPr="00C45502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in patients with vanishing bile duct syndrome </w:t>
      </w:r>
    </w:p>
    <w:tbl>
      <w:tblPr>
        <w:tblW w:w="9398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268"/>
        <w:gridCol w:w="851"/>
        <w:gridCol w:w="283"/>
        <w:gridCol w:w="2268"/>
        <w:gridCol w:w="893"/>
      </w:tblGrid>
      <w:tr w:rsidR="00CA477B" w14:paraId="691250F6" w14:textId="77777777" w:rsidTr="00CA477B">
        <w:trPr>
          <w:cantSplit/>
          <w:trHeight w:hRule="exact" w:val="454"/>
          <w:tblHeader/>
          <w:jc w:val="center"/>
        </w:trPr>
        <w:tc>
          <w:tcPr>
            <w:tcW w:w="2835" w:type="dxa"/>
            <w:vMerge w:val="restart"/>
            <w:tcBorders>
              <w:top w:val="single" w:sz="12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5B3B3" w14:textId="77777777" w:rsidR="00CA477B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szCs w:val="21"/>
              </w:rPr>
              <w:t>Characteristics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BB49F" w14:textId="77777777" w:rsidR="00CA477B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szCs w:val="21"/>
              </w:rPr>
              <w:t>Univariate analysis</w:t>
            </w:r>
          </w:p>
        </w:tc>
        <w:tc>
          <w:tcPr>
            <w:tcW w:w="283" w:type="dxa"/>
            <w:tcBorders>
              <w:top w:val="single" w:sz="12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CDC07" w14:textId="77777777" w:rsidR="00CA477B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316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1CF15" w14:textId="77777777" w:rsidR="00CA477B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szCs w:val="21"/>
              </w:rPr>
              <w:t>Multivariate analysis</w:t>
            </w:r>
          </w:p>
        </w:tc>
      </w:tr>
      <w:tr w:rsidR="00CA477B" w14:paraId="5FED44F3" w14:textId="77777777" w:rsidTr="00CA477B">
        <w:trPr>
          <w:cantSplit/>
          <w:trHeight w:hRule="exact" w:val="454"/>
          <w:tblHeader/>
          <w:jc w:val="center"/>
        </w:trPr>
        <w:tc>
          <w:tcPr>
            <w:tcW w:w="2835" w:type="dxa"/>
            <w:vMerge/>
            <w:tcBorders>
              <w:top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8E2A0" w14:textId="77777777" w:rsidR="00CA477B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B1E98" w14:textId="77777777" w:rsidR="00CA477B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szCs w:val="21"/>
              </w:rPr>
              <w:t>Hazard ratio (95% CI)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17A79" w14:textId="77777777" w:rsidR="00CA477B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szCs w:val="21"/>
              </w:rPr>
              <w:t>P value</w:t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431DA" w14:textId="77777777" w:rsidR="00CA477B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92D05" w14:textId="77777777" w:rsidR="00CA477B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szCs w:val="21"/>
              </w:rPr>
              <w:t>Hazard ratio (95% CI)</w:t>
            </w:r>
          </w:p>
        </w:tc>
        <w:tc>
          <w:tcPr>
            <w:tcW w:w="8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0F4D4" w14:textId="77777777" w:rsidR="00CA477B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szCs w:val="21"/>
              </w:rPr>
              <w:t>P value</w:t>
            </w:r>
          </w:p>
        </w:tc>
      </w:tr>
      <w:tr w:rsidR="00CA477B" w14:paraId="2644E7F6" w14:textId="77777777" w:rsidTr="00CA477B">
        <w:trPr>
          <w:cantSplit/>
          <w:trHeight w:hRule="exact" w:val="454"/>
          <w:jc w:val="center"/>
        </w:trPr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B199C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left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eastAsia="DejaVu Sans" w:hAnsi="Times New Roman" w:cs="Times New Roman"/>
                <w:b/>
                <w:bCs/>
                <w:szCs w:val="21"/>
              </w:rPr>
              <w:t>Female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24EC4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eastAsia="DejaVu Sans" w:hAnsi="Times New Roman" w:cs="Times New Roman"/>
                <w:szCs w:val="21"/>
              </w:rPr>
              <w:t>0.485 (0.258-0.913)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4678E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eastAsia="DejaVu Sans" w:hAnsi="Times New Roman" w:cs="Times New Roman"/>
                <w:b/>
                <w:szCs w:val="21"/>
              </w:rPr>
              <w:t>0.025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58ED2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4FF21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eastAsia="DejaVu Sans" w:hAnsi="Times New Roman" w:cs="Times New Roman"/>
                <w:szCs w:val="21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C841C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eastAsia="DejaVu Sans" w:hAnsi="Times New Roman" w:cs="Times New Roman"/>
                <w:szCs w:val="21"/>
              </w:rPr>
            </w:pPr>
          </w:p>
        </w:tc>
      </w:tr>
      <w:tr w:rsidR="00CA477B" w14:paraId="282B8286" w14:textId="77777777" w:rsidTr="00CA477B">
        <w:trPr>
          <w:cantSplit/>
          <w:trHeight w:hRule="exact" w:val="45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38E47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left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eastAsia="宋体" w:hAnsi="Times New Roman" w:cs="Times New Roman"/>
                <w:b/>
                <w:bCs/>
                <w:szCs w:val="21"/>
              </w:rPr>
              <w:t>Age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5FF54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eastAsia="DejaVu Sans" w:hAnsi="Times New Roman" w:cs="Times New Roman"/>
                <w:szCs w:val="21"/>
              </w:rPr>
              <w:t>1.002 (0.978-1.028)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10293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eastAsia="DejaVu Sans" w:hAnsi="Times New Roman" w:cs="Times New Roman"/>
                <w:szCs w:val="21"/>
              </w:rPr>
              <w:t>0.847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C78B4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F46D0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eastAsia="DejaVu Sans" w:hAnsi="Times New Roman" w:cs="Times New Roman"/>
                <w:szCs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C9277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eastAsia="DejaVu Sans" w:hAnsi="Times New Roman" w:cs="Times New Roman"/>
                <w:szCs w:val="21"/>
              </w:rPr>
            </w:pPr>
          </w:p>
        </w:tc>
      </w:tr>
      <w:tr w:rsidR="00CA477B" w14:paraId="1A0F29DE" w14:textId="77777777" w:rsidTr="00CA477B">
        <w:trPr>
          <w:cantSplit/>
          <w:trHeight w:hRule="exact" w:val="45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B175D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left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eastAsia="宋体" w:hAnsi="Times New Roman" w:cs="Times New Roman"/>
                <w:b/>
                <w:bCs/>
                <w:szCs w:val="21"/>
              </w:rPr>
              <w:t>Etiology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C059A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FD556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82FC5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D3EC8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eastAsia="DejaVu Sans" w:hAnsi="Times New Roman" w:cs="Times New Roman"/>
                <w:szCs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E4A90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eastAsia="DejaVu Sans" w:hAnsi="Times New Roman" w:cs="Times New Roman"/>
                <w:szCs w:val="21"/>
              </w:rPr>
            </w:pPr>
          </w:p>
        </w:tc>
      </w:tr>
      <w:tr w:rsidR="00CA477B" w14:paraId="7A1213E5" w14:textId="77777777" w:rsidTr="00CA477B">
        <w:trPr>
          <w:cantSplit/>
          <w:trHeight w:hRule="exact" w:val="45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5DBED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left"/>
              <w:rPr>
                <w:rFonts w:ascii="Times New Roman" w:eastAsia="DejaVu Sans" w:hAnsi="Times New Roman" w:cs="Times New Roman"/>
                <w:b/>
                <w:bCs/>
                <w:szCs w:val="21"/>
              </w:rPr>
            </w:pPr>
            <w:r w:rsidRPr="0090388F">
              <w:rPr>
                <w:rFonts w:ascii="Times New Roman" w:eastAsia="DejaVu Sans" w:hAnsi="Times New Roman" w:cs="Times New Roman"/>
                <w:b/>
                <w:bCs/>
                <w:szCs w:val="21"/>
              </w:rPr>
              <w:t xml:space="preserve">   Drug-induced injury</w:t>
            </w:r>
          </w:p>
          <w:p w14:paraId="0B92E85F" w14:textId="77777777" w:rsidR="00CA477B" w:rsidRPr="0090388F" w:rsidRDefault="00CA477B" w:rsidP="00005C26">
            <w:pPr>
              <w:spacing w:before="100" w:after="100" w:line="276" w:lineRule="auto"/>
              <w:ind w:left="100" w:right="100" w:firstLineChars="100" w:firstLine="211"/>
              <w:jc w:val="left"/>
              <w:rPr>
                <w:rFonts w:ascii="Times New Roman" w:eastAsia="DejaVu Sans" w:hAnsi="Times New Roman" w:cs="Times New Roman"/>
                <w:b/>
                <w:bCs/>
                <w:szCs w:val="21"/>
              </w:rPr>
            </w:pPr>
          </w:p>
          <w:p w14:paraId="1DE92CC0" w14:textId="77777777" w:rsidR="00CA477B" w:rsidRPr="0090388F" w:rsidRDefault="00CA477B" w:rsidP="00005C26">
            <w:pPr>
              <w:spacing w:before="100" w:after="100" w:line="276" w:lineRule="auto"/>
              <w:ind w:left="100" w:right="100" w:firstLineChars="100" w:firstLine="211"/>
              <w:jc w:val="left"/>
              <w:rPr>
                <w:rFonts w:ascii="Times New Roman" w:eastAsia="DejaVu Sans" w:hAnsi="Times New Roman" w:cs="Times New Roman"/>
                <w:b/>
                <w:bCs/>
                <w:szCs w:val="21"/>
              </w:rPr>
            </w:pPr>
          </w:p>
          <w:p w14:paraId="156689FC" w14:textId="77777777" w:rsidR="00CA477B" w:rsidRPr="0090388F" w:rsidRDefault="00CA477B" w:rsidP="00005C26">
            <w:pPr>
              <w:spacing w:before="100" w:after="100" w:line="276" w:lineRule="auto"/>
              <w:ind w:left="100" w:right="100" w:firstLineChars="100" w:firstLine="211"/>
              <w:jc w:val="left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eastAsia="DejaVu Sans" w:hAnsi="Times New Roman" w:cs="Times New Roman"/>
                <w:b/>
                <w:bCs/>
                <w:szCs w:val="21"/>
              </w:rPr>
              <w:t xml:space="preserve"> live injury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83FEC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eastAsia="DejaVu Sans" w:hAnsi="Times New Roman" w:cs="Times New Roman"/>
                <w:szCs w:val="21"/>
              </w:rPr>
            </w:pPr>
            <w:r w:rsidRPr="0090388F">
              <w:rPr>
                <w:rFonts w:ascii="Times New Roman" w:eastAsia="DejaVu Sans" w:hAnsi="Times New Roman" w:cs="Times New Roman"/>
                <w:szCs w:val="21"/>
              </w:rPr>
              <w:t>Reference</w:t>
            </w:r>
          </w:p>
          <w:p w14:paraId="3248FD21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eastAsia="DejaVu Sans" w:hAnsi="Times New Roman" w:cs="Times New Roman"/>
                <w:szCs w:val="21"/>
              </w:rPr>
            </w:pPr>
          </w:p>
          <w:p w14:paraId="35239DE6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D6243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F78C9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985B2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eastAsia="DejaVu Sans" w:hAnsi="Times New Roman" w:cs="Times New Roman"/>
                <w:szCs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ACCDD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eastAsia="DejaVu Sans" w:hAnsi="Times New Roman" w:cs="Times New Roman"/>
                <w:szCs w:val="21"/>
              </w:rPr>
            </w:pPr>
          </w:p>
        </w:tc>
      </w:tr>
      <w:tr w:rsidR="00CA477B" w14:paraId="08D8F02C" w14:textId="77777777" w:rsidTr="00CA477B">
        <w:trPr>
          <w:cantSplit/>
          <w:trHeight w:hRule="exact" w:val="45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241B0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left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eastAsia="DejaVu Sans" w:hAnsi="Times New Roman" w:cs="Times New Roman"/>
                <w:b/>
                <w:bCs/>
                <w:szCs w:val="21"/>
              </w:rPr>
              <w:t xml:space="preserve">   Primary biliary cholangitis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EBC66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eastAsia="DejaVu Sans" w:hAnsi="Times New Roman" w:cs="Times New Roman"/>
                <w:szCs w:val="21"/>
              </w:rPr>
              <w:t>1.084 (0.409-2.878)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E8F7C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eastAsia="DejaVu Sans" w:hAnsi="Times New Roman" w:cs="Times New Roman"/>
                <w:szCs w:val="21"/>
              </w:rPr>
              <w:t>0.871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3809A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99E1E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eastAsia="DejaVu Sans" w:hAnsi="Times New Roman" w:cs="Times New Roman"/>
                <w:szCs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39647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eastAsia="DejaVu Sans" w:hAnsi="Times New Roman" w:cs="Times New Roman"/>
                <w:szCs w:val="21"/>
              </w:rPr>
            </w:pPr>
          </w:p>
        </w:tc>
      </w:tr>
      <w:tr w:rsidR="00CA477B" w14:paraId="7351C6A9" w14:textId="77777777" w:rsidTr="00CA477B">
        <w:trPr>
          <w:cantSplit/>
          <w:trHeight w:hRule="exact" w:val="45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27B50" w14:textId="77777777" w:rsidR="00CA477B" w:rsidRPr="0090388F" w:rsidRDefault="00CA477B" w:rsidP="00005C26">
            <w:pPr>
              <w:spacing w:before="100" w:after="100" w:line="276" w:lineRule="auto"/>
              <w:ind w:right="10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0388F">
              <w:rPr>
                <w:rFonts w:ascii="Times New Roman" w:eastAsia="DejaVu Sans" w:hAnsi="Times New Roman" w:cs="Times New Roman"/>
                <w:b/>
                <w:bCs/>
                <w:szCs w:val="21"/>
              </w:rPr>
              <w:t xml:space="preserve">     O</w:t>
            </w:r>
            <w:r w:rsidRPr="0090388F">
              <w:rPr>
                <w:rFonts w:ascii="Times New Roman" w:eastAsiaTheme="minorEastAsia" w:hAnsi="Times New Roman" w:cs="Times New Roman"/>
                <w:b/>
                <w:bCs/>
                <w:szCs w:val="21"/>
              </w:rPr>
              <w:t>thers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16FCB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eastAsia="DejaVu Sans" w:hAnsi="Times New Roman" w:cs="Times New Roman"/>
                <w:szCs w:val="21"/>
              </w:rPr>
              <w:t>3.115 (1.139-8.517)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AC6BF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eastAsia="DejaVu Sans" w:hAnsi="Times New Roman" w:cs="Times New Roman"/>
                <w:b/>
                <w:szCs w:val="21"/>
              </w:rPr>
              <w:t>0.027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73493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8C52B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0CD54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77B" w14:paraId="5E37EA61" w14:textId="77777777" w:rsidTr="00CA477B">
        <w:trPr>
          <w:cantSplit/>
          <w:trHeight w:hRule="exact" w:val="45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F359C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90388F">
              <w:rPr>
                <w:rFonts w:ascii="Times New Roman" w:hAnsi="Times New Roman" w:cs="Times New Roman"/>
                <w:b/>
                <w:bCs/>
                <w:szCs w:val="21"/>
              </w:rPr>
              <w:t>AST (U/L)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F87105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hAnsi="Times New Roman" w:cs="Times New Roman"/>
                <w:szCs w:val="21"/>
              </w:rPr>
              <w:t>1.002 (0.999-1.006)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14B45E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hAnsi="Times New Roman" w:cs="Times New Roman"/>
                <w:szCs w:val="21"/>
              </w:rPr>
              <w:t>0.172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550A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320C6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D11FD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77B" w14:paraId="0B9DC2B2" w14:textId="77777777" w:rsidTr="00CA477B">
        <w:trPr>
          <w:cantSplit/>
          <w:trHeight w:hRule="exact" w:val="45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7726B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90388F">
              <w:rPr>
                <w:rFonts w:ascii="Times New Roman" w:hAnsi="Times New Roman" w:cs="Times New Roman"/>
                <w:b/>
                <w:bCs/>
                <w:szCs w:val="21"/>
              </w:rPr>
              <w:t>ALP (U/L)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5D2AEA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hAnsi="Times New Roman" w:cs="Times New Roman"/>
                <w:szCs w:val="21"/>
              </w:rPr>
              <w:t>1.001 (1.000-1.002)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444E1E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hAnsi="Times New Roman" w:cs="Times New Roman"/>
                <w:szCs w:val="21"/>
              </w:rPr>
              <w:t>0.231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59915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E9FB6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1BDDF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77B" w14:paraId="7E05E294" w14:textId="77777777" w:rsidTr="00CA477B">
        <w:trPr>
          <w:cantSplit/>
          <w:trHeight w:hRule="exact" w:val="45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2E05C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0388F">
              <w:rPr>
                <w:rFonts w:ascii="Times New Roman" w:hAnsi="Times New Roman" w:cs="Times New Roman"/>
                <w:b/>
                <w:bCs/>
                <w:szCs w:val="21"/>
              </w:rPr>
              <w:t>GGT (U/L)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A5FE05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hAnsi="Times New Roman" w:cs="Times New Roman"/>
                <w:szCs w:val="21"/>
              </w:rPr>
              <w:t>1.001 (1.000-1.002)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0EBC10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hAnsi="Times New Roman" w:cs="Times New Roman"/>
                <w:szCs w:val="21"/>
              </w:rPr>
              <w:t>0.091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19F22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52B5B7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120990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77B" w14:paraId="2759BFEA" w14:textId="77777777" w:rsidTr="00CA477B">
        <w:trPr>
          <w:cantSplit/>
          <w:trHeight w:hRule="exact" w:val="45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23EFA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0388F">
              <w:rPr>
                <w:rFonts w:ascii="Times New Roman" w:hAnsi="Times New Roman" w:cs="Times New Roman"/>
                <w:b/>
                <w:bCs/>
                <w:szCs w:val="21"/>
              </w:rPr>
              <w:t>ALB (g/L)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C6D65D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hAnsi="Times New Roman" w:cs="Times New Roman"/>
                <w:szCs w:val="21"/>
              </w:rPr>
              <w:t>0.839 (0.782-0.900)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1A6395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0388F">
              <w:rPr>
                <w:rFonts w:ascii="Times New Roman" w:hAnsi="Times New Roman" w:cs="Times New Roman"/>
                <w:b/>
                <w:bCs/>
                <w:szCs w:val="21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B3501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DD3416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243032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77B" w14:paraId="47E8F0CB" w14:textId="77777777" w:rsidTr="00CA477B">
        <w:trPr>
          <w:cantSplit/>
          <w:trHeight w:hRule="exact" w:val="45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42E01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0388F">
              <w:rPr>
                <w:rFonts w:ascii="Times New Roman" w:hAnsi="Times New Roman" w:cs="Times New Roman"/>
                <w:b/>
                <w:bCs/>
                <w:szCs w:val="21"/>
              </w:rPr>
              <w:t>TBIL (umol/L)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05A678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hAnsi="Times New Roman" w:cs="Times New Roman"/>
                <w:szCs w:val="21"/>
              </w:rPr>
              <w:t>1.007 (1.005-1.009)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D015B9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0388F">
              <w:rPr>
                <w:rFonts w:ascii="Times New Roman" w:hAnsi="Times New Roman" w:cs="Times New Roman"/>
                <w:b/>
                <w:bCs/>
                <w:szCs w:val="21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E22AA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hAnsi="Times New Roman" w:cs="Times New Roman"/>
                <w:szCs w:val="21"/>
              </w:rPr>
              <w:t xml:space="preserve">  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E4A008" w14:textId="77777777" w:rsidR="00CA477B" w:rsidRPr="0090388F" w:rsidRDefault="00CA477B" w:rsidP="00005C26">
            <w:pPr>
              <w:spacing w:before="100" w:after="100" w:line="276" w:lineRule="auto"/>
              <w:ind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hAnsi="Times New Roman" w:cs="Times New Roman"/>
                <w:szCs w:val="21"/>
              </w:rPr>
              <w:t>1.017 (1.010-1.023)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DC4FAA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hAnsi="Times New Roman" w:cs="Times New Roman"/>
                <w:b/>
                <w:bCs/>
                <w:szCs w:val="21"/>
              </w:rPr>
              <w:t>&lt;0.001</w:t>
            </w:r>
          </w:p>
        </w:tc>
      </w:tr>
      <w:tr w:rsidR="00CA477B" w14:paraId="23C55E56" w14:textId="77777777" w:rsidTr="00CA477B">
        <w:trPr>
          <w:cantSplit/>
          <w:trHeight w:hRule="exact" w:val="45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A72E3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90388F">
              <w:rPr>
                <w:rFonts w:ascii="Times New Roman" w:hAnsi="Times New Roman" w:cs="Times New Roman"/>
                <w:b/>
                <w:bCs/>
                <w:szCs w:val="21"/>
              </w:rPr>
              <w:t>DBIL (umol/L)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C651D1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hAnsi="Times New Roman" w:cs="Times New Roman"/>
                <w:szCs w:val="21"/>
              </w:rPr>
              <w:t>1.009 (1.006-1.012)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3DB996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0388F">
              <w:rPr>
                <w:rFonts w:ascii="Times New Roman" w:hAnsi="Times New Roman" w:cs="Times New Roman"/>
                <w:b/>
                <w:bCs/>
                <w:szCs w:val="21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5703C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AF5EE1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D7903D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77B" w14:paraId="129F94CD" w14:textId="77777777" w:rsidTr="00CA477B">
        <w:trPr>
          <w:cantSplit/>
          <w:trHeight w:hRule="exact" w:val="454"/>
          <w:jc w:val="center"/>
        </w:trPr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0CB8D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0388F">
              <w:rPr>
                <w:rFonts w:ascii="Times New Roman" w:hAnsi="Times New Roman" w:cs="Times New Roman"/>
                <w:b/>
                <w:bCs/>
                <w:szCs w:val="21"/>
              </w:rPr>
              <w:t>IBIL (umol/L)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4DD6E9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  <w:r w:rsidRPr="0090388F">
              <w:rPr>
                <w:rFonts w:ascii="Times New Roman" w:hAnsi="Times New Roman" w:cs="Times New Roman"/>
                <w:szCs w:val="21"/>
              </w:rPr>
              <w:t>1.018 (1.011-1.025)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3A77B2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0388F">
              <w:rPr>
                <w:rFonts w:ascii="Times New Roman" w:hAnsi="Times New Roman" w:cs="Times New Roman"/>
                <w:b/>
                <w:bCs/>
                <w:szCs w:val="21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EB358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02FBFB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898AD4" w14:textId="77777777" w:rsidR="00CA477B" w:rsidRPr="0090388F" w:rsidRDefault="00CA477B" w:rsidP="00005C26">
            <w:pP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0F1C2F47" w14:textId="77777777" w:rsidR="00CA477B" w:rsidRDefault="00CA477B" w:rsidP="00CA477B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14:paraId="7886DD79" w14:textId="0D0902AB" w:rsidR="00375003" w:rsidRPr="0090388F" w:rsidRDefault="00375003" w:rsidP="00375003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68EB7533" wp14:editId="2BFC0450">
            <wp:extent cx="5270500" cy="3810000"/>
            <wp:effectExtent l="0" t="0" r="635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5003"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bCs/>
          <w:szCs w:val="21"/>
        </w:rPr>
        <w:t>Supplementary Figure 1</w:t>
      </w:r>
      <w:r>
        <w:rPr>
          <w:rFonts w:ascii="Times New Roman" w:hAnsi="Times New Roman" w:cs="Times New Roman"/>
          <w:b/>
          <w:bCs/>
          <w:szCs w:val="21"/>
        </w:rPr>
        <w:t xml:space="preserve">. Flowchart showing retrospective multicenter cohort of patients diagnosed with vanishing bile duct syndrome (VBDS) on liver biopsy. </w:t>
      </w:r>
      <w:r w:rsidRPr="005E56A6">
        <w:rPr>
          <w:rFonts w:ascii="Times New Roman" w:hAnsi="Times New Roman" w:cs="Times New Roman"/>
          <w:szCs w:val="21"/>
        </w:rPr>
        <w:t>A final total of 183 patients were included, of which 42 succumbed to liver-related deaths or required liver transplantation.</w:t>
      </w:r>
    </w:p>
    <w:p w14:paraId="0B3BEB64" w14:textId="474E701D" w:rsidR="00CA477B" w:rsidRPr="0073419E" w:rsidRDefault="00CA477B" w:rsidP="00CA477B">
      <w:pPr>
        <w:spacing w:line="360" w:lineRule="auto"/>
        <w:rPr>
          <w:rFonts w:ascii="Times New Roman" w:eastAsiaTheme="minorEastAsia" w:hAnsi="Times New Roman" w:cs="Times New Roman"/>
          <w:szCs w:val="21"/>
        </w:rPr>
      </w:pPr>
    </w:p>
    <w:p w14:paraId="14C21061" w14:textId="77777777" w:rsidR="00CA477B" w:rsidRDefault="00CA477B" w:rsidP="00CA477B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2AEB15E" wp14:editId="42D742AF">
            <wp:extent cx="5251450" cy="3176905"/>
            <wp:effectExtent l="0" t="0" r="635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211" cy="318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B23CA" w14:textId="096732D3" w:rsidR="00CA477B" w:rsidRDefault="00CA477B" w:rsidP="00CA477B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lastRenderedPageBreak/>
        <w:t xml:space="preserve">Supplementary Figure </w:t>
      </w:r>
      <w:r w:rsidR="00375003">
        <w:rPr>
          <w:rFonts w:ascii="Times New Roman" w:eastAsia="宋体" w:hAnsi="Times New Roman" w:cs="Times New Roman"/>
          <w:b/>
          <w:bCs/>
          <w:szCs w:val="21"/>
        </w:rPr>
        <w:t>2</w:t>
      </w:r>
      <w:r>
        <w:rPr>
          <w:rFonts w:ascii="Times New Roman" w:eastAsia="宋体" w:hAnsi="Times New Roman" w:cs="Times New Roman"/>
          <w:b/>
          <w:bCs/>
          <w:szCs w:val="21"/>
        </w:rPr>
        <w:t xml:space="preserve">. </w:t>
      </w:r>
      <w:r w:rsidRPr="005841A8">
        <w:rPr>
          <w:rFonts w:ascii="Times New Roman" w:hAnsi="Times New Roman" w:cs="Times New Roman"/>
          <w:b/>
          <w:bCs/>
          <w:szCs w:val="21"/>
        </w:rPr>
        <w:t xml:space="preserve">Histological features </w:t>
      </w:r>
      <w:r w:rsidRPr="005841A8">
        <w:rPr>
          <w:rFonts w:ascii="Times New Roman" w:eastAsiaTheme="minorEastAsia" w:hAnsi="Times New Roman" w:cs="Times New Roman"/>
          <w:b/>
          <w:bCs/>
          <w:szCs w:val="21"/>
        </w:rPr>
        <w:t>of</w:t>
      </w:r>
      <w:r w:rsidRPr="005841A8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the two </w:t>
      </w:r>
      <w:r w:rsidRPr="005841A8">
        <w:rPr>
          <w:rFonts w:ascii="Times New Roman" w:hAnsi="Times New Roman" w:cs="Times New Roman"/>
          <w:b/>
          <w:bCs/>
          <w:szCs w:val="21"/>
        </w:rPr>
        <w:t>different form</w:t>
      </w:r>
      <w:r>
        <w:rPr>
          <w:rFonts w:ascii="Times New Roman" w:hAnsi="Times New Roman" w:cs="Times New Roman"/>
          <w:b/>
          <w:bCs/>
          <w:szCs w:val="21"/>
        </w:rPr>
        <w:t>s</w:t>
      </w:r>
      <w:r w:rsidRPr="005841A8">
        <w:rPr>
          <w:rFonts w:ascii="Times New Roman" w:hAnsi="Times New Roman" w:cs="Times New Roman"/>
          <w:b/>
          <w:bCs/>
          <w:szCs w:val="21"/>
        </w:rPr>
        <w:t xml:space="preserve"> of </w:t>
      </w:r>
      <w:r>
        <w:rPr>
          <w:rFonts w:ascii="Times New Roman" w:eastAsia="宋体" w:hAnsi="Times New Roman" w:cs="Times New Roman"/>
          <w:b/>
          <w:bCs/>
          <w:szCs w:val="21"/>
        </w:rPr>
        <w:t>VBDS.</w:t>
      </w:r>
      <w:r w:rsidRPr="005841A8"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(A-C) Patient with liver biopsy displaying “bland” ductopenia without obvious inflammation or significant fibrosis (A: Hematoxylin-eosin; B: Masson trichrome; C: Cytokeratin 7);</w:t>
      </w:r>
      <w:r w:rsidRPr="002C47FD"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(D-F) Patient with</w:t>
      </w:r>
      <w:r w:rsidRPr="002C47FD"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liver biopsy exhibiting ductopenia associated with portal-periportal inflammation and advanced fibrosis (D: Hematoxylin-eosin; E: Masson trichrome; F: Cytokeratin 7).</w:t>
      </w:r>
    </w:p>
    <w:p w14:paraId="0498F253" w14:textId="77777777" w:rsidR="00CA477B" w:rsidRPr="00E16D26" w:rsidRDefault="00CA477B" w:rsidP="00CA477B">
      <w:pPr>
        <w:spacing w:line="360" w:lineRule="auto"/>
        <w:rPr>
          <w:rFonts w:ascii="Times New Roman" w:eastAsiaTheme="minorEastAsia" w:hAnsi="Times New Roman" w:cs="Times New Roman"/>
          <w:szCs w:val="21"/>
        </w:rPr>
      </w:pPr>
    </w:p>
    <w:p w14:paraId="7A950A07" w14:textId="7105301A" w:rsidR="00CA477B" w:rsidRDefault="00CA477B" w:rsidP="00CA477B">
      <w:pPr>
        <w:spacing w:line="360" w:lineRule="auto"/>
        <w:jc w:val="left"/>
        <w:rPr>
          <w:rFonts w:ascii="Times New Roman" w:eastAsiaTheme="minorEastAsia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noProof/>
          <w:szCs w:val="21"/>
        </w:rPr>
        <w:drawing>
          <wp:inline distT="0" distB="0" distL="0" distR="0" wp14:anchorId="5725FDC1" wp14:editId="6784A835">
            <wp:extent cx="5270500" cy="2362200"/>
            <wp:effectExtent l="0" t="0" r="635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szCs w:val="21"/>
        </w:rPr>
        <w:t xml:space="preserve">Supplementary Figure </w:t>
      </w:r>
      <w:r w:rsidR="00375003">
        <w:rPr>
          <w:rFonts w:ascii="Times New Roman" w:eastAsia="宋体" w:hAnsi="Times New Roman" w:cs="Times New Roman"/>
          <w:b/>
          <w:bCs/>
          <w:szCs w:val="21"/>
        </w:rPr>
        <w:t>3</w:t>
      </w:r>
      <w:r>
        <w:rPr>
          <w:rFonts w:ascii="Times New Roman" w:eastAsia="宋体" w:hAnsi="Times New Roman" w:cs="Times New Roman"/>
          <w:b/>
          <w:bCs/>
          <w:szCs w:val="21"/>
        </w:rPr>
        <w:t>.</w:t>
      </w:r>
      <w:r>
        <w:rPr>
          <w:rFonts w:ascii="Times New Roman" w:eastAsiaTheme="minorEastAsia" w:hAnsi="Times New Roman" w:cs="Times New Roman"/>
          <w:b/>
          <w:bCs/>
          <w:szCs w:val="21"/>
        </w:rPr>
        <w:t xml:space="preserve"> </w:t>
      </w:r>
      <w:r>
        <w:rPr>
          <w:rFonts w:ascii="Times New Roman" w:eastAsiaTheme="minorEastAsia" w:hAnsi="Times New Roman" w:cs="Times New Roman"/>
          <w:szCs w:val="21"/>
        </w:rPr>
        <w:t xml:space="preserve">Kaplan Meier plots for transplant-free survival in VBDS patients stratified by (A) Gender and (B) Etiology. A significant difference was observed in </w:t>
      </w:r>
      <w:r w:rsidRPr="00822198">
        <w:rPr>
          <w:rFonts w:ascii="Times New Roman" w:eastAsiaTheme="minorEastAsia" w:hAnsi="Times New Roman" w:cs="Times New Roman"/>
          <w:szCs w:val="21"/>
        </w:rPr>
        <w:t>curves a</w:t>
      </w:r>
      <w:r>
        <w:rPr>
          <w:rFonts w:ascii="Times New Roman" w:eastAsiaTheme="minorEastAsia" w:hAnsi="Times New Roman" w:cs="Times New Roman"/>
          <w:szCs w:val="21"/>
        </w:rPr>
        <w:t xml:space="preserve"> (Log rank </w:t>
      </w:r>
      <w:r>
        <w:rPr>
          <w:rFonts w:ascii="Times New Roman" w:eastAsiaTheme="minorEastAsia" w:hAnsi="Times New Roman" w:cs="Times New Roman"/>
          <w:i/>
          <w:iCs/>
          <w:szCs w:val="21"/>
        </w:rPr>
        <w:t>p</w:t>
      </w:r>
      <w:r>
        <w:rPr>
          <w:rFonts w:ascii="Times New Roman" w:eastAsiaTheme="minorEastAsia" w:hAnsi="Times New Roman" w:cs="Times New Roman"/>
          <w:szCs w:val="21"/>
        </w:rPr>
        <w:t xml:space="preserve"> &lt; 0.05). </w:t>
      </w:r>
    </w:p>
    <w:p w14:paraId="59169D21" w14:textId="77777777" w:rsidR="00E468A5" w:rsidRPr="00CA477B" w:rsidRDefault="00375003" w:rsidP="00CA477B"/>
    <w:sectPr w:rsidR="00E468A5" w:rsidRPr="00CA47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7B"/>
    <w:rsid w:val="003514A3"/>
    <w:rsid w:val="00375003"/>
    <w:rsid w:val="008B3F45"/>
    <w:rsid w:val="00C141BB"/>
    <w:rsid w:val="00CA477B"/>
    <w:rsid w:val="00E8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35235"/>
  <w15:chartTrackingRefBased/>
  <w15:docId w15:val="{5831D9E2-F100-4C10-951E-70CC7D836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77B"/>
    <w:pPr>
      <w:widowControl w:val="0"/>
      <w:jc w:val="both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 lucy</dc:creator>
  <cp:keywords/>
  <dc:description/>
  <cp:lastModifiedBy>lv lucy</cp:lastModifiedBy>
  <cp:revision>1</cp:revision>
  <dcterms:created xsi:type="dcterms:W3CDTF">2022-06-26T06:31:00Z</dcterms:created>
  <dcterms:modified xsi:type="dcterms:W3CDTF">2022-06-26T06:45:00Z</dcterms:modified>
</cp:coreProperties>
</file>