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86C5C" w14:textId="509D9297" w:rsidR="006270B3" w:rsidRDefault="00620E0A" w:rsidP="002F389C">
      <w:pPr>
        <w:pStyle w:val="01Title"/>
      </w:pPr>
      <w:r w:rsidRPr="00620E0A">
        <w:t>Multiscale Optical Imaging with Real Time Projection of Cancer Risk and Biopsy Guidance Maps for Early Oral Cancer Diagnosis and Treatment</w:t>
      </w:r>
      <w:r w:rsidR="00C1651A" w:rsidRPr="00C1651A">
        <w:t>: supplemental document</w:t>
      </w:r>
    </w:p>
    <w:p w14:paraId="591FE6CC" w14:textId="5A1B54C4" w:rsidR="00C1651A" w:rsidRDefault="00C1651A" w:rsidP="00C1651A">
      <w:pPr>
        <w:pStyle w:val="13Equation"/>
      </w:pPr>
    </w:p>
    <w:p w14:paraId="658FCD26" w14:textId="77777777" w:rsidR="00620E0A" w:rsidRPr="00620E0A" w:rsidRDefault="00620E0A" w:rsidP="00620E0A">
      <w:pPr>
        <w:pStyle w:val="10BodySubsequentParagraph"/>
      </w:pPr>
      <w:bookmarkStart w:id="0" w:name="_GoBack"/>
      <w:bookmarkEnd w:id="0"/>
    </w:p>
    <w:p w14:paraId="3675A5B0" w14:textId="77777777" w:rsidR="00620E0A" w:rsidRDefault="00620E0A" w:rsidP="00620E0A">
      <w:pPr>
        <w:spacing w:after="160" w:line="259" w:lineRule="auto"/>
        <w:jc w:val="center"/>
        <w:rPr>
          <w:rFonts w:ascii="Arial" w:hAnsi="Arial" w:cs="Arial"/>
        </w:rPr>
      </w:pPr>
      <w:r w:rsidRPr="00392924">
        <w:rPr>
          <w:rFonts w:ascii="Arial" w:hAnsi="Arial" w:cs="Arial"/>
          <w:noProof/>
        </w:rPr>
        <w:drawing>
          <wp:inline distT="0" distB="0" distL="0" distR="0" wp14:anchorId="71AA36B4" wp14:editId="2A01986B">
            <wp:extent cx="5841862" cy="2819893"/>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841862" cy="2819893"/>
                    </a:xfrm>
                    <a:prstGeom prst="rect">
                      <a:avLst/>
                    </a:prstGeom>
                    <a:noFill/>
                  </pic:spPr>
                </pic:pic>
              </a:graphicData>
            </a:graphic>
          </wp:inline>
        </w:drawing>
      </w:r>
    </w:p>
    <w:p w14:paraId="5A621532" w14:textId="77777777" w:rsidR="00620E0A" w:rsidRDefault="00620E0A" w:rsidP="00620E0A">
      <w:pPr>
        <w:rPr>
          <w:rFonts w:ascii="Arial" w:hAnsi="Arial" w:cs="Arial"/>
          <w:sz w:val="16"/>
        </w:rPr>
      </w:pPr>
      <w:r>
        <w:rPr>
          <w:rFonts w:ascii="Arial" w:hAnsi="Arial" w:cs="Arial"/>
          <w:b/>
          <w:sz w:val="16"/>
        </w:rPr>
        <w:t>Supplemental Figure 1</w:t>
      </w:r>
      <w:r w:rsidRPr="002B6345">
        <w:rPr>
          <w:rFonts w:ascii="Arial" w:hAnsi="Arial" w:cs="Arial"/>
          <w:b/>
          <w:sz w:val="16"/>
        </w:rPr>
        <w:t xml:space="preserve"> | Evaluation of </w:t>
      </w:r>
      <w:r>
        <w:rPr>
          <w:rFonts w:ascii="Arial" w:hAnsi="Arial" w:cs="Arial"/>
          <w:b/>
          <w:sz w:val="16"/>
        </w:rPr>
        <w:t>ABGS</w:t>
      </w:r>
      <w:r w:rsidRPr="002B6345">
        <w:rPr>
          <w:rFonts w:ascii="Arial" w:hAnsi="Arial" w:cs="Arial"/>
          <w:b/>
          <w:sz w:val="16"/>
        </w:rPr>
        <w:t xml:space="preserve"> imaging and projection performance.</w:t>
      </w:r>
      <w:r w:rsidRPr="001C38DD">
        <w:rPr>
          <w:rFonts w:ascii="Arial" w:hAnsi="Arial" w:cs="Arial"/>
          <w:sz w:val="16"/>
        </w:rPr>
        <w:t xml:space="preserve"> The transverse optical resolution of the </w:t>
      </w:r>
      <w:r>
        <w:rPr>
          <w:rFonts w:ascii="Arial" w:hAnsi="Arial" w:cs="Arial"/>
          <w:sz w:val="16"/>
        </w:rPr>
        <w:t>ABGS</w:t>
      </w:r>
      <w:r w:rsidRPr="001C38DD">
        <w:rPr>
          <w:rFonts w:ascii="Arial" w:hAnsi="Arial" w:cs="Arial"/>
          <w:sz w:val="16"/>
        </w:rPr>
        <w:t xml:space="preserve"> for imaging</w:t>
      </w:r>
      <w:r>
        <w:rPr>
          <w:rFonts w:ascii="Arial" w:hAnsi="Arial" w:cs="Arial"/>
          <w:sz w:val="16"/>
        </w:rPr>
        <w:t xml:space="preserve"> (110</w:t>
      </w:r>
      <w:r w:rsidRPr="005E47AA">
        <w:rPr>
          <w:rFonts w:ascii="Arial" w:hAnsi="Arial" w:cs="Arial"/>
        </w:rPr>
        <w:t xml:space="preserve"> </w:t>
      </w:r>
      <w:r w:rsidRPr="005E47AA">
        <w:rPr>
          <w:rFonts w:ascii="Arial" w:hAnsi="Arial" w:cs="Arial"/>
          <w:sz w:val="16"/>
        </w:rPr>
        <w:t>µm</w:t>
      </w:r>
      <w:r>
        <w:rPr>
          <w:rFonts w:ascii="Arial" w:hAnsi="Arial" w:cs="Arial"/>
          <w:sz w:val="16"/>
        </w:rPr>
        <w:t xml:space="preserve">) </w:t>
      </w:r>
      <w:r w:rsidRPr="001C38DD">
        <w:rPr>
          <w:rFonts w:ascii="Arial" w:hAnsi="Arial" w:cs="Arial"/>
          <w:sz w:val="16"/>
        </w:rPr>
        <w:t>(A) and projection</w:t>
      </w:r>
      <w:r>
        <w:rPr>
          <w:rFonts w:ascii="Arial" w:hAnsi="Arial" w:cs="Arial"/>
          <w:sz w:val="16"/>
        </w:rPr>
        <w:t xml:space="preserve"> (400</w:t>
      </w:r>
      <w:r w:rsidRPr="005E47AA">
        <w:rPr>
          <w:rFonts w:ascii="Arial" w:hAnsi="Arial" w:cs="Arial"/>
        </w:rPr>
        <w:t xml:space="preserve"> </w:t>
      </w:r>
      <w:r w:rsidRPr="005E47AA">
        <w:rPr>
          <w:rFonts w:ascii="Arial" w:hAnsi="Arial" w:cs="Arial"/>
          <w:sz w:val="16"/>
        </w:rPr>
        <w:t>µm</w:t>
      </w:r>
      <w:r>
        <w:rPr>
          <w:rFonts w:ascii="Arial" w:hAnsi="Arial" w:cs="Arial"/>
          <w:sz w:val="16"/>
        </w:rPr>
        <w:t xml:space="preserve">) </w:t>
      </w:r>
      <w:r w:rsidRPr="001C38DD">
        <w:rPr>
          <w:rFonts w:ascii="Arial" w:hAnsi="Arial" w:cs="Arial"/>
          <w:sz w:val="16"/>
        </w:rPr>
        <w:t xml:space="preserve"> (B) measured by imaging a standard US Air Force calibration target and projecting the image of the calibration target onto a blank background. (C) The projection accuracy demonstrated by acquiring a white light image of a paper ruler target, generating a binary mask from the white light image, and projecting the binary mask back onto the ruler target.</w:t>
      </w:r>
    </w:p>
    <w:p w14:paraId="7FD40B35" w14:textId="77777777" w:rsidR="00620E0A" w:rsidRDefault="00620E0A" w:rsidP="00620E0A">
      <w:pPr>
        <w:rPr>
          <w:rFonts w:ascii="Arial" w:hAnsi="Arial" w:cs="Arial"/>
          <w:sz w:val="16"/>
        </w:rPr>
      </w:pPr>
    </w:p>
    <w:p w14:paraId="04BEED9D" w14:textId="77777777" w:rsidR="00620E0A" w:rsidRDefault="00620E0A" w:rsidP="00620E0A">
      <w:pPr>
        <w:jc w:val="center"/>
        <w:rPr>
          <w:rFonts w:ascii="Arial" w:hAnsi="Arial" w:cs="Arial"/>
        </w:rPr>
      </w:pPr>
      <w:r>
        <w:rPr>
          <w:rFonts w:ascii="Arial" w:hAnsi="Arial" w:cs="Arial"/>
          <w:noProof/>
        </w:rPr>
        <w:lastRenderedPageBreak/>
        <w:drawing>
          <wp:inline distT="0" distB="0" distL="0" distR="0" wp14:anchorId="1A41129F" wp14:editId="4D7417C1">
            <wp:extent cx="5148225" cy="33261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Fig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48225" cy="3326123"/>
                    </a:xfrm>
                    <a:prstGeom prst="rect">
                      <a:avLst/>
                    </a:prstGeom>
                  </pic:spPr>
                </pic:pic>
              </a:graphicData>
            </a:graphic>
          </wp:inline>
        </w:drawing>
      </w:r>
    </w:p>
    <w:p w14:paraId="2BAE4F2B" w14:textId="77777777" w:rsidR="00620E0A" w:rsidRDefault="00620E0A" w:rsidP="00620E0A">
      <w:pPr>
        <w:rPr>
          <w:rFonts w:ascii="Arial" w:hAnsi="Arial" w:cs="Arial"/>
          <w:sz w:val="16"/>
        </w:rPr>
      </w:pPr>
      <w:r w:rsidRPr="00A46965">
        <w:rPr>
          <w:rFonts w:ascii="Arial" w:hAnsi="Arial" w:cs="Arial"/>
          <w:b/>
          <w:bCs/>
          <w:sz w:val="16"/>
        </w:rPr>
        <w:t>Supplemental Figure 2</w:t>
      </w:r>
      <w:r w:rsidRPr="00A46965">
        <w:rPr>
          <w:rFonts w:ascii="Arial" w:hAnsi="Arial" w:cs="Arial"/>
          <w:sz w:val="16"/>
        </w:rPr>
        <w:t xml:space="preserve"> </w:t>
      </w:r>
      <w:r w:rsidRPr="00A46965">
        <w:rPr>
          <w:rFonts w:ascii="Arial" w:hAnsi="Arial" w:cs="Arial"/>
          <w:b/>
          <w:sz w:val="16"/>
        </w:rPr>
        <w:t xml:space="preserve">| Evaluation of fiber tracking performance in a patient with a </w:t>
      </w:r>
      <w:r>
        <w:rPr>
          <w:rFonts w:ascii="Arial" w:hAnsi="Arial" w:cs="Arial"/>
          <w:b/>
          <w:sz w:val="16"/>
        </w:rPr>
        <w:t xml:space="preserve">gingival </w:t>
      </w:r>
      <w:r w:rsidRPr="00A46965">
        <w:rPr>
          <w:rFonts w:ascii="Arial" w:hAnsi="Arial" w:cs="Arial"/>
          <w:b/>
          <w:sz w:val="16"/>
        </w:rPr>
        <w:t>lesion in the left mandible.</w:t>
      </w:r>
      <w:r w:rsidRPr="00A46965">
        <w:rPr>
          <w:rFonts w:ascii="Arial" w:hAnsi="Arial" w:cs="Arial"/>
          <w:sz w:val="16"/>
        </w:rPr>
        <w:t xml:space="preserve"> </w:t>
      </w:r>
      <w:proofErr w:type="gramStart"/>
      <w:r w:rsidRPr="00A46965">
        <w:rPr>
          <w:rFonts w:ascii="Arial" w:hAnsi="Arial" w:cs="Arial"/>
          <w:b/>
          <w:sz w:val="16"/>
        </w:rPr>
        <w:t>a</w:t>
      </w:r>
      <w:proofErr w:type="gramEnd"/>
      <w:r w:rsidRPr="00A46965">
        <w:rPr>
          <w:rFonts w:ascii="Arial" w:hAnsi="Arial" w:cs="Arial"/>
          <w:sz w:val="16"/>
        </w:rPr>
        <w:t xml:space="preserve">, A video sequence was acquired of the imaging probe being moved across the gingiva </w:t>
      </w:r>
      <w:r>
        <w:rPr>
          <w:rFonts w:ascii="Arial" w:hAnsi="Arial" w:cs="Arial"/>
          <w:sz w:val="16"/>
        </w:rPr>
        <w:t xml:space="preserve">in the </w:t>
      </w:r>
      <w:r w:rsidRPr="00A46965">
        <w:rPr>
          <w:rFonts w:ascii="Arial" w:hAnsi="Arial" w:cs="Arial"/>
          <w:sz w:val="16"/>
        </w:rPr>
        <w:t xml:space="preserve">left mandible. </w:t>
      </w:r>
      <w:proofErr w:type="gramStart"/>
      <w:r w:rsidRPr="00A46965">
        <w:rPr>
          <w:rFonts w:ascii="Arial" w:hAnsi="Arial" w:cs="Arial"/>
          <w:b/>
          <w:sz w:val="16"/>
        </w:rPr>
        <w:t>b</w:t>
      </w:r>
      <w:proofErr w:type="gramEnd"/>
      <w:r w:rsidRPr="00A46965">
        <w:rPr>
          <w:rFonts w:ascii="Arial" w:hAnsi="Arial" w:cs="Arial"/>
          <w:b/>
          <w:sz w:val="16"/>
        </w:rPr>
        <w:t>,</w:t>
      </w:r>
      <w:r w:rsidRPr="00A46965">
        <w:rPr>
          <w:rFonts w:ascii="Arial" w:hAnsi="Arial" w:cs="Arial"/>
          <w:sz w:val="16"/>
        </w:rPr>
        <w:t xml:space="preserve"> Each image of the video sequence was processed using color thresholding to determine the location of the colored bands on the 3D printed fiber holder. </w:t>
      </w:r>
      <w:proofErr w:type="gramStart"/>
      <w:r w:rsidRPr="00A46965">
        <w:rPr>
          <w:rFonts w:ascii="Arial" w:hAnsi="Arial" w:cs="Arial"/>
          <w:b/>
          <w:sz w:val="16"/>
        </w:rPr>
        <w:t>c</w:t>
      </w:r>
      <w:proofErr w:type="gramEnd"/>
      <w:r w:rsidRPr="00A46965">
        <w:rPr>
          <w:rFonts w:ascii="Arial" w:hAnsi="Arial" w:cs="Arial"/>
          <w:b/>
          <w:sz w:val="16"/>
        </w:rPr>
        <w:t>,</w:t>
      </w:r>
      <w:r w:rsidRPr="00A46965">
        <w:rPr>
          <w:rFonts w:ascii="Arial" w:hAnsi="Arial" w:cs="Arial"/>
          <w:sz w:val="16"/>
        </w:rPr>
        <w:t xml:space="preserve"> Results of the color thresholding analysis were used to calculate the location of the tip of the fiber probe on the patient as designated by the red dot in the image. </w:t>
      </w:r>
      <w:r w:rsidRPr="00A46965">
        <w:rPr>
          <w:rFonts w:ascii="Arial" w:hAnsi="Arial" w:cs="Arial"/>
          <w:b/>
          <w:sz w:val="16"/>
        </w:rPr>
        <w:t>d,</w:t>
      </w:r>
      <w:r w:rsidRPr="00A46965">
        <w:rPr>
          <w:rFonts w:ascii="Arial" w:hAnsi="Arial" w:cs="Arial"/>
          <w:sz w:val="16"/>
        </w:rPr>
        <w:t xml:space="preserve"> The fiber tracking algorithm shows </w:t>
      </w:r>
      <w:r>
        <w:rPr>
          <w:rFonts w:ascii="Arial" w:hAnsi="Arial" w:cs="Arial"/>
          <w:sz w:val="16"/>
        </w:rPr>
        <w:t>good</w:t>
      </w:r>
      <w:r w:rsidRPr="00A46965">
        <w:rPr>
          <w:rFonts w:ascii="Arial" w:hAnsi="Arial" w:cs="Arial"/>
          <w:sz w:val="16"/>
        </w:rPr>
        <w:t xml:space="preserve"> accuracy</w:t>
      </w:r>
      <w:r>
        <w:rPr>
          <w:rFonts w:ascii="Arial" w:hAnsi="Arial" w:cs="Arial"/>
          <w:sz w:val="16"/>
        </w:rPr>
        <w:t xml:space="preserve">; </w:t>
      </w:r>
      <w:r w:rsidRPr="00A46965">
        <w:rPr>
          <w:rFonts w:ascii="Arial" w:hAnsi="Arial" w:cs="Arial"/>
          <w:sz w:val="16"/>
        </w:rPr>
        <w:t xml:space="preserve">the Euclidean distance between the pixel coordinates of the fiber tip calculated by the automated tracking algorithm and by hand annotations </w:t>
      </w:r>
      <w:r>
        <w:rPr>
          <w:rFonts w:ascii="Arial" w:hAnsi="Arial" w:cs="Arial"/>
          <w:sz w:val="16"/>
        </w:rPr>
        <w:t>was</w:t>
      </w:r>
      <w:r w:rsidRPr="00A46965">
        <w:rPr>
          <w:rFonts w:ascii="Arial" w:hAnsi="Arial" w:cs="Arial"/>
          <w:sz w:val="16"/>
        </w:rPr>
        <w:t xml:space="preserve"> </w:t>
      </w:r>
      <w:r>
        <w:rPr>
          <w:rFonts w:ascii="Arial" w:hAnsi="Arial" w:cs="Arial"/>
          <w:sz w:val="16"/>
        </w:rPr>
        <w:t>&lt;</w:t>
      </w:r>
      <w:r w:rsidRPr="00A46965">
        <w:rPr>
          <w:rFonts w:ascii="Arial" w:hAnsi="Arial" w:cs="Arial"/>
          <w:sz w:val="16"/>
        </w:rPr>
        <w:t>3 mm for all images in a nine second video sequence.</w:t>
      </w:r>
      <w:r w:rsidRPr="00A643D0">
        <w:rPr>
          <w:rFonts w:ascii="Arial" w:hAnsi="Arial" w:cs="Arial"/>
          <w:bCs/>
          <w:sz w:val="16"/>
        </w:rPr>
        <w:t xml:space="preserve"> </w:t>
      </w:r>
      <w:r w:rsidRPr="00F81847">
        <w:rPr>
          <w:rFonts w:ascii="Arial" w:hAnsi="Arial" w:cs="Arial"/>
          <w:bCs/>
          <w:sz w:val="16"/>
        </w:rPr>
        <w:t>Scale bars represent 1 cm</w:t>
      </w:r>
      <w:r>
        <w:rPr>
          <w:rFonts w:ascii="Arial" w:hAnsi="Arial" w:cs="Arial"/>
          <w:bCs/>
          <w:sz w:val="16"/>
        </w:rPr>
        <w:t>.</w:t>
      </w:r>
    </w:p>
    <w:p w14:paraId="591FE1C3" w14:textId="77777777" w:rsidR="00620E0A" w:rsidRPr="00C47674" w:rsidRDefault="00620E0A" w:rsidP="00620E0A">
      <w:pPr>
        <w:rPr>
          <w:rFonts w:ascii="Arial" w:hAnsi="Arial" w:cs="Arial"/>
          <w:sz w:val="16"/>
        </w:rPr>
      </w:pPr>
    </w:p>
    <w:p w14:paraId="3724D812" w14:textId="77777777" w:rsidR="00620E0A" w:rsidRPr="00B934FD" w:rsidRDefault="00620E0A" w:rsidP="00620E0A">
      <w:pPr>
        <w:rPr>
          <w:rFonts w:ascii="Arial" w:hAnsi="Arial" w:cs="Arial"/>
        </w:rPr>
      </w:pPr>
      <w:r>
        <w:rPr>
          <w:rFonts w:ascii="Arial" w:hAnsi="Arial" w:cs="Arial"/>
          <w:noProof/>
        </w:rPr>
        <w:lastRenderedPageBreak/>
        <w:drawing>
          <wp:inline distT="0" distB="0" distL="0" distR="0" wp14:anchorId="79C03794" wp14:editId="5E211B41">
            <wp:extent cx="5892472" cy="3396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Fig4.png"/>
                    <pic:cNvPicPr/>
                  </pic:nvPicPr>
                  <pic:blipFill>
                    <a:blip r:embed="rId8">
                      <a:extLst>
                        <a:ext uri="{28A0092B-C50C-407E-A947-70E740481C1C}">
                          <a14:useLocalDpi xmlns:a14="http://schemas.microsoft.com/office/drawing/2010/main" val="0"/>
                        </a:ext>
                      </a:extLst>
                    </a:blip>
                    <a:stretch>
                      <a:fillRect/>
                    </a:stretch>
                  </pic:blipFill>
                  <pic:spPr>
                    <a:xfrm>
                      <a:off x="0" y="0"/>
                      <a:ext cx="5892472" cy="3396140"/>
                    </a:xfrm>
                    <a:prstGeom prst="rect">
                      <a:avLst/>
                    </a:prstGeom>
                  </pic:spPr>
                </pic:pic>
              </a:graphicData>
            </a:graphic>
          </wp:inline>
        </w:drawing>
      </w:r>
    </w:p>
    <w:p w14:paraId="1B820967" w14:textId="77777777" w:rsidR="00620E0A" w:rsidRDefault="00620E0A" w:rsidP="00620E0A">
      <w:pPr>
        <w:rPr>
          <w:rFonts w:ascii="Arial" w:hAnsi="Arial" w:cs="Arial"/>
        </w:rPr>
      </w:pPr>
      <w:r w:rsidRPr="00617228">
        <w:rPr>
          <w:rFonts w:ascii="Arial" w:hAnsi="Arial" w:cs="Arial"/>
          <w:b/>
          <w:bCs/>
          <w:sz w:val="16"/>
        </w:rPr>
        <w:t>Supplemental Figure 3</w:t>
      </w:r>
      <w:r>
        <w:rPr>
          <w:rFonts w:ascii="Arial" w:hAnsi="Arial" w:cs="Arial"/>
          <w:sz w:val="16"/>
        </w:rPr>
        <w:t xml:space="preserve"> </w:t>
      </w:r>
      <w:r w:rsidRPr="00617228">
        <w:rPr>
          <w:rFonts w:ascii="Arial" w:hAnsi="Arial" w:cs="Arial"/>
          <w:b/>
          <w:sz w:val="16"/>
        </w:rPr>
        <w:t>| Overview of real-time multi-scale image processing</w:t>
      </w:r>
      <w:r>
        <w:rPr>
          <w:rFonts w:ascii="Arial" w:hAnsi="Arial" w:cs="Arial"/>
          <w:b/>
          <w:sz w:val="16"/>
        </w:rPr>
        <w:t xml:space="preserve"> and Biopsy Guidance Map generation</w:t>
      </w:r>
      <w:r w:rsidRPr="00617228">
        <w:rPr>
          <w:rFonts w:ascii="Arial" w:hAnsi="Arial" w:cs="Arial"/>
          <w:b/>
          <w:sz w:val="16"/>
        </w:rPr>
        <w:t>.</w:t>
      </w:r>
      <w:r w:rsidRPr="00617228">
        <w:rPr>
          <w:rFonts w:ascii="Arial" w:hAnsi="Arial" w:cs="Arial"/>
          <w:sz w:val="16"/>
        </w:rPr>
        <w:t xml:space="preserve"> (</w:t>
      </w:r>
      <w:r w:rsidRPr="00617228">
        <w:rPr>
          <w:rFonts w:ascii="Arial" w:hAnsi="Arial" w:cs="Arial"/>
          <w:b/>
          <w:sz w:val="16"/>
        </w:rPr>
        <w:t>a</w:t>
      </w:r>
      <w:r w:rsidRPr="00617228">
        <w:rPr>
          <w:rFonts w:ascii="Arial" w:hAnsi="Arial" w:cs="Arial"/>
          <w:sz w:val="16"/>
        </w:rPr>
        <w:t>) Overview of real time analysis of widefield and high resolution microscope images during multiscale image acquisition (</w:t>
      </w:r>
      <w:r w:rsidRPr="00617228">
        <w:rPr>
          <w:rFonts w:ascii="Arial" w:hAnsi="Arial" w:cs="Arial"/>
          <w:b/>
          <w:sz w:val="16"/>
        </w:rPr>
        <w:t>b</w:t>
      </w:r>
      <w:r w:rsidRPr="00617228">
        <w:rPr>
          <w:rFonts w:ascii="Arial" w:hAnsi="Arial" w:cs="Arial"/>
          <w:sz w:val="16"/>
        </w:rPr>
        <w:t>) Overview of generation of the Biopsy Guidance Map immediately after multiscale image acquisition is finished.</w:t>
      </w:r>
      <w:r>
        <w:rPr>
          <w:rFonts w:ascii="Arial" w:hAnsi="Arial" w:cs="Arial"/>
          <w:sz w:val="16"/>
        </w:rPr>
        <w:t xml:space="preserve"> Acronyms: (FPS – Frames per second; QC – Quality Control; MTN – Multi-task Network; RG – Red to Green).</w:t>
      </w:r>
      <w:r w:rsidDel="00F8088C">
        <w:rPr>
          <w:rFonts w:ascii="Arial" w:hAnsi="Arial" w:cs="Arial"/>
          <w:sz w:val="16"/>
        </w:rPr>
        <w:t xml:space="preserve"> </w:t>
      </w:r>
    </w:p>
    <w:p w14:paraId="66AF663E" w14:textId="77777777" w:rsidR="00620E0A" w:rsidRDefault="00620E0A" w:rsidP="00620E0A">
      <w:pPr>
        <w:spacing w:after="160" w:line="259" w:lineRule="auto"/>
        <w:rPr>
          <w:rFonts w:ascii="Arial" w:hAnsi="Arial" w:cs="Arial"/>
        </w:rPr>
      </w:pPr>
    </w:p>
    <w:p w14:paraId="71F250B5" w14:textId="77777777" w:rsidR="00620E0A" w:rsidRDefault="00620E0A" w:rsidP="00620E0A">
      <w:pPr>
        <w:jc w:val="center"/>
        <w:rPr>
          <w:rFonts w:ascii="Arial" w:hAnsi="Arial" w:cs="Arial"/>
        </w:rPr>
      </w:pPr>
      <w:r>
        <w:rPr>
          <w:rFonts w:ascii="Arial" w:hAnsi="Arial" w:cs="Arial"/>
          <w:noProof/>
        </w:rPr>
        <w:lastRenderedPageBreak/>
        <w:drawing>
          <wp:inline distT="0" distB="0" distL="0" distR="0" wp14:anchorId="371F7B6F" wp14:editId="4DCF1D9A">
            <wp:extent cx="5371725" cy="383348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Fig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1725" cy="3833489"/>
                    </a:xfrm>
                    <a:prstGeom prst="rect">
                      <a:avLst/>
                    </a:prstGeom>
                  </pic:spPr>
                </pic:pic>
              </a:graphicData>
            </a:graphic>
          </wp:inline>
        </w:drawing>
      </w:r>
      <w:r w:rsidRPr="00B934FD">
        <w:rPr>
          <w:rFonts w:ascii="Arial" w:hAnsi="Arial" w:cs="Arial"/>
        </w:rPr>
        <w:t xml:space="preserve"> </w:t>
      </w:r>
    </w:p>
    <w:p w14:paraId="780F1714" w14:textId="77777777" w:rsidR="00620E0A" w:rsidRDefault="00620E0A" w:rsidP="00620E0A">
      <w:pPr>
        <w:rPr>
          <w:rFonts w:ascii="Arial" w:hAnsi="Arial" w:cs="Arial"/>
          <w:b/>
          <w:bCs/>
          <w:color w:val="FF0000"/>
          <w:sz w:val="16"/>
        </w:rPr>
      </w:pPr>
    </w:p>
    <w:p w14:paraId="75F546AF" w14:textId="77777777" w:rsidR="00620E0A" w:rsidRDefault="00620E0A" w:rsidP="00620E0A">
      <w:pPr>
        <w:rPr>
          <w:rFonts w:ascii="Arial" w:hAnsi="Arial" w:cs="Arial"/>
          <w:b/>
          <w:bCs/>
          <w:sz w:val="16"/>
        </w:rPr>
      </w:pPr>
      <w:r w:rsidRPr="00F81847">
        <w:rPr>
          <w:rFonts w:ascii="Arial" w:hAnsi="Arial" w:cs="Arial"/>
          <w:b/>
          <w:bCs/>
          <w:sz w:val="16"/>
        </w:rPr>
        <w:t xml:space="preserve">Supplemental Figure </w:t>
      </w:r>
      <w:r>
        <w:rPr>
          <w:rFonts w:ascii="Arial" w:hAnsi="Arial" w:cs="Arial"/>
          <w:b/>
          <w:bCs/>
          <w:sz w:val="16"/>
        </w:rPr>
        <w:t>4</w:t>
      </w:r>
      <w:r w:rsidRPr="00F81847">
        <w:rPr>
          <w:rFonts w:ascii="Arial" w:hAnsi="Arial" w:cs="Arial"/>
          <w:sz w:val="16"/>
        </w:rPr>
        <w:t xml:space="preserve">: </w:t>
      </w:r>
      <w:r w:rsidRPr="00F81847">
        <w:rPr>
          <w:rFonts w:ascii="Arial" w:hAnsi="Arial" w:cs="Arial"/>
          <w:bCs/>
          <w:sz w:val="16"/>
        </w:rPr>
        <w:t>Multiscale imaging and analysis from a lesion on the right lateral tongue. ABGS acquired (a) autofluorescence and (b) white light images of clinically suspicious area.  (</w:t>
      </w:r>
      <w:r w:rsidRPr="00F81847">
        <w:rPr>
          <w:rFonts w:ascii="Arial" w:hAnsi="Arial" w:cs="Arial"/>
          <w:b/>
          <w:bCs/>
          <w:sz w:val="16"/>
        </w:rPr>
        <w:t>c</w:t>
      </w:r>
      <w:r w:rsidRPr="00F81847">
        <w:rPr>
          <w:rFonts w:ascii="Arial" w:hAnsi="Arial" w:cs="Arial"/>
          <w:bCs/>
          <w:sz w:val="16"/>
        </w:rPr>
        <w:t>) Clinician’s view as captured by a cell phone. (d) Cancer risk map overlaid on the AF image, (e) imaged by the ABGS, and (f) viewed by the clinician. (g) ABGS tracked locations of the high resolution probe overlaid on the white light image.  (</w:t>
      </w:r>
      <w:r w:rsidRPr="00F81847">
        <w:rPr>
          <w:rFonts w:ascii="Arial" w:hAnsi="Arial" w:cs="Arial"/>
          <w:b/>
          <w:bCs/>
          <w:sz w:val="16"/>
        </w:rPr>
        <w:t>h</w:t>
      </w:r>
      <w:r w:rsidRPr="00F81847">
        <w:rPr>
          <w:rFonts w:ascii="Arial" w:hAnsi="Arial" w:cs="Arial"/>
          <w:bCs/>
          <w:sz w:val="16"/>
        </w:rPr>
        <w:t>) ABGS view of probe acquiring high resolution images from areas indicated by the projected cancer risk map and (</w:t>
      </w:r>
      <w:proofErr w:type="spellStart"/>
      <w:r w:rsidRPr="00F81847">
        <w:rPr>
          <w:rFonts w:ascii="Arial" w:hAnsi="Arial" w:cs="Arial"/>
          <w:bCs/>
          <w:sz w:val="16"/>
        </w:rPr>
        <w:t>i</w:t>
      </w:r>
      <w:proofErr w:type="spellEnd"/>
      <w:r w:rsidRPr="00F81847">
        <w:rPr>
          <w:rFonts w:ascii="Arial" w:hAnsi="Arial" w:cs="Arial"/>
          <w:bCs/>
          <w:sz w:val="16"/>
        </w:rPr>
        <w:t>) as viewed by the clinician.  (j) Biopsy guidance map overlaid on WL image, (k) biopsy guidance map projected on the tissue as viewed by the ABGS (l) and as viewed by the clinician. Scale bars on widefield images represent 1 cm while scale bars on the high-resolution images represent 200 um.</w:t>
      </w:r>
      <w:r w:rsidRPr="00922A76">
        <w:t xml:space="preserve"> </w:t>
      </w:r>
      <w:r w:rsidRPr="00922A76">
        <w:rPr>
          <w:rFonts w:ascii="Arial" w:hAnsi="Arial" w:cs="Arial"/>
          <w:bCs/>
          <w:sz w:val="16"/>
        </w:rPr>
        <w:t>Acronyms: (</w:t>
      </w:r>
      <w:r>
        <w:rPr>
          <w:rFonts w:ascii="Arial" w:hAnsi="Arial" w:cs="Arial"/>
          <w:bCs/>
          <w:sz w:val="16"/>
        </w:rPr>
        <w:t>AF</w:t>
      </w:r>
      <w:r w:rsidRPr="00922A76">
        <w:rPr>
          <w:rFonts w:ascii="Arial" w:hAnsi="Arial" w:cs="Arial"/>
          <w:bCs/>
          <w:sz w:val="16"/>
        </w:rPr>
        <w:t xml:space="preserve"> – </w:t>
      </w:r>
      <w:r>
        <w:rPr>
          <w:rFonts w:ascii="Arial" w:hAnsi="Arial" w:cs="Arial"/>
          <w:bCs/>
          <w:sz w:val="16"/>
        </w:rPr>
        <w:t>Autofluorescence</w:t>
      </w:r>
      <w:r w:rsidRPr="00922A76">
        <w:rPr>
          <w:rFonts w:ascii="Arial" w:hAnsi="Arial" w:cs="Arial"/>
          <w:bCs/>
          <w:sz w:val="16"/>
        </w:rPr>
        <w:t xml:space="preserve">; </w:t>
      </w:r>
      <w:r>
        <w:rPr>
          <w:rFonts w:ascii="Arial" w:hAnsi="Arial" w:cs="Arial"/>
          <w:bCs/>
          <w:sz w:val="16"/>
        </w:rPr>
        <w:t>ROI</w:t>
      </w:r>
      <w:r w:rsidRPr="00922A76">
        <w:rPr>
          <w:rFonts w:ascii="Arial" w:hAnsi="Arial" w:cs="Arial"/>
          <w:bCs/>
          <w:sz w:val="16"/>
        </w:rPr>
        <w:t xml:space="preserve"> </w:t>
      </w:r>
      <w:r>
        <w:rPr>
          <w:rFonts w:ascii="Arial" w:hAnsi="Arial" w:cs="Arial"/>
          <w:bCs/>
          <w:sz w:val="16"/>
        </w:rPr>
        <w:t>–Region of interest; ABGS – Active Biopsy Guidance System</w:t>
      </w:r>
      <w:r w:rsidRPr="00922A76">
        <w:rPr>
          <w:rFonts w:ascii="Arial" w:hAnsi="Arial" w:cs="Arial"/>
          <w:bCs/>
          <w:sz w:val="16"/>
        </w:rPr>
        <w:t>).</w:t>
      </w:r>
      <w:r w:rsidRPr="00F81847" w:rsidDel="00922A76">
        <w:rPr>
          <w:rFonts w:ascii="Arial" w:hAnsi="Arial" w:cs="Arial"/>
          <w:b/>
          <w:bCs/>
          <w:sz w:val="16"/>
        </w:rPr>
        <w:t xml:space="preserve"> </w:t>
      </w:r>
    </w:p>
    <w:p w14:paraId="5DA5A17B" w14:textId="77777777" w:rsidR="00620E0A" w:rsidRDefault="00620E0A" w:rsidP="00620E0A">
      <w:pPr>
        <w:rPr>
          <w:rFonts w:ascii="Arial" w:hAnsi="Arial" w:cs="Arial"/>
          <w:b/>
          <w:bCs/>
          <w:sz w:val="16"/>
        </w:rPr>
      </w:pPr>
    </w:p>
    <w:p w14:paraId="3630D9E7" w14:textId="77777777" w:rsidR="00620E0A" w:rsidRDefault="00620E0A" w:rsidP="00620E0A">
      <w:pPr>
        <w:rPr>
          <w:rFonts w:ascii="Arial" w:hAnsi="Arial" w:cs="Arial"/>
          <w:b/>
          <w:bCs/>
          <w:sz w:val="16"/>
        </w:rPr>
      </w:pPr>
    </w:p>
    <w:p w14:paraId="0B24542E" w14:textId="77777777" w:rsidR="00620E0A" w:rsidRDefault="00620E0A" w:rsidP="00620E0A">
      <w:pPr>
        <w:rPr>
          <w:rFonts w:ascii="Arial" w:hAnsi="Arial" w:cs="Arial"/>
          <w:b/>
          <w:bCs/>
          <w:sz w:val="16"/>
        </w:rPr>
      </w:pPr>
    </w:p>
    <w:p w14:paraId="0BBE1359" w14:textId="77777777" w:rsidR="00620E0A" w:rsidRPr="00B26FEA" w:rsidRDefault="00620E0A" w:rsidP="00620E0A">
      <w:pPr>
        <w:rPr>
          <w:rFonts w:ascii="Arial" w:hAnsi="Arial" w:cs="Arial"/>
          <w:sz w:val="16"/>
        </w:rPr>
      </w:pPr>
    </w:p>
    <w:p w14:paraId="15F8FE5F" w14:textId="77777777" w:rsidR="00620E0A" w:rsidRDefault="00620E0A" w:rsidP="00620E0A">
      <w:pPr>
        <w:jc w:val="center"/>
        <w:rPr>
          <w:rFonts w:ascii="Arial" w:hAnsi="Arial" w:cs="Arial"/>
        </w:rPr>
      </w:pPr>
      <w:r>
        <w:rPr>
          <w:rFonts w:ascii="Arial" w:hAnsi="Arial" w:cs="Arial"/>
          <w:noProof/>
        </w:rPr>
        <w:lastRenderedPageBreak/>
        <w:drawing>
          <wp:inline distT="0" distB="0" distL="0" distR="0" wp14:anchorId="1DAF7357" wp14:editId="6EE894A3">
            <wp:extent cx="5063439" cy="26681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Fig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3077" cy="2678486"/>
                    </a:xfrm>
                    <a:prstGeom prst="rect">
                      <a:avLst/>
                    </a:prstGeom>
                  </pic:spPr>
                </pic:pic>
              </a:graphicData>
            </a:graphic>
          </wp:inline>
        </w:drawing>
      </w:r>
    </w:p>
    <w:p w14:paraId="0C434F77" w14:textId="77777777" w:rsidR="00620E0A" w:rsidRDefault="00620E0A" w:rsidP="00620E0A">
      <w:pPr>
        <w:rPr>
          <w:rFonts w:ascii="Arial" w:hAnsi="Arial" w:cs="Arial"/>
          <w:sz w:val="16"/>
        </w:rPr>
      </w:pPr>
      <w:r w:rsidRPr="00B26FEA">
        <w:rPr>
          <w:rFonts w:ascii="Arial" w:hAnsi="Arial" w:cs="Arial"/>
          <w:b/>
          <w:bCs/>
          <w:sz w:val="16"/>
        </w:rPr>
        <w:t xml:space="preserve">Supplemental Figure </w:t>
      </w:r>
      <w:r>
        <w:rPr>
          <w:rFonts w:ascii="Arial" w:hAnsi="Arial" w:cs="Arial"/>
          <w:b/>
          <w:bCs/>
          <w:sz w:val="16"/>
        </w:rPr>
        <w:t>5</w:t>
      </w:r>
      <w:r w:rsidRPr="00B26FEA">
        <w:rPr>
          <w:rFonts w:ascii="Arial" w:hAnsi="Arial" w:cs="Arial"/>
          <w:sz w:val="16"/>
        </w:rPr>
        <w:t xml:space="preserve">: </w:t>
      </w:r>
      <w:r>
        <w:rPr>
          <w:rFonts w:ascii="Arial" w:hAnsi="Arial" w:cs="Arial"/>
          <w:b/>
          <w:bCs/>
          <w:sz w:val="16"/>
        </w:rPr>
        <w:t>High resolution</w:t>
      </w:r>
      <w:r w:rsidRPr="00B26FEA">
        <w:rPr>
          <w:rFonts w:ascii="Arial" w:hAnsi="Arial" w:cs="Arial"/>
          <w:b/>
          <w:bCs/>
          <w:sz w:val="16"/>
        </w:rPr>
        <w:t xml:space="preserve"> image processing. </w:t>
      </w:r>
      <w:r w:rsidRPr="00AB1066">
        <w:rPr>
          <w:rFonts w:ascii="Arial" w:hAnsi="Arial" w:cs="Arial"/>
          <w:bCs/>
          <w:sz w:val="16"/>
        </w:rPr>
        <w:t xml:space="preserve">(a) Oral HRME quadrant image is processed by the MTN to generate the 3-class quadrant segmentation (keratin, nuclear, and background segmentation) and predict pathology. (b) The generated segmentation mask is used to determine the degree of keratin coverage. Quadrants with a high keratin coverage are excluded from diagnosis. (c) Test set area under the receiver operating curve (AUC) for detection of Mod+ disease of the MTN model variants and the morphologic analysis algorithm. Tested MTN variants include </w:t>
      </w:r>
      <w:r>
        <w:rPr>
          <w:rFonts w:ascii="Arial" w:hAnsi="Arial" w:cs="Arial"/>
          <w:bCs/>
          <w:sz w:val="16"/>
        </w:rPr>
        <w:t xml:space="preserve">MTN with </w:t>
      </w:r>
      <w:r w:rsidRPr="00AB1066">
        <w:rPr>
          <w:rFonts w:ascii="Arial" w:hAnsi="Arial" w:cs="Arial"/>
          <w:bCs/>
          <w:sz w:val="16"/>
        </w:rPr>
        <w:t>nuclear segmentation only, MTN</w:t>
      </w:r>
      <w:r>
        <w:rPr>
          <w:rFonts w:ascii="Arial" w:hAnsi="Arial" w:cs="Arial"/>
          <w:bCs/>
          <w:sz w:val="16"/>
        </w:rPr>
        <w:t xml:space="preserve"> with</w:t>
      </w:r>
      <w:r w:rsidRPr="00AB1066">
        <w:rPr>
          <w:rFonts w:ascii="Arial" w:hAnsi="Arial" w:cs="Arial"/>
          <w:bCs/>
          <w:sz w:val="16"/>
        </w:rPr>
        <w:t xml:space="preserve"> nuclear and keratin segmentation, and a </w:t>
      </w:r>
      <w:r>
        <w:rPr>
          <w:rFonts w:ascii="Arial" w:hAnsi="Arial" w:cs="Arial"/>
          <w:bCs/>
          <w:sz w:val="16"/>
        </w:rPr>
        <w:t xml:space="preserve">MTN with </w:t>
      </w:r>
      <w:r w:rsidRPr="00AB1066">
        <w:rPr>
          <w:rFonts w:ascii="Arial" w:hAnsi="Arial" w:cs="Arial"/>
          <w:bCs/>
          <w:sz w:val="16"/>
        </w:rPr>
        <w:t>nuclear and keratin segmentation with quality check based on keratin coverage.</w:t>
      </w:r>
      <w:r w:rsidRPr="00AB1066">
        <w:rPr>
          <w:rFonts w:ascii="Arial" w:hAnsi="Arial" w:cs="Arial"/>
          <w:b/>
          <w:bCs/>
          <w:sz w:val="16"/>
        </w:rPr>
        <w:t xml:space="preserve"> </w:t>
      </w:r>
      <w:r>
        <w:rPr>
          <w:rFonts w:ascii="Arial" w:hAnsi="Arial" w:cs="Arial"/>
          <w:sz w:val="16"/>
        </w:rPr>
        <w:t xml:space="preserve">Acronyms: (MTN – Multi-task Network; Mod - </w:t>
      </w:r>
      <w:r w:rsidRPr="00F8088C">
        <w:rPr>
          <w:rFonts w:ascii="Arial" w:hAnsi="Arial" w:cs="Arial"/>
          <w:sz w:val="16"/>
        </w:rPr>
        <w:t>pathology grade moderate or more severe</w:t>
      </w:r>
      <w:r>
        <w:rPr>
          <w:rFonts w:ascii="Arial" w:hAnsi="Arial" w:cs="Arial"/>
          <w:sz w:val="16"/>
        </w:rPr>
        <w:t>).</w:t>
      </w:r>
      <w:r w:rsidDel="00F8088C">
        <w:rPr>
          <w:rFonts w:ascii="Arial" w:hAnsi="Arial" w:cs="Arial"/>
          <w:sz w:val="16"/>
        </w:rPr>
        <w:t xml:space="preserve"> </w:t>
      </w:r>
    </w:p>
    <w:p w14:paraId="0D4C509D" w14:textId="77777777" w:rsidR="00620E0A" w:rsidRPr="003B5041" w:rsidRDefault="00620E0A" w:rsidP="00620E0A">
      <w:pPr>
        <w:rPr>
          <w:rFonts w:ascii="Arial" w:hAnsi="Arial" w:cs="Arial"/>
          <w:b/>
          <w:color w:val="FF0000"/>
          <w:sz w:val="16"/>
        </w:rPr>
      </w:pPr>
    </w:p>
    <w:p w14:paraId="43BD5C58" w14:textId="77777777" w:rsidR="00620E0A" w:rsidRDefault="00620E0A" w:rsidP="00620E0A">
      <w:pPr>
        <w:jc w:val="center"/>
        <w:rPr>
          <w:rFonts w:ascii="Arial" w:hAnsi="Arial" w:cs="Arial"/>
        </w:rPr>
      </w:pPr>
      <w:r>
        <w:rPr>
          <w:rFonts w:ascii="Arial" w:hAnsi="Arial" w:cs="Arial"/>
          <w:noProof/>
        </w:rPr>
        <w:drawing>
          <wp:inline distT="0" distB="0" distL="0" distR="0" wp14:anchorId="6B9B2EB8" wp14:editId="3B5C2C46">
            <wp:extent cx="5496375" cy="15550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1846" cy="1567958"/>
                    </a:xfrm>
                    <a:prstGeom prst="rect">
                      <a:avLst/>
                    </a:prstGeom>
                    <a:noFill/>
                  </pic:spPr>
                </pic:pic>
              </a:graphicData>
            </a:graphic>
          </wp:inline>
        </w:drawing>
      </w:r>
    </w:p>
    <w:p w14:paraId="528C767B" w14:textId="77777777" w:rsidR="00620E0A" w:rsidRPr="00DC0380" w:rsidRDefault="00620E0A" w:rsidP="00620E0A">
      <w:pPr>
        <w:rPr>
          <w:rFonts w:ascii="Arial" w:hAnsi="Arial" w:cs="Arial"/>
          <w:sz w:val="16"/>
        </w:rPr>
      </w:pPr>
      <w:r w:rsidRPr="00DC0380">
        <w:rPr>
          <w:rFonts w:ascii="Arial" w:hAnsi="Arial" w:cs="Arial"/>
          <w:b/>
          <w:bCs/>
          <w:sz w:val="16"/>
        </w:rPr>
        <w:t xml:space="preserve">Supplemental </w:t>
      </w:r>
      <w:r>
        <w:rPr>
          <w:rFonts w:ascii="Arial" w:hAnsi="Arial" w:cs="Arial"/>
          <w:b/>
          <w:bCs/>
          <w:sz w:val="16"/>
        </w:rPr>
        <w:t>Table 1</w:t>
      </w:r>
      <w:r w:rsidRPr="00DC0380">
        <w:rPr>
          <w:rFonts w:ascii="Arial" w:hAnsi="Arial" w:cs="Arial"/>
          <w:sz w:val="16"/>
        </w:rPr>
        <w:t xml:space="preserve">: </w:t>
      </w:r>
      <w:r w:rsidRPr="007D4EA8">
        <w:rPr>
          <w:rFonts w:ascii="Arial" w:hAnsi="Arial" w:cs="Arial"/>
          <w:bCs/>
          <w:sz w:val="16"/>
        </w:rPr>
        <w:t xml:space="preserve">Number of patients and number of </w:t>
      </w:r>
      <w:r>
        <w:rPr>
          <w:rFonts w:ascii="Arial" w:hAnsi="Arial" w:cs="Arial"/>
          <w:bCs/>
          <w:sz w:val="16"/>
        </w:rPr>
        <w:t>microscope</w:t>
      </w:r>
      <w:r w:rsidRPr="007D4EA8">
        <w:rPr>
          <w:rFonts w:ascii="Arial" w:hAnsi="Arial" w:cs="Arial"/>
          <w:bCs/>
          <w:sz w:val="16"/>
        </w:rPr>
        <w:t xml:space="preserve"> images in the training, validation, and test sets of the oral MTN</w:t>
      </w:r>
      <w:r>
        <w:rPr>
          <w:rFonts w:ascii="Arial" w:hAnsi="Arial" w:cs="Arial"/>
          <w:bCs/>
          <w:sz w:val="16"/>
        </w:rPr>
        <w:t xml:space="preserve"> (Multi-Task Network)</w:t>
      </w:r>
      <w:r w:rsidRPr="007D4EA8">
        <w:rPr>
          <w:rFonts w:ascii="Arial" w:hAnsi="Arial" w:cs="Arial"/>
          <w:bCs/>
          <w:sz w:val="16"/>
        </w:rPr>
        <w:t xml:space="preserve"> stratified by patient histopathologic diagnosis. Number of </w:t>
      </w:r>
      <w:r>
        <w:rPr>
          <w:rFonts w:ascii="Arial" w:hAnsi="Arial" w:cs="Arial"/>
          <w:bCs/>
          <w:sz w:val="16"/>
        </w:rPr>
        <w:t>microscope</w:t>
      </w:r>
      <w:r w:rsidRPr="007D4EA8">
        <w:rPr>
          <w:rFonts w:ascii="Arial" w:hAnsi="Arial" w:cs="Arial"/>
          <w:bCs/>
          <w:sz w:val="16"/>
        </w:rPr>
        <w:t xml:space="preserve"> images are in parentheses.</w:t>
      </w:r>
    </w:p>
    <w:p w14:paraId="18B67171" w14:textId="12D70596" w:rsidR="00C1651A" w:rsidRPr="00C1651A" w:rsidRDefault="00C1651A" w:rsidP="00C1651A">
      <w:pPr>
        <w:pStyle w:val="07Copyright"/>
        <w:rPr>
          <w:rFonts w:ascii="Times New Roman" w:hAnsi="Times New Roman"/>
          <w:sz w:val="20"/>
        </w:rPr>
      </w:pPr>
    </w:p>
    <w:sectPr w:rsidR="00C1651A" w:rsidRPr="00C1651A" w:rsidSect="0081577A">
      <w:pgSz w:w="12240" w:h="15840"/>
      <w:pgMar w:top="1872" w:right="2347" w:bottom="1872" w:left="23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6C6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A0469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AC41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32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FCE5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A68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849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7C0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844B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497324"/>
    <w:multiLevelType w:val="hybridMultilevel"/>
    <w:tmpl w:val="0E50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72220"/>
    <w:multiLevelType w:val="hybridMultilevel"/>
    <w:tmpl w:val="4C54C734"/>
    <w:lvl w:ilvl="0" w:tplc="D04ED72E">
      <w:start w:val="1"/>
      <w:numFmt w:val="decimal"/>
      <w:pStyle w:val="24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C11591"/>
    <w:multiLevelType w:val="hybridMultilevel"/>
    <w:tmpl w:val="265E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929DE"/>
    <w:multiLevelType w:val="hybridMultilevel"/>
    <w:tmpl w:val="D6FE65AC"/>
    <w:lvl w:ilvl="0" w:tplc="FB5EEEB8">
      <w:start w:val="1"/>
      <w:numFmt w:val="decimal"/>
      <w:pStyle w:val="19ListNumber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9"/>
  </w:num>
  <w:num w:numId="3">
    <w:abstractNumId w:val="13"/>
  </w:num>
  <w:num w:numId="4">
    <w:abstractNumId w:val="15"/>
  </w:num>
  <w:num w:numId="5">
    <w:abstractNumId w:val="12"/>
  </w:num>
  <w:num w:numId="6">
    <w:abstractNumId w:val="18"/>
  </w:num>
  <w:num w:numId="7">
    <w:abstractNumId w:val="17"/>
  </w:num>
  <w:num w:numId="8">
    <w:abstractNumId w:val="21"/>
  </w:num>
  <w:num w:numId="9">
    <w:abstractNumId w:val="1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663"/>
    <w:rsid w:val="00002E70"/>
    <w:rsid w:val="00022A47"/>
    <w:rsid w:val="00025EED"/>
    <w:rsid w:val="00036639"/>
    <w:rsid w:val="000366A8"/>
    <w:rsid w:val="000615EE"/>
    <w:rsid w:val="00062D82"/>
    <w:rsid w:val="00086BC8"/>
    <w:rsid w:val="00092896"/>
    <w:rsid w:val="000A1A24"/>
    <w:rsid w:val="000B0402"/>
    <w:rsid w:val="0012111D"/>
    <w:rsid w:val="00176184"/>
    <w:rsid w:val="0018075C"/>
    <w:rsid w:val="001920EE"/>
    <w:rsid w:val="001A28CD"/>
    <w:rsid w:val="001C1A8F"/>
    <w:rsid w:val="001E01C7"/>
    <w:rsid w:val="0020118A"/>
    <w:rsid w:val="00225EE0"/>
    <w:rsid w:val="00241F85"/>
    <w:rsid w:val="00271DF7"/>
    <w:rsid w:val="00285F00"/>
    <w:rsid w:val="002A2E82"/>
    <w:rsid w:val="002D43D6"/>
    <w:rsid w:val="002E0DDB"/>
    <w:rsid w:val="002E2F1C"/>
    <w:rsid w:val="002F13BA"/>
    <w:rsid w:val="002F14ED"/>
    <w:rsid w:val="002F389C"/>
    <w:rsid w:val="00331AB2"/>
    <w:rsid w:val="00333C67"/>
    <w:rsid w:val="00350965"/>
    <w:rsid w:val="0036209C"/>
    <w:rsid w:val="00383428"/>
    <w:rsid w:val="00394FAA"/>
    <w:rsid w:val="003B1339"/>
    <w:rsid w:val="003F2F9F"/>
    <w:rsid w:val="004048F5"/>
    <w:rsid w:val="00416CDD"/>
    <w:rsid w:val="00432E94"/>
    <w:rsid w:val="00435547"/>
    <w:rsid w:val="0046510A"/>
    <w:rsid w:val="0048331C"/>
    <w:rsid w:val="00497360"/>
    <w:rsid w:val="004D54AD"/>
    <w:rsid w:val="004E5380"/>
    <w:rsid w:val="004F6039"/>
    <w:rsid w:val="00535347"/>
    <w:rsid w:val="00560F5B"/>
    <w:rsid w:val="00591164"/>
    <w:rsid w:val="0059121C"/>
    <w:rsid w:val="00595A48"/>
    <w:rsid w:val="005A33E2"/>
    <w:rsid w:val="005B641F"/>
    <w:rsid w:val="005C5922"/>
    <w:rsid w:val="005F4008"/>
    <w:rsid w:val="006005DA"/>
    <w:rsid w:val="00620E0A"/>
    <w:rsid w:val="006270B3"/>
    <w:rsid w:val="00643829"/>
    <w:rsid w:val="006508E1"/>
    <w:rsid w:val="00674706"/>
    <w:rsid w:val="006B1167"/>
    <w:rsid w:val="006E097B"/>
    <w:rsid w:val="006E3663"/>
    <w:rsid w:val="007157C5"/>
    <w:rsid w:val="00740384"/>
    <w:rsid w:val="00762B85"/>
    <w:rsid w:val="007A717D"/>
    <w:rsid w:val="007B2071"/>
    <w:rsid w:val="007B6528"/>
    <w:rsid w:val="007D7494"/>
    <w:rsid w:val="007E1A52"/>
    <w:rsid w:val="007F35CC"/>
    <w:rsid w:val="0080185D"/>
    <w:rsid w:val="00804C9B"/>
    <w:rsid w:val="0081577A"/>
    <w:rsid w:val="00824C53"/>
    <w:rsid w:val="008C57CE"/>
    <w:rsid w:val="008E4E83"/>
    <w:rsid w:val="00907C09"/>
    <w:rsid w:val="009508BC"/>
    <w:rsid w:val="00974BEF"/>
    <w:rsid w:val="009909E8"/>
    <w:rsid w:val="00994199"/>
    <w:rsid w:val="00A035D7"/>
    <w:rsid w:val="00A05A2A"/>
    <w:rsid w:val="00A06C24"/>
    <w:rsid w:val="00A40EFB"/>
    <w:rsid w:val="00A52528"/>
    <w:rsid w:val="00A55B30"/>
    <w:rsid w:val="00A568B6"/>
    <w:rsid w:val="00A62764"/>
    <w:rsid w:val="00AE538D"/>
    <w:rsid w:val="00AE6551"/>
    <w:rsid w:val="00AF719D"/>
    <w:rsid w:val="00B345AD"/>
    <w:rsid w:val="00B42950"/>
    <w:rsid w:val="00B971C8"/>
    <w:rsid w:val="00BB73D5"/>
    <w:rsid w:val="00BC55D1"/>
    <w:rsid w:val="00BD2F0B"/>
    <w:rsid w:val="00BF64A9"/>
    <w:rsid w:val="00C1651A"/>
    <w:rsid w:val="00C202EA"/>
    <w:rsid w:val="00C413BF"/>
    <w:rsid w:val="00C628A7"/>
    <w:rsid w:val="00C90584"/>
    <w:rsid w:val="00CB0396"/>
    <w:rsid w:val="00CD0466"/>
    <w:rsid w:val="00CE587E"/>
    <w:rsid w:val="00D07434"/>
    <w:rsid w:val="00D2683C"/>
    <w:rsid w:val="00D4248B"/>
    <w:rsid w:val="00D44604"/>
    <w:rsid w:val="00D91A4A"/>
    <w:rsid w:val="00DD2514"/>
    <w:rsid w:val="00DF10EB"/>
    <w:rsid w:val="00DF6C7C"/>
    <w:rsid w:val="00E00665"/>
    <w:rsid w:val="00E71198"/>
    <w:rsid w:val="00E86B64"/>
    <w:rsid w:val="00EA0214"/>
    <w:rsid w:val="00EB38EC"/>
    <w:rsid w:val="00EC0262"/>
    <w:rsid w:val="00EC755F"/>
    <w:rsid w:val="00ED2C69"/>
    <w:rsid w:val="00EF09E8"/>
    <w:rsid w:val="00F33E52"/>
    <w:rsid w:val="00F3556C"/>
    <w:rsid w:val="00F75B1B"/>
    <w:rsid w:val="00F92333"/>
    <w:rsid w:val="00F969F1"/>
    <w:rsid w:val="00FA1BFD"/>
    <w:rsid w:val="00FB1919"/>
    <w:rsid w:val="00FC10AC"/>
    <w:rsid w:val="00FC5DCC"/>
    <w:rsid w:val="00FD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AA1FA"/>
  <w15:docId w15:val="{3CF04A3C-FF5E-45C1-A1F9-D8D8E8A5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rsid w:val="0020118A"/>
  </w:style>
  <w:style w:type="paragraph" w:styleId="Heading1">
    <w:name w:val="heading 1"/>
    <w:basedOn w:val="Normal"/>
    <w:next w:val="Normal"/>
    <w:link w:val="Heading1Char"/>
    <w:uiPriority w:val="9"/>
    <w:rsid w:val="006270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02Author"/>
    <w:qFormat/>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qFormat/>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link w:val="10BodySubsequentParagraphChar"/>
    <w:qFormat/>
    <w:rsid w:val="00A568B6"/>
    <w:pPr>
      <w:spacing w:before="0"/>
      <w:ind w:firstLine="288"/>
    </w:pPr>
  </w:style>
  <w:style w:type="paragraph" w:customStyle="1" w:styleId="03AuthorAffiliation">
    <w:name w:val="03. Author Affiliation"/>
    <w:basedOn w:val="NoSpacing"/>
    <w:next w:val="04Email"/>
    <w:qFormat/>
    <w:rsid w:val="00CE587E"/>
    <w:rPr>
      <w:rFonts w:ascii="Times New Roman" w:hAnsi="Times New Roman"/>
      <w:i/>
      <w:sz w:val="18"/>
    </w:rPr>
  </w:style>
  <w:style w:type="paragraph" w:customStyle="1" w:styleId="02Author-OE">
    <w:name w:val="02. Author - OE"/>
    <w:basedOn w:val="02Author-BOE"/>
    <w:next w:val="03AuthorAffiliation"/>
    <w:qFormat/>
    <w:rsid w:val="00CE587E"/>
    <w:rPr>
      <w:color w:val="943634"/>
    </w:rPr>
  </w:style>
  <w:style w:type="paragraph" w:styleId="NoSpacing">
    <w:name w:val="No Spacing"/>
    <w:uiPriority w:val="1"/>
    <w:rsid w:val="009909E8"/>
    <w:pPr>
      <w:spacing w:after="0" w:line="240" w:lineRule="auto"/>
    </w:pPr>
  </w:style>
  <w:style w:type="paragraph" w:customStyle="1" w:styleId="02Author-OME">
    <w:name w:val="02. Author - OME"/>
    <w:basedOn w:val="02Author-BOE"/>
    <w:next w:val="03AuthorAffiliation"/>
    <w:qFormat/>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3ReferenceSectionHeader">
    <w:name w:val="23. Reference Section Header"/>
    <w:next w:val="24References"/>
    <w:qFormat/>
    <w:rsid w:val="007F35CC"/>
    <w:pPr>
      <w:spacing w:before="120" w:after="120" w:line="240" w:lineRule="auto"/>
    </w:pPr>
    <w:rPr>
      <w:rFonts w:ascii="Arial" w:hAnsi="Arial"/>
      <w:b/>
      <w:sz w:val="20"/>
    </w:rPr>
  </w:style>
  <w:style w:type="paragraph" w:customStyle="1" w:styleId="06AbstractBody">
    <w:name w:val="06. Abstract Body"/>
    <w:next w:val="07Copyright"/>
    <w:link w:val="06AbstractBodyChar"/>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qFormat/>
    <w:rsid w:val="0036209C"/>
    <w:pPr>
      <w:spacing w:after="240"/>
    </w:pPr>
    <w:rPr>
      <w:rFonts w:ascii="Arial" w:hAnsi="Arial"/>
      <w:sz w:val="16"/>
    </w:rPr>
  </w:style>
  <w:style w:type="paragraph" w:customStyle="1" w:styleId="24References">
    <w:name w:val="24.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link w:val="09BodyFirstParagraphChar"/>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CommentReference">
    <w:name w:val="annotation reference"/>
    <w:basedOn w:val="DefaultParagraphFont"/>
    <w:uiPriority w:val="99"/>
    <w:semiHidden/>
    <w:unhideWhenUsed/>
    <w:rsid w:val="005A33E2"/>
    <w:rPr>
      <w:sz w:val="16"/>
      <w:szCs w:val="16"/>
    </w:rPr>
  </w:style>
  <w:style w:type="paragraph" w:styleId="CommentText">
    <w:name w:val="annotation text"/>
    <w:basedOn w:val="Normal"/>
    <w:link w:val="CommentTextChar"/>
    <w:uiPriority w:val="99"/>
    <w:semiHidden/>
    <w:unhideWhenUsed/>
    <w:rsid w:val="005A33E2"/>
    <w:pPr>
      <w:spacing w:line="240" w:lineRule="auto"/>
    </w:pPr>
    <w:rPr>
      <w:sz w:val="20"/>
      <w:szCs w:val="20"/>
    </w:rPr>
  </w:style>
  <w:style w:type="character" w:customStyle="1" w:styleId="CommentTextChar">
    <w:name w:val="Comment Text Char"/>
    <w:basedOn w:val="DefaultParagraphFont"/>
    <w:link w:val="CommentText"/>
    <w:uiPriority w:val="99"/>
    <w:semiHidden/>
    <w:rsid w:val="005A33E2"/>
    <w:rPr>
      <w:sz w:val="20"/>
      <w:szCs w:val="20"/>
    </w:rPr>
  </w:style>
  <w:style w:type="paragraph" w:styleId="CommentSubject">
    <w:name w:val="annotation subject"/>
    <w:basedOn w:val="CommentText"/>
    <w:next w:val="CommentText"/>
    <w:link w:val="CommentSubjectChar"/>
    <w:uiPriority w:val="99"/>
    <w:semiHidden/>
    <w:unhideWhenUsed/>
    <w:rsid w:val="005A33E2"/>
    <w:rPr>
      <w:b/>
      <w:bCs/>
    </w:rPr>
  </w:style>
  <w:style w:type="character" w:customStyle="1" w:styleId="CommentSubjectChar">
    <w:name w:val="Comment Subject Char"/>
    <w:basedOn w:val="CommentTextChar"/>
    <w:link w:val="CommentSubject"/>
    <w:uiPriority w:val="99"/>
    <w:semiHidden/>
    <w:rsid w:val="005A33E2"/>
    <w:rPr>
      <w:b/>
      <w:bCs/>
      <w:sz w:val="20"/>
      <w:szCs w:val="20"/>
    </w:rPr>
  </w:style>
  <w:style w:type="paragraph" w:styleId="BalloonText">
    <w:name w:val="Balloon Text"/>
    <w:basedOn w:val="Normal"/>
    <w:link w:val="BalloonTextChar"/>
    <w:uiPriority w:val="99"/>
    <w:semiHidden/>
    <w:unhideWhenUsed/>
    <w:rsid w:val="005A3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09BodyFirstParagraph"/>
    <w:qFormat/>
    <w:rsid w:val="00A55B30"/>
    <w:pPr>
      <w:numPr>
        <w:numId w:val="0"/>
      </w:numPr>
      <w:spacing w:after="120"/>
      <w:ind w:left="360" w:hanging="360"/>
    </w:pPr>
  </w:style>
  <w:style w:type="paragraph" w:customStyle="1" w:styleId="21AcknowledgmentsSectionHeader">
    <w:name w:val="21. Acknowledgments Section Header"/>
    <w:basedOn w:val="20FundingSectionHeader"/>
    <w:next w:val="09BodyFirstParagraph"/>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link w:val="13EquationChar"/>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AO">
    <w:name w:val="02. Author - AO"/>
    <w:basedOn w:val="02Author-BOE"/>
    <w:next w:val="03AuthorAffiliation"/>
    <w:qFormat/>
    <w:rsid w:val="005F4008"/>
    <w:rPr>
      <w:color w:val="26428F"/>
    </w:rPr>
  </w:style>
  <w:style w:type="paragraph" w:customStyle="1" w:styleId="02Author-JOSAA">
    <w:name w:val="02. Author - JOSAA"/>
    <w:basedOn w:val="02Author-AO"/>
    <w:next w:val="03AuthorAffiliation"/>
    <w:qFormat/>
    <w:rsid w:val="005F4008"/>
    <w:rPr>
      <w:color w:val="4C265B"/>
    </w:rPr>
  </w:style>
  <w:style w:type="paragraph" w:customStyle="1" w:styleId="02Author-JOSAB">
    <w:name w:val="02. Author - JOSAB"/>
    <w:basedOn w:val="02Author-JOSAA"/>
    <w:next w:val="03AuthorAffiliation"/>
    <w:qFormat/>
    <w:rsid w:val="005F4008"/>
    <w:rPr>
      <w:color w:val="16A14C"/>
    </w:rPr>
  </w:style>
  <w:style w:type="paragraph" w:customStyle="1" w:styleId="02Author-Optica">
    <w:name w:val="02. Author - Optica"/>
    <w:basedOn w:val="02Author-JOSAA"/>
    <w:next w:val="03AuthorAffiliation"/>
    <w:qFormat/>
    <w:rsid w:val="005F4008"/>
    <w:rPr>
      <w:color w:val="007B4A"/>
    </w:rPr>
  </w:style>
  <w:style w:type="paragraph" w:customStyle="1" w:styleId="02Author-OL">
    <w:name w:val="02. Author - OL"/>
    <w:basedOn w:val="02Author-Optica"/>
    <w:next w:val="03AuthorAffiliation"/>
    <w:qFormat/>
    <w:rsid w:val="005F4008"/>
    <w:rPr>
      <w:color w:val="254982"/>
    </w:rPr>
  </w:style>
  <w:style w:type="paragraph" w:customStyle="1" w:styleId="22DisclosuresSectionHeader">
    <w:name w:val="22. Disclosures Section Header"/>
    <w:basedOn w:val="21AcknowledgmentsSectionHeader"/>
    <w:next w:val="09BodyFirstParagraph"/>
    <w:qFormat/>
    <w:rsid w:val="007F35CC"/>
  </w:style>
  <w:style w:type="character" w:customStyle="1" w:styleId="Heading1Char">
    <w:name w:val="Heading 1 Char"/>
    <w:basedOn w:val="DefaultParagraphFont"/>
    <w:link w:val="Heading1"/>
    <w:uiPriority w:val="9"/>
    <w:rsid w:val="006270B3"/>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TableGrid">
    <w:name w:val="Table Grid"/>
    <w:basedOn w:val="TableNormal"/>
    <w:uiPriority w:val="59"/>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AO"/>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AO"/>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paragraph" w:customStyle="1" w:styleId="MTDisplayEquation">
    <w:name w:val="MTDisplayEquation"/>
    <w:basedOn w:val="13Equation"/>
    <w:next w:val="Normal"/>
    <w:link w:val="MTDisplayEquationChar"/>
    <w:rsid w:val="00C1651A"/>
    <w:pPr>
      <w:tabs>
        <w:tab w:val="clear" w:pos="4320"/>
        <w:tab w:val="clear" w:pos="7560"/>
        <w:tab w:val="center" w:pos="3760"/>
        <w:tab w:val="right" w:pos="7540"/>
      </w:tabs>
    </w:pPr>
  </w:style>
  <w:style w:type="character" w:customStyle="1" w:styleId="06AbstractBodyChar">
    <w:name w:val="06. Abstract Body Char"/>
    <w:basedOn w:val="DefaultParagraphFont"/>
    <w:link w:val="06AbstractBody"/>
    <w:rsid w:val="00C1651A"/>
    <w:rPr>
      <w:rFonts w:ascii="Times New Roman" w:hAnsi="Times New Roman"/>
      <w:color w:val="000000" w:themeColor="text1"/>
      <w:sz w:val="20"/>
    </w:rPr>
  </w:style>
  <w:style w:type="character" w:customStyle="1" w:styleId="09BodyFirstParagraphChar">
    <w:name w:val="09. Body First Paragraph Char"/>
    <w:basedOn w:val="06AbstractBodyChar"/>
    <w:link w:val="09BodyFirstParagraph"/>
    <w:rsid w:val="00C1651A"/>
    <w:rPr>
      <w:rFonts w:ascii="Times New Roman" w:hAnsi="Times New Roman"/>
      <w:color w:val="000000" w:themeColor="text1"/>
      <w:sz w:val="20"/>
    </w:rPr>
  </w:style>
  <w:style w:type="character" w:customStyle="1" w:styleId="10BodySubsequentParagraphChar">
    <w:name w:val="10. Body Subsequent Paragraph Char"/>
    <w:basedOn w:val="09BodyFirstParagraphChar"/>
    <w:link w:val="10BodySubsequentParagraph"/>
    <w:rsid w:val="00C1651A"/>
    <w:rPr>
      <w:rFonts w:ascii="Times New Roman" w:hAnsi="Times New Roman"/>
      <w:color w:val="000000" w:themeColor="text1"/>
      <w:sz w:val="20"/>
    </w:rPr>
  </w:style>
  <w:style w:type="character" w:customStyle="1" w:styleId="13EquationChar">
    <w:name w:val="13. Equation Char"/>
    <w:basedOn w:val="10BodySubsequentParagraphChar"/>
    <w:link w:val="13Equation"/>
    <w:rsid w:val="00C1651A"/>
    <w:rPr>
      <w:rFonts w:ascii="Times New Roman" w:hAnsi="Times New Roman"/>
      <w:color w:val="000000" w:themeColor="text1"/>
      <w:sz w:val="20"/>
    </w:rPr>
  </w:style>
  <w:style w:type="character" w:customStyle="1" w:styleId="MTDisplayEquationChar">
    <w:name w:val="MTDisplayEquation Char"/>
    <w:basedOn w:val="13EquationChar"/>
    <w:link w:val="MTDisplayEquation"/>
    <w:rsid w:val="00C1651A"/>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12001-1F32-4C9A-BCA3-3D95D1E2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Mayfield</dc:creator>
  <cp:lastModifiedBy>Jackson Coole</cp:lastModifiedBy>
  <cp:revision>6</cp:revision>
  <dcterms:created xsi:type="dcterms:W3CDTF">2022-05-06T19:55:00Z</dcterms:created>
  <dcterms:modified xsi:type="dcterms:W3CDTF">2022-06-03T14:56:00Z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