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63" w:type="dxa"/>
        <w:tblLayout w:type="fixed"/>
        <w:tblLook w:val="0400" w:firstRow="0" w:lastRow="0" w:firstColumn="0" w:lastColumn="0" w:noHBand="0" w:noVBand="1"/>
      </w:tblPr>
      <w:tblGrid>
        <w:gridCol w:w="1731"/>
        <w:gridCol w:w="1733"/>
        <w:gridCol w:w="1733"/>
        <w:gridCol w:w="1733"/>
        <w:gridCol w:w="1733"/>
      </w:tblGrid>
      <w:tr w:rsidR="00033E91" w:rsidRPr="00951338" w:rsidTr="00695274">
        <w:trPr>
          <w:trHeight w:val="295"/>
          <w:tblHeader/>
        </w:trPr>
        <w:tc>
          <w:tcPr>
            <w:tcW w:w="8663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Supplementary 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Table 2. 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Purinergic receptor expression at mRNA level in neutrophils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and monocytes 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>from control groups and septic patients.</w:t>
            </w:r>
          </w:p>
        </w:tc>
      </w:tr>
      <w:tr w:rsidR="00033E91" w:rsidRPr="00951338" w:rsidTr="00695274">
        <w:trPr>
          <w:trHeight w:val="295"/>
          <w:tblHeader/>
        </w:trPr>
        <w:tc>
          <w:tcPr>
            <w:tcW w:w="173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Control 1 </w:t>
            </w:r>
          </w:p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(Healthy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  <w:r w:rsidRPr="0036279A">
              <w:rPr>
                <w:rFonts w:eastAsia="Times New Roman"/>
                <w:b/>
                <w:color w:val="000000"/>
                <w:sz w:val="22"/>
                <w:szCs w:val="22"/>
                <w:vertAlign w:val="superscript"/>
              </w:rPr>
              <w:t>&amp;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Control 2 (Ward, Non-septic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subjects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Sep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tic subjects</w:t>
            </w:r>
          </w:p>
        </w:tc>
        <w:tc>
          <w:tcPr>
            <w:tcW w:w="1733" w:type="dxa"/>
            <w:tcBorders>
              <w:top w:val="single" w:sz="4" w:space="0" w:color="000000"/>
              <w:bottom w:val="single" w:sz="4" w:space="0" w:color="000000"/>
            </w:tcBorders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7A5EC7">
              <w:rPr>
                <w:rFonts w:eastAsia="Times New Roman"/>
                <w:b/>
                <w:i/>
                <w:color w:val="000000"/>
                <w:sz w:val="22"/>
                <w:szCs w:val="22"/>
              </w:rPr>
              <w:t>p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B908E2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P2Y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  <w:vertAlign w:val="subscript"/>
              </w:rPr>
              <w:t>2</w:t>
            </w:r>
            <w:r>
              <w:rPr>
                <w:rFonts w:eastAsia="Times New Roman"/>
                <w:b/>
                <w:color w:val="000000"/>
                <w:sz w:val="22"/>
                <w:szCs w:val="22"/>
                <w:vertAlign w:val="subscript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neutrophil</w:t>
            </w: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</w:t>
            </w:r>
            <w:r w:rsidRPr="00951338">
              <w:rPr>
                <w:sz w:val="22"/>
                <w:szCs w:val="22"/>
              </w:rPr>
              <w:t>9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33" w:type="dxa"/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2.29 (0.19-5.04)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0.56 (0.28-1.28)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0.067</w:t>
            </w: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P2X7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neutrophil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 w:themeFill="background1" w:themeFillShade="F2"/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33" w:type="dxa"/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1.03 (0.56-2.41)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0.62 (0.28-1.87)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0.384</w:t>
            </w: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A2a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neutrophil</w:t>
            </w: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033E91" w:rsidRPr="00951338" w:rsidRDefault="00033E91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733" w:type="dxa"/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0.71 (0.42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>3.03)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36279A">
              <w:rPr>
                <w:rFonts w:eastAsia="Times New Roman"/>
                <w:b/>
                <w:color w:val="000000"/>
                <w:sz w:val="22"/>
                <w:szCs w:val="22"/>
              </w:rPr>
              <w:t>6.47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(2.32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>0</w:t>
            </w:r>
            <w:r>
              <w:rPr>
                <w:rFonts w:eastAsia="Times New Roman"/>
                <w:color w:val="000000"/>
                <w:sz w:val="22"/>
                <w:szCs w:val="22"/>
              </w:rPr>
              <w:t>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83)</w:t>
            </w:r>
            <w:r w:rsidRPr="0036279A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  <w:r w:rsidRPr="0036279A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733" w:type="dxa"/>
          </w:tcPr>
          <w:p w:rsidR="00033E91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FD29FA">
              <w:rPr>
                <w:rFonts w:eastAsia="Times New Roman"/>
                <w:b/>
                <w:color w:val="000000"/>
                <w:sz w:val="22"/>
                <w:szCs w:val="22"/>
              </w:rPr>
              <w:t>&lt;0.0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0</w:t>
            </w:r>
            <w:r w:rsidR="0078617E">
              <w:rPr>
                <w:rFonts w:eastAsia="Times New Roman"/>
                <w:b/>
                <w:color w:val="000000"/>
                <w:sz w:val="22"/>
                <w:szCs w:val="22"/>
              </w:rPr>
              <w:t>01</w:t>
            </w:r>
            <w:bookmarkStart w:id="0" w:name="_GoBack"/>
            <w:bookmarkEnd w:id="0"/>
          </w:p>
          <w:p w:rsidR="00033E91" w:rsidRPr="00FD29FA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A2a monocyte</w:t>
            </w:r>
          </w:p>
        </w:tc>
        <w:tc>
          <w:tcPr>
            <w:tcW w:w="173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F2F2F2" w:themeFill="background1" w:themeFillShade="F2"/>
          </w:tcPr>
          <w:p w:rsidR="00033E91" w:rsidRPr="00FD29FA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3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33" w:type="dxa"/>
          </w:tcPr>
          <w:p w:rsidR="00033E91" w:rsidRPr="00FD29FA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</w:tr>
      <w:tr w:rsidR="00033E91" w:rsidRPr="00951338" w:rsidTr="00695274">
        <w:trPr>
          <w:trHeight w:val="295"/>
        </w:trPr>
        <w:tc>
          <w:tcPr>
            <w:tcW w:w="173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</w:rPr>
              <w:t>1.21 (0.37-2.38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E91" w:rsidRPr="00951338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04093C">
              <w:rPr>
                <w:rFonts w:eastAsia="Times New Roman"/>
                <w:b/>
                <w:color w:val="000000"/>
                <w:sz w:val="22"/>
                <w:szCs w:val="22"/>
              </w:rPr>
              <w:t>4.08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 w:rsidRPr="00E200CF">
              <w:rPr>
                <w:rFonts w:eastAsia="Times New Roman"/>
                <w:color w:val="000000"/>
                <w:sz w:val="22"/>
                <w:szCs w:val="22"/>
              </w:rPr>
              <w:t>(1.67</w:t>
            </w:r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  <w:r w:rsidRPr="00E200CF">
              <w:rPr>
                <w:rFonts w:eastAsia="Times New Roman"/>
                <w:color w:val="000000"/>
                <w:sz w:val="22"/>
                <w:szCs w:val="22"/>
              </w:rPr>
              <w:t>29.</w:t>
            </w:r>
            <w:proofErr w:type="gramStart"/>
            <w:r w:rsidRPr="00E200CF">
              <w:rPr>
                <w:rFonts w:eastAsia="Times New Roman"/>
                <w:color w:val="000000"/>
                <w:sz w:val="22"/>
                <w:szCs w:val="22"/>
              </w:rPr>
              <w:t>22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>)</w:t>
            </w:r>
            <w:r w:rsidRPr="0036279A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  <w:r w:rsidRPr="0036279A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733" w:type="dxa"/>
            <w:tcBorders>
              <w:bottom w:val="single" w:sz="4" w:space="0" w:color="000000"/>
            </w:tcBorders>
          </w:tcPr>
          <w:p w:rsidR="00033E91" w:rsidRPr="00FD29FA" w:rsidRDefault="00033E91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0.0034</w:t>
            </w:r>
          </w:p>
        </w:tc>
      </w:tr>
    </w:tbl>
    <w:p w:rsidR="002277CE" w:rsidRDefault="00D917B0"/>
    <w:p w:rsidR="00033E91" w:rsidRDefault="00033E91" w:rsidP="00033E91">
      <w:pPr>
        <w:spacing w:line="276" w:lineRule="auto"/>
        <w:contextualSpacing/>
        <w:jc w:val="both"/>
        <w:rPr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Data were </w:t>
      </w:r>
      <w:r w:rsidRPr="00461209">
        <w:rPr>
          <w:rFonts w:eastAsia="Times New Roman"/>
          <w:color w:val="000000"/>
          <w:sz w:val="22"/>
          <w:szCs w:val="22"/>
        </w:rPr>
        <w:t xml:space="preserve">analyzed </w:t>
      </w:r>
      <w:r>
        <w:rPr>
          <w:rFonts w:eastAsia="Times New Roman"/>
          <w:color w:val="000000"/>
          <w:sz w:val="22"/>
          <w:szCs w:val="22"/>
        </w:rPr>
        <w:t>using</w:t>
      </w:r>
      <w:r w:rsidRPr="00461209">
        <w:rPr>
          <w:rFonts w:eastAsia="Times New Roman"/>
          <w:color w:val="000000"/>
          <w:sz w:val="22"/>
          <w:szCs w:val="22"/>
        </w:rPr>
        <w:t xml:space="preserve"> the 2</w:t>
      </w:r>
      <w:sdt>
        <w:sdtPr>
          <w:rPr>
            <w:sz w:val="22"/>
            <w:szCs w:val="22"/>
          </w:rPr>
          <w:tag w:val="goog_rdk_10"/>
          <w:id w:val="16822047"/>
        </w:sdtPr>
        <w:sdtEndPr/>
        <w:sdtContent>
          <w:r w:rsidRPr="00461209">
            <w:rPr>
              <w:rFonts w:eastAsia="Gungsuh"/>
              <w:color w:val="000000"/>
              <w:sz w:val="22"/>
              <w:szCs w:val="22"/>
              <w:vertAlign w:val="superscript"/>
            </w:rPr>
            <w:t>−Δ/ΔCT</w:t>
          </w:r>
        </w:sdtContent>
      </w:sdt>
      <w:r w:rsidRPr="00461209">
        <w:rPr>
          <w:rFonts w:eastAsia="Times New Roman"/>
          <w:color w:val="000000"/>
          <w:sz w:val="22"/>
          <w:szCs w:val="22"/>
        </w:rPr>
        <w:t xml:space="preserve"> method</w:t>
      </w:r>
      <w:r>
        <w:rPr>
          <w:rFonts w:eastAsia="Times New Roman"/>
          <w:color w:val="000000"/>
          <w:sz w:val="22"/>
          <w:szCs w:val="22"/>
        </w:rPr>
        <w:t>. V</w:t>
      </w:r>
      <w:r w:rsidRPr="00951338">
        <w:rPr>
          <w:sz w:val="22"/>
          <w:szCs w:val="22"/>
        </w:rPr>
        <w:t xml:space="preserve">alues were normalized considering </w:t>
      </w:r>
      <w:r>
        <w:rPr>
          <w:sz w:val="22"/>
          <w:szCs w:val="22"/>
        </w:rPr>
        <w:t xml:space="preserve">the purinergic receptor expression of </w:t>
      </w:r>
      <w:r w:rsidRPr="00951338">
        <w:rPr>
          <w:sz w:val="22"/>
          <w:szCs w:val="22"/>
        </w:rPr>
        <w:t xml:space="preserve">healthy </w:t>
      </w:r>
      <w:r>
        <w:rPr>
          <w:sz w:val="22"/>
          <w:szCs w:val="22"/>
        </w:rPr>
        <w:t>subjects</w:t>
      </w:r>
      <w:r w:rsidRPr="00951338">
        <w:rPr>
          <w:sz w:val="22"/>
          <w:szCs w:val="22"/>
        </w:rPr>
        <w:t xml:space="preserve"> as 1. </w:t>
      </w:r>
      <w:bookmarkStart w:id="1" w:name="OLE_LINK1"/>
      <w:r w:rsidRPr="0036279A">
        <w:rPr>
          <w:sz w:val="22"/>
          <w:szCs w:val="22"/>
          <w:vertAlign w:val="superscript"/>
        </w:rPr>
        <w:t xml:space="preserve">* </w:t>
      </w:r>
      <w:r>
        <w:rPr>
          <w:sz w:val="22"/>
          <w:szCs w:val="22"/>
        </w:rPr>
        <w:t xml:space="preserve">and </w:t>
      </w:r>
      <w:r w:rsidRPr="0036279A">
        <w:rPr>
          <w:sz w:val="22"/>
          <w:szCs w:val="22"/>
          <w:vertAlign w:val="superscript"/>
        </w:rPr>
        <w:t>#</w:t>
      </w:r>
      <w:r>
        <w:rPr>
          <w:sz w:val="22"/>
          <w:szCs w:val="22"/>
        </w:rPr>
        <w:t>Significantly different from Control 1 and Control 2, respectively.</w:t>
      </w:r>
      <w:bookmarkEnd w:id="1"/>
      <w:r>
        <w:rPr>
          <w:sz w:val="22"/>
          <w:szCs w:val="22"/>
        </w:rPr>
        <w:t xml:space="preserve"> </w:t>
      </w:r>
      <w:r w:rsidRPr="00951338">
        <w:rPr>
          <w:sz w:val="22"/>
          <w:szCs w:val="22"/>
        </w:rPr>
        <w:t>IQR = interquartile range</w:t>
      </w:r>
    </w:p>
    <w:p w:rsidR="00033E91" w:rsidRDefault="00033E91"/>
    <w:sectPr w:rsidR="00033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E91"/>
    <w:rsid w:val="00033E91"/>
    <w:rsid w:val="0038214B"/>
    <w:rsid w:val="0078617E"/>
    <w:rsid w:val="00D917B0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6A20"/>
  <w15:chartTrackingRefBased/>
  <w15:docId w15:val="{EC5D0348-C584-4CBB-ADC4-CEC2A5BD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3E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UFCSPA Univ. Federal Ciências Saúde P. Alegre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Elizandra Braganhol</dc:creator>
  <cp:keywords/>
  <dc:description/>
  <cp:lastModifiedBy>Elizandra Braganhol</cp:lastModifiedBy>
  <cp:revision>2</cp:revision>
  <dcterms:created xsi:type="dcterms:W3CDTF">2022-06-15T02:01:00Z</dcterms:created>
  <dcterms:modified xsi:type="dcterms:W3CDTF">2022-06-18T03:09:00Z</dcterms:modified>
</cp:coreProperties>
</file>