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95CD" w14:textId="77777777" w:rsidR="004A4334" w:rsidRDefault="004A4334" w:rsidP="004A4334">
      <w:pPr>
        <w:spacing w:line="480" w:lineRule="auto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69205A63" wp14:editId="193882A0">
            <wp:extent cx="5791835" cy="4170045"/>
            <wp:effectExtent l="0" t="0" r="0" b="1905"/>
            <wp:docPr id="2" name="Picture 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417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CB09E" w14:textId="77777777" w:rsidR="004A4334" w:rsidRDefault="004A4334" w:rsidP="004A4334">
      <w:pPr>
        <w:spacing w:line="480" w:lineRule="auto"/>
        <w:jc w:val="center"/>
        <w:rPr>
          <w:rFonts w:cs="Times New Roman"/>
          <w:szCs w:val="24"/>
        </w:rPr>
      </w:pPr>
      <w:r w:rsidRPr="00250272">
        <w:rPr>
          <w:rFonts w:cs="Times New Roman"/>
          <w:b/>
          <w:szCs w:val="24"/>
        </w:rPr>
        <w:t>Scheme 1</w:t>
      </w:r>
      <w:r>
        <w:rPr>
          <w:rFonts w:cs="Times New Roman"/>
          <w:szCs w:val="24"/>
        </w:rPr>
        <w:t>. Binary and bifunctional catalysts synthesized and screened in this study.</w:t>
      </w:r>
    </w:p>
    <w:p w14:paraId="1A22E3C2" w14:textId="77777777" w:rsidR="00D14EA3" w:rsidRDefault="00D14EA3"/>
    <w:sectPr w:rsidR="00D14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34"/>
    <w:rsid w:val="004A4334"/>
    <w:rsid w:val="00D1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1CD43"/>
  <w15:chartTrackingRefBased/>
  <w15:docId w15:val="{93F63E4C-8365-4111-ACF1-3DEA7826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334"/>
    <w:rPr>
      <w:rFonts w:ascii="Times New Roman" w:eastAsiaTheme="minorEastAsia" w:hAnsi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2022-07-19T15:52:00Z</dcterms:created>
  <dcterms:modified xsi:type="dcterms:W3CDTF">2022-07-19T15:52:00Z</dcterms:modified>
</cp:coreProperties>
</file>