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B9AEF" w14:textId="08049F85" w:rsidR="00F33DAE" w:rsidRDefault="00846D16" w:rsidP="00F33DAE">
      <w:pPr>
        <w:rPr>
          <w:rFonts w:cstheme="minorHAnsi"/>
          <w:b/>
          <w:sz w:val="28"/>
          <w:szCs w:val="28"/>
        </w:rPr>
      </w:pPr>
      <w:r w:rsidRPr="00156ED1">
        <w:rPr>
          <w:rFonts w:cstheme="minorHAnsi"/>
          <w:b/>
          <w:sz w:val="28"/>
          <w:szCs w:val="28"/>
        </w:rPr>
        <w:t>Supplementary</w:t>
      </w:r>
      <w:r w:rsidR="006D30D5" w:rsidRPr="00156ED1">
        <w:rPr>
          <w:rFonts w:cstheme="minorHAnsi"/>
          <w:b/>
          <w:sz w:val="28"/>
          <w:szCs w:val="28"/>
        </w:rPr>
        <w:t xml:space="preserve"> Material: </w:t>
      </w:r>
      <w:r w:rsidR="003A3F57" w:rsidRPr="00EF6BDA">
        <w:rPr>
          <w:rFonts w:asciiTheme="majorHAnsi" w:hAnsiTheme="majorHAnsi" w:cstheme="majorHAnsi"/>
          <w:b/>
          <w:sz w:val="28"/>
          <w:szCs w:val="28"/>
        </w:rPr>
        <w:t>Biochar as a carbon dioxide removal strategy in integrated long-run climate scenarios</w:t>
      </w:r>
    </w:p>
    <w:p w14:paraId="4D866C8A" w14:textId="77777777" w:rsidR="003A3F57" w:rsidRPr="00EF6BDA" w:rsidRDefault="003A3F57" w:rsidP="003A3F57">
      <w:pPr>
        <w:rPr>
          <w:rFonts w:asciiTheme="majorHAnsi" w:hAnsiTheme="majorHAnsi" w:cstheme="majorHAnsi"/>
          <w:b/>
          <w:bCs/>
          <w:vertAlign w:val="superscript"/>
        </w:rPr>
      </w:pPr>
      <w:r w:rsidRPr="00EF6BDA">
        <w:rPr>
          <w:rFonts w:asciiTheme="majorHAnsi" w:hAnsiTheme="majorHAnsi" w:cstheme="majorHAnsi"/>
          <w:b/>
          <w:bCs/>
        </w:rPr>
        <w:t>Candelaria Bergero</w:t>
      </w:r>
      <w:r w:rsidRPr="00EF6BDA">
        <w:rPr>
          <w:rFonts w:asciiTheme="majorHAnsi" w:hAnsiTheme="majorHAnsi" w:cstheme="majorHAnsi"/>
          <w:b/>
          <w:bCs/>
          <w:vertAlign w:val="superscript"/>
        </w:rPr>
        <w:t>1</w:t>
      </w:r>
      <w:r>
        <w:rPr>
          <w:rFonts w:asciiTheme="majorHAnsi" w:hAnsiTheme="majorHAnsi" w:cstheme="majorHAnsi"/>
          <w:b/>
          <w:bCs/>
          <w:vertAlign w:val="superscript"/>
        </w:rPr>
        <w:t>,2</w:t>
      </w:r>
      <w:r w:rsidRPr="00EF6BDA">
        <w:rPr>
          <w:rFonts w:asciiTheme="majorHAnsi" w:hAnsiTheme="majorHAnsi" w:cstheme="majorHAnsi"/>
          <w:b/>
          <w:bCs/>
        </w:rPr>
        <w:t>, Marshall Wise</w:t>
      </w:r>
      <w:r w:rsidRPr="00EF6BDA">
        <w:rPr>
          <w:rFonts w:asciiTheme="majorHAnsi" w:hAnsiTheme="majorHAnsi" w:cstheme="majorHAnsi"/>
          <w:b/>
          <w:bCs/>
          <w:vertAlign w:val="superscript"/>
        </w:rPr>
        <w:t>1</w:t>
      </w:r>
      <w:r w:rsidRPr="00EF6BDA">
        <w:rPr>
          <w:rFonts w:asciiTheme="majorHAnsi" w:hAnsiTheme="majorHAnsi" w:cstheme="majorHAnsi"/>
          <w:b/>
          <w:bCs/>
        </w:rPr>
        <w:t>*, Patrick Lamers</w:t>
      </w:r>
      <w:r>
        <w:rPr>
          <w:rFonts w:asciiTheme="majorHAnsi" w:hAnsiTheme="majorHAnsi" w:cstheme="majorHAnsi"/>
          <w:b/>
          <w:bCs/>
          <w:vertAlign w:val="superscript"/>
        </w:rPr>
        <w:t>3</w:t>
      </w:r>
      <w:r w:rsidRPr="00EF6BDA">
        <w:rPr>
          <w:rFonts w:asciiTheme="majorHAnsi" w:hAnsiTheme="majorHAnsi" w:cstheme="majorHAnsi"/>
          <w:b/>
          <w:bCs/>
        </w:rPr>
        <w:t>, Yong Wang</w:t>
      </w:r>
      <w:r>
        <w:rPr>
          <w:rFonts w:asciiTheme="majorHAnsi" w:hAnsiTheme="majorHAnsi" w:cstheme="majorHAnsi"/>
          <w:b/>
          <w:bCs/>
          <w:vertAlign w:val="superscript"/>
        </w:rPr>
        <w:t>3</w:t>
      </w:r>
      <w:r w:rsidRPr="00EF6BDA">
        <w:rPr>
          <w:rFonts w:asciiTheme="majorHAnsi" w:hAnsiTheme="majorHAnsi" w:cstheme="majorHAnsi"/>
          <w:b/>
          <w:bCs/>
        </w:rPr>
        <w:t>, Maridee Weber</w:t>
      </w:r>
      <w:r w:rsidRPr="00EF6BDA">
        <w:rPr>
          <w:rFonts w:asciiTheme="majorHAnsi" w:hAnsiTheme="majorHAnsi" w:cstheme="majorHAnsi"/>
          <w:b/>
          <w:bCs/>
          <w:vertAlign w:val="superscript"/>
        </w:rPr>
        <w:t>1</w:t>
      </w:r>
    </w:p>
    <w:p w14:paraId="6BA14A66" w14:textId="77777777" w:rsidR="0084616B" w:rsidRDefault="0084616B" w:rsidP="0084616B">
      <w:pPr>
        <w:rPr>
          <w:rFonts w:asciiTheme="majorHAnsi" w:hAnsiTheme="majorHAnsi" w:cstheme="majorHAnsi"/>
          <w:i/>
          <w:sz w:val="20"/>
          <w:szCs w:val="20"/>
        </w:rPr>
      </w:pPr>
      <w:r w:rsidRPr="00EF6BDA">
        <w:rPr>
          <w:rFonts w:asciiTheme="majorHAnsi" w:hAnsiTheme="majorHAnsi" w:cstheme="majorHAnsi"/>
          <w:vertAlign w:val="superscript"/>
        </w:rPr>
        <w:t>1</w:t>
      </w:r>
      <w:r w:rsidRPr="00EF6BDA">
        <w:rPr>
          <w:rFonts w:asciiTheme="majorHAnsi" w:hAnsiTheme="majorHAnsi" w:cstheme="majorHAnsi"/>
        </w:rPr>
        <w:t xml:space="preserve"> </w:t>
      </w:r>
      <w:r w:rsidRPr="00EF6BDA">
        <w:rPr>
          <w:rFonts w:asciiTheme="majorHAnsi" w:hAnsiTheme="majorHAnsi" w:cstheme="majorHAnsi"/>
          <w:i/>
          <w:sz w:val="20"/>
          <w:szCs w:val="20"/>
        </w:rPr>
        <w:t>Joint Global Change Research Institute (Pacific Northwest National Laboratory and University of Maryland), 5825 University Research Court, College Park, MD, USA</w:t>
      </w:r>
    </w:p>
    <w:p w14:paraId="25B0171A" w14:textId="77777777" w:rsidR="0084616B" w:rsidRPr="00EF6BDA" w:rsidRDefault="0084616B" w:rsidP="0084616B">
      <w:pPr>
        <w:rPr>
          <w:rFonts w:asciiTheme="majorHAnsi" w:hAnsiTheme="majorHAnsi" w:cstheme="majorHAnsi"/>
          <w:i/>
          <w:sz w:val="20"/>
          <w:szCs w:val="20"/>
        </w:rPr>
      </w:pPr>
      <w:r w:rsidRPr="00270BD9">
        <w:rPr>
          <w:rFonts w:asciiTheme="majorHAnsi" w:hAnsiTheme="majorHAnsi" w:cstheme="majorHAnsi"/>
          <w:i/>
          <w:sz w:val="20"/>
          <w:szCs w:val="20"/>
          <w:vertAlign w:val="superscript"/>
        </w:rPr>
        <w:t>2</w:t>
      </w:r>
      <w:r>
        <w:rPr>
          <w:rFonts w:asciiTheme="majorHAnsi" w:hAnsiTheme="majorHAnsi" w:cstheme="majorHAnsi"/>
          <w:i/>
          <w:sz w:val="20"/>
          <w:szCs w:val="20"/>
        </w:rPr>
        <w:t xml:space="preserve"> </w:t>
      </w:r>
      <w:r w:rsidRPr="00270BD9">
        <w:rPr>
          <w:rFonts w:asciiTheme="majorHAnsi" w:hAnsiTheme="majorHAnsi" w:cstheme="majorHAnsi"/>
          <w:i/>
          <w:sz w:val="20"/>
          <w:szCs w:val="20"/>
        </w:rPr>
        <w:t>Department of Earth System Science, University of California, Irvine, CA, USA</w:t>
      </w:r>
    </w:p>
    <w:p w14:paraId="6F731796" w14:textId="77777777" w:rsidR="0084616B" w:rsidRPr="00EF6BDA" w:rsidRDefault="0084616B" w:rsidP="0084616B">
      <w:pPr>
        <w:rPr>
          <w:rFonts w:asciiTheme="majorHAnsi" w:hAnsiTheme="majorHAnsi" w:cstheme="majorHAnsi"/>
          <w:i/>
          <w:sz w:val="20"/>
          <w:szCs w:val="20"/>
        </w:rPr>
      </w:pPr>
      <w:r>
        <w:rPr>
          <w:rFonts w:asciiTheme="majorHAnsi" w:hAnsiTheme="majorHAnsi" w:cstheme="majorHAnsi"/>
          <w:i/>
          <w:sz w:val="20"/>
          <w:szCs w:val="20"/>
          <w:vertAlign w:val="superscript"/>
        </w:rPr>
        <w:t>3</w:t>
      </w:r>
      <w:r w:rsidRPr="00EF6BDA">
        <w:rPr>
          <w:rFonts w:asciiTheme="majorHAnsi" w:hAnsiTheme="majorHAnsi" w:cstheme="majorHAnsi"/>
          <w:i/>
          <w:sz w:val="20"/>
          <w:szCs w:val="20"/>
          <w:vertAlign w:val="superscript"/>
        </w:rPr>
        <w:t xml:space="preserve"> </w:t>
      </w:r>
      <w:r w:rsidRPr="00EF6BDA">
        <w:rPr>
          <w:rFonts w:asciiTheme="majorHAnsi" w:hAnsiTheme="majorHAnsi" w:cstheme="majorHAnsi"/>
          <w:i/>
          <w:sz w:val="20"/>
          <w:szCs w:val="20"/>
        </w:rPr>
        <w:t xml:space="preserve">National Renewable Energy Laboratory, 15013 Denver W Pkwy, Golden, CO, USA </w:t>
      </w:r>
    </w:p>
    <w:p w14:paraId="05D67626" w14:textId="10F8DFFC" w:rsidR="00840EA1" w:rsidRPr="0084616B" w:rsidRDefault="0084616B" w:rsidP="00F33DAE">
      <w:pPr>
        <w:rPr>
          <w:rFonts w:asciiTheme="majorHAnsi" w:hAnsiTheme="majorHAnsi" w:cstheme="majorHAnsi"/>
          <w:i/>
          <w:sz w:val="20"/>
          <w:szCs w:val="20"/>
        </w:rPr>
      </w:pPr>
      <w:r w:rsidRPr="00EF6BDA">
        <w:rPr>
          <w:rFonts w:asciiTheme="majorHAnsi" w:hAnsiTheme="majorHAnsi" w:cstheme="majorHAnsi"/>
          <w:i/>
          <w:sz w:val="20"/>
          <w:szCs w:val="20"/>
        </w:rPr>
        <w:t xml:space="preserve">*Corresponding author: </w:t>
      </w:r>
      <w:hyperlink r:id="rId8" w:history="1">
        <w:r w:rsidRPr="00EF6BDA">
          <w:rPr>
            <w:rStyle w:val="Hyperlink"/>
            <w:rFonts w:asciiTheme="majorHAnsi" w:hAnsiTheme="majorHAnsi" w:cstheme="majorHAnsi"/>
            <w:i/>
            <w:sz w:val="20"/>
            <w:szCs w:val="20"/>
          </w:rPr>
          <w:t>marshall.wise@pnnl.gov</w:t>
        </w:r>
      </w:hyperlink>
      <w:r w:rsidRPr="00EF6BDA">
        <w:rPr>
          <w:rFonts w:asciiTheme="majorHAnsi" w:hAnsiTheme="majorHAnsi" w:cstheme="majorHAnsi"/>
          <w:i/>
          <w:sz w:val="20"/>
          <w:szCs w:val="20"/>
        </w:rPr>
        <w:t xml:space="preserve"> </w:t>
      </w:r>
    </w:p>
    <w:p w14:paraId="2078B081" w14:textId="77777777" w:rsidR="00840EA1" w:rsidRPr="00156ED1" w:rsidRDefault="00840EA1" w:rsidP="00F33DAE">
      <w:pPr>
        <w:rPr>
          <w:rFonts w:cstheme="minorHAnsi"/>
          <w:sz w:val="28"/>
          <w:szCs w:val="28"/>
        </w:rPr>
      </w:pPr>
    </w:p>
    <w:p w14:paraId="4B11D9B9" w14:textId="53F7635C" w:rsidR="000A62E3" w:rsidRPr="00156ED1" w:rsidRDefault="000A62E3" w:rsidP="00F33DAE">
      <w:pPr>
        <w:rPr>
          <w:rFonts w:cstheme="minorHAnsi"/>
          <w:b/>
          <w:sz w:val="32"/>
          <w:szCs w:val="32"/>
        </w:rPr>
      </w:pPr>
      <w:r w:rsidRPr="00156ED1">
        <w:rPr>
          <w:rFonts w:eastAsia="Arial" w:cstheme="minorHAnsi"/>
          <w:b/>
          <w:bCs/>
          <w:color w:val="666666"/>
          <w:sz w:val="28"/>
          <w:szCs w:val="28"/>
          <w:lang w:val="en"/>
        </w:rPr>
        <w:t xml:space="preserve">Supplementary Material </w:t>
      </w:r>
      <w:r w:rsidR="00F33DAE" w:rsidRPr="00156ED1">
        <w:rPr>
          <w:rFonts w:eastAsia="Arial" w:cstheme="minorHAnsi"/>
          <w:b/>
          <w:bCs/>
          <w:color w:val="666666"/>
          <w:sz w:val="28"/>
          <w:szCs w:val="28"/>
          <w:lang w:val="en"/>
        </w:rPr>
        <w:t>1</w:t>
      </w:r>
      <w:r w:rsidRPr="00156ED1">
        <w:rPr>
          <w:rFonts w:eastAsia="Arial" w:cstheme="minorHAnsi"/>
          <w:b/>
          <w:bCs/>
          <w:color w:val="666666"/>
          <w:sz w:val="28"/>
          <w:szCs w:val="28"/>
          <w:lang w:val="en"/>
        </w:rPr>
        <w:t xml:space="preserve"> (SM</w:t>
      </w:r>
      <w:r w:rsidR="00F33DAE" w:rsidRPr="00156ED1">
        <w:rPr>
          <w:rFonts w:eastAsia="Arial" w:cstheme="minorHAnsi"/>
          <w:b/>
          <w:bCs/>
          <w:color w:val="666666"/>
          <w:sz w:val="28"/>
          <w:szCs w:val="28"/>
          <w:lang w:val="en"/>
        </w:rPr>
        <w:t>1</w:t>
      </w:r>
      <w:r w:rsidRPr="00156ED1">
        <w:rPr>
          <w:rFonts w:eastAsia="Arial" w:cstheme="minorHAnsi"/>
          <w:b/>
          <w:bCs/>
          <w:color w:val="666666"/>
          <w:sz w:val="28"/>
          <w:szCs w:val="28"/>
          <w:lang w:val="en"/>
        </w:rPr>
        <w:t>) – Carbon Prices</w:t>
      </w:r>
    </w:p>
    <w:p w14:paraId="06DA7CA8" w14:textId="77777777" w:rsidR="000A62E3" w:rsidRPr="00156ED1" w:rsidRDefault="000A62E3" w:rsidP="00966064">
      <w:pPr>
        <w:jc w:val="center"/>
        <w:rPr>
          <w:rFonts w:cstheme="minorHAnsi"/>
        </w:rPr>
      </w:pPr>
      <w:r w:rsidRPr="00156ED1">
        <w:rPr>
          <w:rFonts w:cstheme="minorHAnsi"/>
          <w:noProof/>
        </w:rPr>
        <w:drawing>
          <wp:inline distT="0" distB="0" distL="0" distR="0" wp14:anchorId="48B8DA3A" wp14:editId="18CA6010">
            <wp:extent cx="3905250" cy="3990768"/>
            <wp:effectExtent l="0" t="0" r="0" b="0"/>
            <wp:docPr id="8" name="Picture 8" descr="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Histo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3932529" cy="4018644"/>
                    </a:xfrm>
                    <a:prstGeom prst="rect">
                      <a:avLst/>
                    </a:prstGeom>
                  </pic:spPr>
                </pic:pic>
              </a:graphicData>
            </a:graphic>
          </wp:inline>
        </w:drawing>
      </w:r>
    </w:p>
    <w:p w14:paraId="671E7656" w14:textId="43AA0841" w:rsidR="0095232F" w:rsidRPr="001E1F01" w:rsidRDefault="000A62E3" w:rsidP="001E1F01">
      <w:pPr>
        <w:jc w:val="both"/>
        <w:rPr>
          <w:rFonts w:cstheme="minorHAnsi"/>
          <w:sz w:val="20"/>
          <w:szCs w:val="20"/>
        </w:rPr>
      </w:pPr>
      <w:r w:rsidRPr="00156ED1">
        <w:rPr>
          <w:rFonts w:cstheme="minorHAnsi"/>
          <w:b/>
          <w:bCs/>
          <w:sz w:val="20"/>
          <w:szCs w:val="20"/>
        </w:rPr>
        <w:t xml:space="preserve">Figure </w:t>
      </w:r>
      <w:r w:rsidR="00BB4BE5" w:rsidRPr="00156ED1">
        <w:rPr>
          <w:rFonts w:cstheme="minorHAnsi"/>
          <w:b/>
          <w:bCs/>
          <w:sz w:val="20"/>
          <w:szCs w:val="20"/>
        </w:rPr>
        <w:t>SM1</w:t>
      </w:r>
      <w:r w:rsidRPr="00156ED1">
        <w:rPr>
          <w:rFonts w:cstheme="minorHAnsi"/>
          <w:b/>
          <w:bCs/>
          <w:sz w:val="20"/>
          <w:szCs w:val="20"/>
        </w:rPr>
        <w:t xml:space="preserve"> |</w:t>
      </w:r>
      <w:r w:rsidRPr="00156ED1">
        <w:rPr>
          <w:rFonts w:cstheme="minorHAnsi"/>
          <w:sz w:val="20"/>
          <w:szCs w:val="20"/>
        </w:rPr>
        <w:t xml:space="preserve"> </w:t>
      </w:r>
      <w:r w:rsidR="00EE05D6" w:rsidRPr="00156ED1">
        <w:rPr>
          <w:rFonts w:cstheme="minorHAnsi"/>
          <w:sz w:val="20"/>
          <w:szCs w:val="20"/>
        </w:rPr>
        <w:t>The f</w:t>
      </w:r>
      <w:r w:rsidRPr="00156ED1">
        <w:rPr>
          <w:rFonts w:cstheme="minorHAnsi"/>
          <w:sz w:val="20"/>
          <w:szCs w:val="20"/>
        </w:rPr>
        <w:t>our carbon price trajectories in this study: High, Medium, Low and Reference.</w:t>
      </w:r>
      <w:r w:rsidR="00EE05D6" w:rsidRPr="00156ED1">
        <w:rPr>
          <w:rFonts w:cstheme="minorHAnsi"/>
          <w:sz w:val="20"/>
          <w:szCs w:val="20"/>
        </w:rPr>
        <w:t xml:space="preserve"> High carbon price trajectories are those required to meet a radiative forcing of 2.6 W/m</w:t>
      </w:r>
      <w:r w:rsidR="00EE05D6" w:rsidRPr="00156ED1">
        <w:rPr>
          <w:rFonts w:cstheme="minorHAnsi"/>
          <w:sz w:val="20"/>
          <w:szCs w:val="20"/>
          <w:vertAlign w:val="superscript"/>
        </w:rPr>
        <w:t>2</w:t>
      </w:r>
      <w:r w:rsidR="00EE05D6" w:rsidRPr="00156ED1">
        <w:rPr>
          <w:rFonts w:cstheme="minorHAnsi"/>
          <w:sz w:val="20"/>
          <w:szCs w:val="20"/>
        </w:rPr>
        <w:t xml:space="preserve"> by 2100 in default GCAM v5.3</w:t>
      </w:r>
      <w:r w:rsidR="00065422" w:rsidRPr="00156ED1">
        <w:rPr>
          <w:rFonts w:cstheme="minorHAnsi"/>
          <w:sz w:val="20"/>
          <w:szCs w:val="20"/>
        </w:rPr>
        <w:t xml:space="preserve"> (without biochar or any further changes from this study)</w:t>
      </w:r>
      <w:r w:rsidR="00EE05D6" w:rsidRPr="00156ED1">
        <w:rPr>
          <w:rFonts w:cstheme="minorHAnsi"/>
          <w:sz w:val="20"/>
          <w:szCs w:val="20"/>
        </w:rPr>
        <w:t xml:space="preserve">. The Medium carbon price trajectory is half of </w:t>
      </w:r>
      <w:r w:rsidR="006E04A3" w:rsidRPr="00156ED1">
        <w:rPr>
          <w:rFonts w:cstheme="minorHAnsi"/>
          <w:sz w:val="20"/>
          <w:szCs w:val="20"/>
        </w:rPr>
        <w:t xml:space="preserve">the </w:t>
      </w:r>
      <w:r w:rsidR="00EE05D6" w:rsidRPr="00156ED1">
        <w:rPr>
          <w:rFonts w:cstheme="minorHAnsi"/>
          <w:sz w:val="20"/>
          <w:szCs w:val="20"/>
        </w:rPr>
        <w:t>High</w:t>
      </w:r>
      <w:r w:rsidR="006E04A3" w:rsidRPr="00156ED1">
        <w:rPr>
          <w:rFonts w:cstheme="minorHAnsi"/>
          <w:sz w:val="20"/>
          <w:szCs w:val="20"/>
        </w:rPr>
        <w:t xml:space="preserve"> price</w:t>
      </w:r>
      <w:r w:rsidR="00EE05D6" w:rsidRPr="00156ED1">
        <w:rPr>
          <w:rFonts w:cstheme="minorHAnsi"/>
          <w:sz w:val="20"/>
          <w:szCs w:val="20"/>
        </w:rPr>
        <w:t xml:space="preserve">, and the Low carbon price trajectory is half of </w:t>
      </w:r>
      <w:r w:rsidR="006E04A3" w:rsidRPr="00156ED1">
        <w:rPr>
          <w:rFonts w:cstheme="minorHAnsi"/>
          <w:sz w:val="20"/>
          <w:szCs w:val="20"/>
        </w:rPr>
        <w:t xml:space="preserve">the </w:t>
      </w:r>
      <w:r w:rsidR="00EE05D6" w:rsidRPr="00156ED1">
        <w:rPr>
          <w:rFonts w:cstheme="minorHAnsi"/>
          <w:sz w:val="20"/>
          <w:szCs w:val="20"/>
        </w:rPr>
        <w:t>Low</w:t>
      </w:r>
      <w:r w:rsidR="006E04A3" w:rsidRPr="00156ED1">
        <w:rPr>
          <w:rFonts w:cstheme="minorHAnsi"/>
          <w:sz w:val="20"/>
          <w:szCs w:val="20"/>
        </w:rPr>
        <w:t xml:space="preserve"> price</w:t>
      </w:r>
      <w:r w:rsidR="00EE05D6" w:rsidRPr="00156ED1">
        <w:rPr>
          <w:rFonts w:cstheme="minorHAnsi"/>
          <w:sz w:val="20"/>
          <w:szCs w:val="20"/>
        </w:rPr>
        <w:t xml:space="preserve">. The Reference carbon price trajectory </w:t>
      </w:r>
      <w:r w:rsidR="006E04A3" w:rsidRPr="00156ED1">
        <w:rPr>
          <w:rFonts w:cstheme="minorHAnsi"/>
          <w:sz w:val="20"/>
          <w:szCs w:val="20"/>
        </w:rPr>
        <w:t>equals</w:t>
      </w:r>
      <w:r w:rsidR="00EE05D6" w:rsidRPr="00156ED1">
        <w:rPr>
          <w:rFonts w:cstheme="minorHAnsi"/>
          <w:sz w:val="20"/>
          <w:szCs w:val="20"/>
        </w:rPr>
        <w:t xml:space="preserve"> one cent in each model period </w:t>
      </w:r>
      <w:r w:rsidR="006E04A3" w:rsidRPr="00156ED1">
        <w:rPr>
          <w:rFonts w:cstheme="minorHAnsi"/>
          <w:sz w:val="20"/>
          <w:szCs w:val="20"/>
        </w:rPr>
        <w:t>to</w:t>
      </w:r>
      <w:r w:rsidR="00EE05D6" w:rsidRPr="00156ED1">
        <w:rPr>
          <w:rFonts w:cstheme="minorHAnsi"/>
          <w:sz w:val="20"/>
          <w:szCs w:val="20"/>
        </w:rPr>
        <w:t xml:space="preserve"> allow carbon sequestration to operate in the mode</w:t>
      </w:r>
      <w:r w:rsidR="006E04A3" w:rsidRPr="00156ED1">
        <w:rPr>
          <w:rFonts w:cstheme="minorHAnsi"/>
          <w:sz w:val="20"/>
          <w:szCs w:val="20"/>
        </w:rPr>
        <w:t>l (which includes biochar)</w:t>
      </w:r>
      <w:r w:rsidR="00EE05D6" w:rsidRPr="00156ED1">
        <w:rPr>
          <w:rFonts w:cstheme="minorHAnsi"/>
          <w:sz w:val="20"/>
          <w:szCs w:val="20"/>
        </w:rPr>
        <w:t>. The one cent value is understood as zero.</w:t>
      </w:r>
    </w:p>
    <w:p w14:paraId="6D4A4570" w14:textId="65F3A16F" w:rsidR="00F33DAE" w:rsidRDefault="00B92BD7" w:rsidP="00F33DAE">
      <w:pPr>
        <w:pStyle w:val="Subtitle"/>
        <w:ind w:left="0" w:firstLine="0"/>
        <w:rPr>
          <w:rFonts w:asciiTheme="minorHAnsi" w:hAnsiTheme="minorHAnsi" w:cstheme="minorHAnsi"/>
          <w:sz w:val="32"/>
          <w:szCs w:val="32"/>
        </w:rPr>
      </w:pPr>
      <w:r w:rsidRPr="00156ED1">
        <w:rPr>
          <w:rFonts w:asciiTheme="minorHAnsi" w:hAnsiTheme="minorHAnsi" w:cstheme="minorHAnsi"/>
          <w:bCs/>
          <w:sz w:val="28"/>
          <w:szCs w:val="28"/>
          <w:u w:val="single"/>
        </w:rPr>
        <w:br w:type="page"/>
      </w:r>
      <w:r w:rsidR="00F33DAE" w:rsidRPr="00156ED1">
        <w:rPr>
          <w:rFonts w:asciiTheme="minorHAnsi" w:hAnsiTheme="minorHAnsi" w:cstheme="minorHAnsi"/>
          <w:sz w:val="32"/>
          <w:szCs w:val="32"/>
        </w:rPr>
        <w:lastRenderedPageBreak/>
        <w:t>Supplementary Material 2 (SM2) – Scenario Matrix</w:t>
      </w:r>
    </w:p>
    <w:p w14:paraId="4E8517BC" w14:textId="20BEF43E" w:rsidR="00D71E63" w:rsidRPr="00D71E63" w:rsidRDefault="00D71E63" w:rsidP="00D71E63">
      <w:pPr>
        <w:widowControl w:val="0"/>
        <w:spacing w:before="120" w:after="120"/>
        <w:jc w:val="both"/>
        <w:rPr>
          <w:rFonts w:cstheme="minorHAnsi"/>
          <w:sz w:val="20"/>
          <w:szCs w:val="20"/>
        </w:rPr>
      </w:pPr>
      <w:r w:rsidRPr="00156ED1">
        <w:rPr>
          <w:rFonts w:cstheme="minorHAnsi"/>
          <w:b/>
          <w:bCs/>
          <w:sz w:val="20"/>
          <w:szCs w:val="20"/>
        </w:rPr>
        <w:t>Table SM1 |</w:t>
      </w:r>
      <w:r w:rsidRPr="00156ED1">
        <w:rPr>
          <w:rFonts w:cstheme="minorHAnsi"/>
          <w:sz w:val="20"/>
          <w:szCs w:val="20"/>
        </w:rPr>
        <w:t xml:space="preserve"> Scenario Matrix. Each column represents a scenario component, and each row represents one of the 36 scenarios run. Colors show carbon price trajectories from Reference (no carbon price), to Low, Medium, and High. We run 4 scenarios without biochar, and 32 with biochar. Scenarios can have an application rate of 0 tons per hectare (t/ha, for those scenarios without biochar), 10 t/ha or 20 t/ha. We also modeled yield improvements based on biochar application to compare to default yields. Finally, we either allow BECCS or not. </w:t>
      </w:r>
    </w:p>
    <w:p w14:paraId="5556BFAA" w14:textId="77777777" w:rsidR="00F33DAE" w:rsidRPr="00156ED1" w:rsidRDefault="00F33DAE" w:rsidP="00F33DAE">
      <w:pPr>
        <w:widowControl w:val="0"/>
        <w:spacing w:before="120" w:after="120"/>
        <w:jc w:val="both"/>
        <w:rPr>
          <w:rFonts w:cstheme="minorHAnsi"/>
          <w:sz w:val="28"/>
          <w:szCs w:val="28"/>
        </w:rPr>
      </w:pPr>
      <w:r w:rsidRPr="00156ED1">
        <w:rPr>
          <w:rFonts w:cstheme="minorHAnsi"/>
          <w:noProof/>
          <w:sz w:val="28"/>
          <w:szCs w:val="28"/>
        </w:rPr>
        <w:drawing>
          <wp:inline distT="0" distB="0" distL="0" distR="0" wp14:anchorId="0DF65FFB" wp14:editId="3FCCCAE5">
            <wp:extent cx="5942810" cy="3859618"/>
            <wp:effectExtent l="0" t="0" r="1270" b="7620"/>
            <wp:docPr id="13" name="Picture 13"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5957925" cy="3869435"/>
                    </a:xfrm>
                    <a:prstGeom prst="rect">
                      <a:avLst/>
                    </a:prstGeom>
                  </pic:spPr>
                </pic:pic>
              </a:graphicData>
            </a:graphic>
          </wp:inline>
        </w:drawing>
      </w:r>
    </w:p>
    <w:p w14:paraId="5D313003" w14:textId="36BD0F07" w:rsidR="00B92BD7" w:rsidRPr="00156ED1" w:rsidRDefault="00B92BD7">
      <w:pPr>
        <w:rPr>
          <w:rFonts w:cstheme="minorHAnsi"/>
          <w:bCs/>
          <w:sz w:val="28"/>
          <w:szCs w:val="28"/>
          <w:u w:val="single"/>
        </w:rPr>
      </w:pPr>
    </w:p>
    <w:p w14:paraId="0906496C" w14:textId="77777777" w:rsidR="00F33DAE" w:rsidRPr="00156ED1" w:rsidRDefault="00F33DAE">
      <w:pPr>
        <w:rPr>
          <w:rFonts w:eastAsia="Arial" w:cstheme="minorHAnsi"/>
          <w:b/>
          <w:color w:val="666666"/>
          <w:sz w:val="28"/>
          <w:szCs w:val="28"/>
          <w:lang w:val="en"/>
        </w:rPr>
      </w:pPr>
      <w:r w:rsidRPr="00156ED1">
        <w:rPr>
          <w:rFonts w:cstheme="minorHAnsi"/>
          <w:sz w:val="28"/>
          <w:szCs w:val="28"/>
        </w:rPr>
        <w:br w:type="page"/>
      </w:r>
    </w:p>
    <w:p w14:paraId="272E4F23" w14:textId="1F39D753" w:rsidR="00362A09" w:rsidRPr="00156ED1" w:rsidRDefault="00362A09" w:rsidP="00B92BD7">
      <w:pPr>
        <w:pStyle w:val="Subtitle"/>
        <w:ind w:left="0" w:firstLine="0"/>
        <w:rPr>
          <w:rFonts w:asciiTheme="minorHAnsi" w:hAnsiTheme="minorHAnsi" w:cstheme="minorHAnsi"/>
        </w:rPr>
      </w:pPr>
      <w:r w:rsidRPr="00156ED1">
        <w:rPr>
          <w:rFonts w:asciiTheme="minorHAnsi" w:hAnsiTheme="minorHAnsi" w:cstheme="minorHAnsi"/>
          <w:sz w:val="28"/>
          <w:szCs w:val="28"/>
        </w:rPr>
        <w:lastRenderedPageBreak/>
        <w:t>Supplementary</w:t>
      </w:r>
      <w:r w:rsidR="00B6417C" w:rsidRPr="00156ED1">
        <w:rPr>
          <w:rFonts w:asciiTheme="minorHAnsi" w:hAnsiTheme="minorHAnsi" w:cstheme="minorHAnsi"/>
          <w:sz w:val="28"/>
          <w:szCs w:val="28"/>
        </w:rPr>
        <w:t xml:space="preserve"> Material</w:t>
      </w:r>
      <w:r w:rsidRPr="00156ED1">
        <w:rPr>
          <w:rFonts w:asciiTheme="minorHAnsi" w:hAnsiTheme="minorHAnsi" w:cstheme="minorHAnsi"/>
          <w:sz w:val="28"/>
          <w:szCs w:val="28"/>
        </w:rPr>
        <w:t xml:space="preserve"> </w:t>
      </w:r>
      <w:r w:rsidR="00207300" w:rsidRPr="00156ED1">
        <w:rPr>
          <w:rFonts w:asciiTheme="minorHAnsi" w:hAnsiTheme="minorHAnsi" w:cstheme="minorHAnsi"/>
          <w:sz w:val="28"/>
          <w:szCs w:val="28"/>
        </w:rPr>
        <w:t>3</w:t>
      </w:r>
      <w:r w:rsidRPr="00156ED1">
        <w:rPr>
          <w:rFonts w:asciiTheme="minorHAnsi" w:hAnsiTheme="minorHAnsi" w:cstheme="minorHAnsi"/>
          <w:sz w:val="28"/>
          <w:szCs w:val="28"/>
        </w:rPr>
        <w:t xml:space="preserve"> </w:t>
      </w:r>
      <w:r w:rsidR="00B6417C" w:rsidRPr="00156ED1">
        <w:rPr>
          <w:rFonts w:asciiTheme="minorHAnsi" w:hAnsiTheme="minorHAnsi" w:cstheme="minorHAnsi"/>
          <w:sz w:val="28"/>
          <w:szCs w:val="28"/>
        </w:rPr>
        <w:t>(SM</w:t>
      </w:r>
      <w:r w:rsidR="00207300" w:rsidRPr="00156ED1">
        <w:rPr>
          <w:rFonts w:asciiTheme="minorHAnsi" w:hAnsiTheme="minorHAnsi" w:cstheme="minorHAnsi"/>
          <w:sz w:val="28"/>
          <w:szCs w:val="28"/>
        </w:rPr>
        <w:t>3</w:t>
      </w:r>
      <w:r w:rsidR="00B6417C" w:rsidRPr="00156ED1">
        <w:rPr>
          <w:rFonts w:asciiTheme="minorHAnsi" w:hAnsiTheme="minorHAnsi" w:cstheme="minorHAnsi"/>
          <w:sz w:val="28"/>
          <w:szCs w:val="28"/>
        </w:rPr>
        <w:t>)</w:t>
      </w:r>
      <w:r w:rsidR="00C04A2E" w:rsidRPr="00156ED1">
        <w:rPr>
          <w:rFonts w:asciiTheme="minorHAnsi" w:hAnsiTheme="minorHAnsi" w:cstheme="minorHAnsi"/>
          <w:sz w:val="28"/>
          <w:szCs w:val="28"/>
        </w:rPr>
        <w:t xml:space="preserve"> </w:t>
      </w:r>
      <w:r w:rsidRPr="00156ED1">
        <w:rPr>
          <w:rFonts w:asciiTheme="minorHAnsi" w:hAnsiTheme="minorHAnsi" w:cstheme="minorHAnsi"/>
          <w:sz w:val="28"/>
          <w:szCs w:val="28"/>
        </w:rPr>
        <w:t xml:space="preserve">– </w:t>
      </w:r>
      <w:r w:rsidR="006E7373" w:rsidRPr="00156ED1">
        <w:rPr>
          <w:rFonts w:asciiTheme="minorHAnsi" w:hAnsiTheme="minorHAnsi" w:cstheme="minorHAnsi"/>
          <w:sz w:val="28"/>
          <w:szCs w:val="28"/>
        </w:rPr>
        <w:t>Negative Emissions Constraint</w:t>
      </w:r>
      <w:r w:rsidRPr="00156ED1">
        <w:rPr>
          <w:rFonts w:asciiTheme="minorHAnsi" w:hAnsiTheme="minorHAnsi" w:cstheme="minorHAnsi"/>
          <w:sz w:val="28"/>
          <w:szCs w:val="28"/>
        </w:rPr>
        <w:t xml:space="preserve"> in GCAM</w:t>
      </w:r>
    </w:p>
    <w:p w14:paraId="02F77D20" w14:textId="637AF532" w:rsidR="00362A09" w:rsidRPr="00156ED1" w:rsidRDefault="00362A09" w:rsidP="00C918DC">
      <w:pPr>
        <w:widowControl w:val="0"/>
        <w:spacing w:before="120" w:after="120"/>
        <w:ind w:firstLine="720"/>
        <w:jc w:val="both"/>
        <w:rPr>
          <w:rFonts w:cstheme="minorHAnsi"/>
          <w:sz w:val="28"/>
          <w:szCs w:val="28"/>
          <w:u w:val="single"/>
        </w:rPr>
      </w:pPr>
      <w:r w:rsidRPr="00156ED1">
        <w:rPr>
          <w:rFonts w:cstheme="minorHAnsi"/>
          <w:sz w:val="24"/>
          <w:szCs w:val="24"/>
        </w:rPr>
        <w:t xml:space="preserve">Note that GCAM has an embedded assumption related to how much money can be spent on negative emissions. This limit represents 1% of GDP and is meant to cap how much can a region spend relative to its GDP to subsidize negative emissions. Because of this assumption, carbon prices affect the slope of emissions reductions, but not necessarily the long-term reduction. </w:t>
      </w:r>
      <w:proofErr w:type="gramStart"/>
      <w:r w:rsidRPr="00156ED1">
        <w:rPr>
          <w:rFonts w:cstheme="minorHAnsi"/>
          <w:sz w:val="24"/>
          <w:szCs w:val="24"/>
        </w:rPr>
        <w:t>Similar to</w:t>
      </w:r>
      <w:proofErr w:type="gramEnd"/>
      <w:r w:rsidRPr="00156ED1">
        <w:rPr>
          <w:rFonts w:cstheme="minorHAnsi"/>
          <w:sz w:val="24"/>
          <w:szCs w:val="24"/>
        </w:rPr>
        <w:t xml:space="preserve"> this, carbon sequestration follows a bell curve with higher carbon prices deriving in more rapid and larger sequestration in the mid-term, with a decrease after the cap that derives in convergence between different carbon prices in the long-term.</w:t>
      </w:r>
    </w:p>
    <w:p w14:paraId="7A2D86D2" w14:textId="50B16025" w:rsidR="00952EB0" w:rsidRPr="00156ED1" w:rsidRDefault="00952EB0" w:rsidP="006D30D5">
      <w:pPr>
        <w:widowControl w:val="0"/>
        <w:spacing w:before="120" w:after="120"/>
        <w:jc w:val="both"/>
        <w:rPr>
          <w:rFonts w:cstheme="minorHAnsi"/>
          <w:sz w:val="24"/>
          <w:szCs w:val="24"/>
        </w:rPr>
      </w:pPr>
    </w:p>
    <w:p w14:paraId="3FC23A0B" w14:textId="77777777" w:rsidR="00750609" w:rsidRPr="00156ED1" w:rsidRDefault="00750609" w:rsidP="006D30D5">
      <w:pPr>
        <w:widowControl w:val="0"/>
        <w:spacing w:before="120" w:after="120"/>
        <w:jc w:val="both"/>
        <w:rPr>
          <w:rFonts w:cstheme="minorHAnsi"/>
          <w:sz w:val="24"/>
          <w:szCs w:val="24"/>
        </w:rPr>
      </w:pPr>
    </w:p>
    <w:p w14:paraId="15901ADF" w14:textId="62E5C596" w:rsidR="00952EB0" w:rsidRPr="00156ED1" w:rsidRDefault="00952EB0" w:rsidP="006D30D5">
      <w:pPr>
        <w:widowControl w:val="0"/>
        <w:spacing w:before="120" w:after="120"/>
        <w:jc w:val="both"/>
        <w:rPr>
          <w:rFonts w:cstheme="minorHAnsi"/>
          <w:sz w:val="24"/>
          <w:szCs w:val="24"/>
        </w:rPr>
      </w:pPr>
    </w:p>
    <w:p w14:paraId="23D9F7D7" w14:textId="77777777" w:rsidR="00750609" w:rsidRPr="00156ED1" w:rsidRDefault="00750609" w:rsidP="006D30D5">
      <w:pPr>
        <w:widowControl w:val="0"/>
        <w:spacing w:before="120" w:after="120"/>
        <w:jc w:val="both"/>
        <w:rPr>
          <w:rFonts w:cstheme="minorHAnsi"/>
          <w:sz w:val="24"/>
          <w:szCs w:val="24"/>
        </w:rPr>
      </w:pPr>
    </w:p>
    <w:p w14:paraId="3555DCE2" w14:textId="77777777" w:rsidR="00B92BD7" w:rsidRPr="00156ED1" w:rsidRDefault="00B92BD7">
      <w:pPr>
        <w:rPr>
          <w:rFonts w:cstheme="minorHAnsi"/>
          <w:bCs/>
          <w:sz w:val="24"/>
          <w:szCs w:val="24"/>
          <w:u w:val="single"/>
        </w:rPr>
      </w:pPr>
      <w:r w:rsidRPr="00156ED1">
        <w:rPr>
          <w:rFonts w:cstheme="minorHAnsi"/>
          <w:bCs/>
          <w:sz w:val="24"/>
          <w:szCs w:val="24"/>
          <w:u w:val="single"/>
        </w:rPr>
        <w:br w:type="page"/>
      </w:r>
    </w:p>
    <w:p w14:paraId="1733A3FA" w14:textId="5060A62C" w:rsidR="00631962" w:rsidRPr="00156ED1" w:rsidRDefault="00631962" w:rsidP="00631962">
      <w:pPr>
        <w:pStyle w:val="Subtitle"/>
        <w:ind w:left="0" w:firstLine="0"/>
        <w:rPr>
          <w:rFonts w:asciiTheme="minorHAnsi" w:hAnsiTheme="minorHAnsi" w:cstheme="minorHAnsi"/>
          <w:sz w:val="28"/>
          <w:szCs w:val="28"/>
        </w:rPr>
      </w:pPr>
      <w:r w:rsidRPr="00156ED1">
        <w:rPr>
          <w:rFonts w:asciiTheme="minorHAnsi" w:hAnsiTheme="minorHAnsi" w:cstheme="minorHAnsi"/>
          <w:sz w:val="28"/>
          <w:szCs w:val="28"/>
        </w:rPr>
        <w:lastRenderedPageBreak/>
        <w:t>Supplementary Material 4 (SM4) – Climate Results</w:t>
      </w:r>
    </w:p>
    <w:p w14:paraId="33265B61" w14:textId="77777777" w:rsidR="00631962" w:rsidRPr="00156ED1" w:rsidRDefault="00631962" w:rsidP="00631962">
      <w:pPr>
        <w:pStyle w:val="Subtitle"/>
        <w:ind w:left="0" w:firstLine="0"/>
        <w:rPr>
          <w:rFonts w:asciiTheme="minorHAnsi" w:hAnsiTheme="minorHAnsi" w:cstheme="minorHAnsi"/>
        </w:rPr>
      </w:pPr>
      <w:r w:rsidRPr="00156ED1">
        <w:rPr>
          <w:rFonts w:asciiTheme="minorHAnsi" w:hAnsiTheme="minorHAnsi" w:cstheme="minorHAnsi"/>
          <w:lang w:val="en-US"/>
        </w:rPr>
        <w:t xml:space="preserve">Biochar as a CDR option in global, long-term scenarios </w:t>
      </w:r>
    </w:p>
    <w:p w14:paraId="618C5C7F" w14:textId="2019BE7F" w:rsidR="00631962" w:rsidRPr="00156ED1" w:rsidRDefault="00631962" w:rsidP="00631962">
      <w:pPr>
        <w:spacing w:before="120" w:after="120"/>
        <w:ind w:firstLine="720"/>
        <w:jc w:val="both"/>
        <w:rPr>
          <w:rFonts w:cstheme="minorHAnsi"/>
          <w:sz w:val="24"/>
          <w:szCs w:val="24"/>
        </w:rPr>
      </w:pPr>
      <w:r w:rsidRPr="00156ED1">
        <w:rPr>
          <w:rFonts w:cstheme="minorHAnsi"/>
          <w:sz w:val="24"/>
          <w:szCs w:val="24"/>
        </w:rPr>
        <w:t>Biochar can lower climate forcing and temperature increases compared to pre-industrial levels, product of reduced global CO</w:t>
      </w:r>
      <w:r w:rsidRPr="00156ED1">
        <w:rPr>
          <w:rFonts w:cstheme="minorHAnsi"/>
          <w:sz w:val="24"/>
          <w:szCs w:val="24"/>
          <w:vertAlign w:val="subscript"/>
        </w:rPr>
        <w:t>2</w:t>
      </w:r>
      <w:r w:rsidRPr="00156ED1">
        <w:rPr>
          <w:rFonts w:cstheme="minorHAnsi"/>
          <w:sz w:val="24"/>
          <w:szCs w:val="24"/>
        </w:rPr>
        <w:t xml:space="preserve"> emissions and increased CO</w:t>
      </w:r>
      <w:r w:rsidRPr="00156ED1">
        <w:rPr>
          <w:rFonts w:cstheme="minorHAnsi"/>
          <w:sz w:val="24"/>
          <w:szCs w:val="24"/>
          <w:vertAlign w:val="subscript"/>
        </w:rPr>
        <w:t>2</w:t>
      </w:r>
      <w:r w:rsidRPr="00156ED1">
        <w:rPr>
          <w:rFonts w:cstheme="minorHAnsi"/>
          <w:sz w:val="24"/>
          <w:szCs w:val="24"/>
        </w:rPr>
        <w:t xml:space="preserve"> sequestration (Fig. </w:t>
      </w:r>
      <w:r w:rsidR="00A0270E">
        <w:rPr>
          <w:rFonts w:cstheme="minorHAnsi"/>
          <w:sz w:val="24"/>
          <w:szCs w:val="24"/>
        </w:rPr>
        <w:t>SM2</w:t>
      </w:r>
      <w:r w:rsidRPr="00156ED1">
        <w:rPr>
          <w:rFonts w:cstheme="minorHAnsi"/>
          <w:sz w:val="24"/>
          <w:szCs w:val="24"/>
        </w:rPr>
        <w:t>). The total climate forcing in a Reference case without biochar grows from 2.6 watts per meter squared (W/m</w:t>
      </w:r>
      <w:r w:rsidRPr="00156ED1">
        <w:rPr>
          <w:rFonts w:cstheme="minorHAnsi"/>
          <w:sz w:val="24"/>
          <w:szCs w:val="24"/>
          <w:vertAlign w:val="superscript"/>
        </w:rPr>
        <w:t>2</w:t>
      </w:r>
      <w:r w:rsidRPr="00156ED1">
        <w:rPr>
          <w:rFonts w:cstheme="minorHAnsi"/>
          <w:sz w:val="24"/>
          <w:szCs w:val="24"/>
        </w:rPr>
        <w:t>) in 2015 to about 6.6 W/m</w:t>
      </w:r>
      <w:r w:rsidRPr="00156ED1">
        <w:rPr>
          <w:rFonts w:cstheme="minorHAnsi"/>
          <w:sz w:val="24"/>
          <w:szCs w:val="24"/>
          <w:vertAlign w:val="superscript"/>
        </w:rPr>
        <w:t>2</w:t>
      </w:r>
      <w:r w:rsidRPr="00156ED1">
        <w:rPr>
          <w:rFonts w:cstheme="minorHAnsi"/>
          <w:sz w:val="24"/>
          <w:szCs w:val="24"/>
        </w:rPr>
        <w:t xml:space="preserve"> in 2100, which relates to a temperature increase from 1.19 to 3.71°C in the same period compared to pre-industrial times (Fig. </w:t>
      </w:r>
      <w:r w:rsidR="00A0270E">
        <w:rPr>
          <w:rFonts w:cstheme="minorHAnsi"/>
          <w:sz w:val="24"/>
          <w:szCs w:val="24"/>
        </w:rPr>
        <w:t>SM2</w:t>
      </w:r>
      <w:r w:rsidRPr="00156ED1">
        <w:rPr>
          <w:rFonts w:cstheme="minorHAnsi"/>
          <w:sz w:val="24"/>
          <w:szCs w:val="24"/>
        </w:rPr>
        <w:t xml:space="preserve"> a-b). Carbon prices reduce global climate forcing and projected temperature: the higher the carbon price, the lower the global radiative forcing and temperature compared to the Reference case. More importantly, biochar allows for a slightly lower forcing and temperature via increased yields, offering an additional reduction. By 2100, global radiative forcing is 0.7, 1.7, 1.9 and 2% lower in the Reference, Low, Medium, and High carbon price trajectories, respectively, in scenarios with biochar compared to the no biochar scenario. By the same year, biochar application allows for a decrease in temperature of 0.5, 1.1, 1.8 and 1.7% for the Reference, Low, Medium, and High carbon price trajectories, respectively. However, eliminating BECCS deployment in refining, electricity generation and hydrogen production increases both climate forcing and temperature, given that BECCS is a competitive CDR option, when carbon prices are present. By the end of the century, the lowest global warming potential and temperature increase compared to the Reference case is seen in the scenarios with the highest carbon price, where biochar and BECCS are available and where yield increases are incorporated. In these two scenarios, by 2100, the climate forcing reaches less than 2.46 W/m</w:t>
      </w:r>
      <w:r w:rsidRPr="00156ED1">
        <w:rPr>
          <w:rFonts w:cstheme="minorHAnsi"/>
          <w:sz w:val="24"/>
          <w:szCs w:val="24"/>
          <w:vertAlign w:val="superscript"/>
        </w:rPr>
        <w:t>2</w:t>
      </w:r>
      <w:r w:rsidRPr="00156ED1">
        <w:rPr>
          <w:rFonts w:cstheme="minorHAnsi"/>
          <w:sz w:val="24"/>
          <w:szCs w:val="24"/>
        </w:rPr>
        <w:t>, and the temperature increase is less than 1.70°C.</w:t>
      </w:r>
    </w:p>
    <w:p w14:paraId="60C5602E" w14:textId="77777777" w:rsidR="00631962" w:rsidRPr="00156ED1" w:rsidRDefault="00631962" w:rsidP="00631962">
      <w:pPr>
        <w:spacing w:before="120" w:after="120"/>
        <w:ind w:firstLine="720"/>
        <w:jc w:val="both"/>
        <w:rPr>
          <w:rFonts w:cstheme="minorHAnsi"/>
          <w:sz w:val="24"/>
          <w:szCs w:val="24"/>
        </w:rPr>
      </w:pPr>
      <w:r w:rsidRPr="00156ED1">
        <w:rPr>
          <w:rFonts w:cstheme="minorHAnsi"/>
          <w:sz w:val="24"/>
          <w:szCs w:val="24"/>
        </w:rPr>
        <w:t>Global CO</w:t>
      </w:r>
      <w:r w:rsidRPr="00156ED1">
        <w:rPr>
          <w:rFonts w:cstheme="minorHAnsi"/>
          <w:sz w:val="24"/>
          <w:szCs w:val="24"/>
          <w:vertAlign w:val="subscript"/>
        </w:rPr>
        <w:t>2</w:t>
      </w:r>
      <w:r w:rsidRPr="00156ED1">
        <w:rPr>
          <w:rFonts w:cstheme="minorHAnsi"/>
          <w:sz w:val="24"/>
          <w:szCs w:val="24"/>
        </w:rPr>
        <w:t xml:space="preserve"> emissions grow from about 35.4 gigatons of CO</w:t>
      </w:r>
      <w:r w:rsidRPr="00156ED1">
        <w:rPr>
          <w:rFonts w:cstheme="minorHAnsi"/>
          <w:sz w:val="24"/>
          <w:szCs w:val="24"/>
          <w:vertAlign w:val="subscript"/>
        </w:rPr>
        <w:t>2</w:t>
      </w:r>
      <w:r w:rsidRPr="00156ED1">
        <w:rPr>
          <w:rFonts w:cstheme="minorHAnsi"/>
          <w:sz w:val="24"/>
          <w:szCs w:val="24"/>
        </w:rPr>
        <w:t xml:space="preserve"> per year (GtCO</w:t>
      </w:r>
      <w:r w:rsidRPr="00156ED1">
        <w:rPr>
          <w:rFonts w:cstheme="minorHAnsi"/>
          <w:sz w:val="24"/>
          <w:szCs w:val="24"/>
          <w:vertAlign w:val="subscript"/>
        </w:rPr>
        <w:t>2</w:t>
      </w:r>
      <w:r w:rsidRPr="00156ED1">
        <w:rPr>
          <w:rFonts w:cstheme="minorHAnsi"/>
          <w:sz w:val="24"/>
          <w:szCs w:val="24"/>
        </w:rPr>
        <w:t>/</w:t>
      </w:r>
      <w:proofErr w:type="spellStart"/>
      <w:r w:rsidRPr="00156ED1">
        <w:rPr>
          <w:rFonts w:cstheme="minorHAnsi"/>
          <w:sz w:val="24"/>
          <w:szCs w:val="24"/>
        </w:rPr>
        <w:t>yr</w:t>
      </w:r>
      <w:proofErr w:type="spellEnd"/>
      <w:r w:rsidRPr="00156ED1">
        <w:rPr>
          <w:rFonts w:cstheme="minorHAnsi"/>
          <w:sz w:val="24"/>
          <w:szCs w:val="24"/>
        </w:rPr>
        <w:t>) in 2015 to about 66.4 GtCO</w:t>
      </w:r>
      <w:r w:rsidRPr="00156ED1">
        <w:rPr>
          <w:rFonts w:cstheme="minorHAnsi"/>
          <w:sz w:val="24"/>
          <w:szCs w:val="24"/>
          <w:vertAlign w:val="subscript"/>
        </w:rPr>
        <w:t>2</w:t>
      </w:r>
      <w:r w:rsidRPr="00156ED1">
        <w:rPr>
          <w:rFonts w:cstheme="minorHAnsi"/>
          <w:sz w:val="24"/>
          <w:szCs w:val="24"/>
        </w:rPr>
        <w:t>/</w:t>
      </w:r>
      <w:proofErr w:type="spellStart"/>
      <w:r w:rsidRPr="00156ED1">
        <w:rPr>
          <w:rFonts w:cstheme="minorHAnsi"/>
          <w:sz w:val="24"/>
          <w:szCs w:val="24"/>
        </w:rPr>
        <w:t>yr</w:t>
      </w:r>
      <w:proofErr w:type="spellEnd"/>
      <w:r w:rsidRPr="00156ED1">
        <w:rPr>
          <w:rFonts w:cstheme="minorHAnsi"/>
          <w:sz w:val="24"/>
          <w:szCs w:val="24"/>
        </w:rPr>
        <w:t xml:space="preserve"> by 2100 in a Reference case without biochar. Introducing carbon prices into the model penalizes carbon emissions and thus emissions decrease in all scenarios compared to a Reference case. In the short- and medium-term, the higher the carbon price the lower the carbon emissions, although in the long-term emissions seem to converge given model assumptions on negative emissions feasibility (see SM3). The higher the carbon price trajectory the sooner the emission reductions appear. Biochar deployment allows for a further reduction in CO</w:t>
      </w:r>
      <w:r w:rsidRPr="00156ED1">
        <w:rPr>
          <w:rFonts w:cstheme="minorHAnsi"/>
          <w:sz w:val="24"/>
          <w:szCs w:val="24"/>
          <w:vertAlign w:val="subscript"/>
        </w:rPr>
        <w:t>2</w:t>
      </w:r>
      <w:r w:rsidRPr="00156ED1">
        <w:rPr>
          <w:rFonts w:cstheme="minorHAnsi"/>
          <w:sz w:val="24"/>
          <w:szCs w:val="24"/>
        </w:rPr>
        <w:t xml:space="preserve"> emissions (between 0.11 and 0.3 GtCO</w:t>
      </w:r>
      <w:r w:rsidRPr="00156ED1">
        <w:rPr>
          <w:rFonts w:cstheme="minorHAnsi"/>
          <w:sz w:val="24"/>
          <w:szCs w:val="24"/>
          <w:vertAlign w:val="subscript"/>
        </w:rPr>
        <w:t>2</w:t>
      </w:r>
      <w:r w:rsidRPr="00156ED1">
        <w:rPr>
          <w:rFonts w:cstheme="minorHAnsi"/>
          <w:sz w:val="24"/>
          <w:szCs w:val="24"/>
        </w:rPr>
        <w:t xml:space="preserve"> by 2100), and modeling crop yield improvements and increasing application rates decreases emissions even further (between 0.5 to 2.6 GtCO</w:t>
      </w:r>
      <w:r w:rsidRPr="00156ED1">
        <w:rPr>
          <w:rFonts w:cstheme="minorHAnsi"/>
          <w:sz w:val="24"/>
          <w:szCs w:val="24"/>
          <w:vertAlign w:val="subscript"/>
        </w:rPr>
        <w:t>2</w:t>
      </w:r>
      <w:r w:rsidRPr="00156ED1">
        <w:rPr>
          <w:rFonts w:cstheme="minorHAnsi"/>
          <w:sz w:val="24"/>
          <w:szCs w:val="24"/>
        </w:rPr>
        <w:t xml:space="preserve"> by 2100), given that there is an additional economic incentive that drives a higher biochar deployment. If BECCS were not available to deploy, then emissions increase overall, since this represents a limitation of CDR options in the model.</w:t>
      </w:r>
    </w:p>
    <w:p w14:paraId="0F07C212" w14:textId="0AE5FDDF" w:rsidR="00631962" w:rsidRDefault="00631962" w:rsidP="00631962">
      <w:pPr>
        <w:spacing w:before="120" w:after="120"/>
        <w:ind w:firstLine="720"/>
        <w:jc w:val="both"/>
        <w:rPr>
          <w:rFonts w:cstheme="minorHAnsi"/>
          <w:sz w:val="24"/>
          <w:szCs w:val="24"/>
        </w:rPr>
      </w:pPr>
      <w:r w:rsidRPr="00156ED1">
        <w:rPr>
          <w:rFonts w:cstheme="minorHAnsi"/>
          <w:sz w:val="24"/>
          <w:szCs w:val="24"/>
        </w:rPr>
        <w:t xml:space="preserve">Carbon sequestration results are the flip side to carbon emissions, with higher sequestration under higher carbon prices. Since biochar is a CDR technology, allowing the deployment of biochar increases overall carbon sequestration, with application rates and yield impacts playing a role in this increase. Limiting BECCS deployment reduces total carbon sequestration. In the longer-term, the plateau and subsequent decrease observed in most scenarios for carbon sequestration, particularly the most ambitious carbon price trajectory, is a </w:t>
      </w:r>
      <w:r w:rsidRPr="00156ED1">
        <w:rPr>
          <w:rFonts w:cstheme="minorHAnsi"/>
          <w:sz w:val="24"/>
          <w:szCs w:val="24"/>
        </w:rPr>
        <w:lastRenderedPageBreak/>
        <w:t>result of a modeling assumption regarding the amount of global net negative emissions that is economically feasible (see SM3).</w:t>
      </w:r>
    </w:p>
    <w:p w14:paraId="344905D7" w14:textId="77777777" w:rsidR="00156ED1" w:rsidRPr="00156ED1" w:rsidRDefault="00156ED1" w:rsidP="00631962">
      <w:pPr>
        <w:spacing w:before="120" w:after="120"/>
        <w:ind w:firstLine="720"/>
        <w:jc w:val="both"/>
        <w:rPr>
          <w:rFonts w:cstheme="minorHAnsi"/>
          <w:sz w:val="24"/>
          <w:szCs w:val="24"/>
        </w:rPr>
      </w:pPr>
    </w:p>
    <w:p w14:paraId="37ACDB98" w14:textId="77777777" w:rsidR="00631962" w:rsidRPr="00156ED1" w:rsidRDefault="00631962" w:rsidP="00631962">
      <w:pPr>
        <w:rPr>
          <w:rFonts w:cstheme="minorHAnsi"/>
          <w:sz w:val="24"/>
          <w:szCs w:val="24"/>
        </w:rPr>
      </w:pPr>
      <w:r w:rsidRPr="00156ED1">
        <w:rPr>
          <w:rFonts w:cstheme="minorHAnsi"/>
          <w:noProof/>
          <w:sz w:val="24"/>
          <w:szCs w:val="24"/>
        </w:rPr>
        <w:drawing>
          <wp:inline distT="0" distB="0" distL="0" distR="0" wp14:anchorId="0C463FDE" wp14:editId="7E0CEB01">
            <wp:extent cx="5943600" cy="5447665"/>
            <wp:effectExtent l="0" t="0" r="0" b="635"/>
            <wp:docPr id="31" name="Picture 31"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Chart, dia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943600" cy="5447665"/>
                    </a:xfrm>
                    <a:prstGeom prst="rect">
                      <a:avLst/>
                    </a:prstGeom>
                  </pic:spPr>
                </pic:pic>
              </a:graphicData>
            </a:graphic>
          </wp:inline>
        </w:drawing>
      </w:r>
    </w:p>
    <w:p w14:paraId="7D7132C0" w14:textId="77777777" w:rsidR="00631962" w:rsidRPr="00156ED1" w:rsidRDefault="00631962" w:rsidP="00631962">
      <w:pPr>
        <w:rPr>
          <w:rFonts w:cstheme="minorHAnsi"/>
          <w:b/>
          <w:bCs/>
        </w:rPr>
      </w:pPr>
    </w:p>
    <w:p w14:paraId="1A6B088C" w14:textId="72DE722C" w:rsidR="00631962" w:rsidRPr="00156ED1" w:rsidRDefault="00631962" w:rsidP="00156ED1">
      <w:pPr>
        <w:spacing w:line="240" w:lineRule="auto"/>
        <w:jc w:val="both"/>
        <w:rPr>
          <w:rFonts w:cstheme="minorHAnsi"/>
          <w:sz w:val="20"/>
          <w:szCs w:val="20"/>
        </w:rPr>
      </w:pPr>
      <w:r w:rsidRPr="00156ED1">
        <w:rPr>
          <w:rFonts w:cstheme="minorHAnsi"/>
          <w:b/>
          <w:bCs/>
          <w:sz w:val="20"/>
          <w:szCs w:val="20"/>
        </w:rPr>
        <w:t>Figure SM</w:t>
      </w:r>
      <w:r w:rsidR="00DC4FBE" w:rsidRPr="00156ED1">
        <w:rPr>
          <w:rFonts w:cstheme="minorHAnsi"/>
          <w:b/>
          <w:bCs/>
          <w:sz w:val="20"/>
          <w:szCs w:val="20"/>
        </w:rPr>
        <w:t>2</w:t>
      </w:r>
      <w:r w:rsidRPr="00156ED1">
        <w:rPr>
          <w:rFonts w:cstheme="minorHAnsi"/>
          <w:b/>
          <w:bCs/>
          <w:sz w:val="20"/>
          <w:szCs w:val="20"/>
        </w:rPr>
        <w:t>|</w:t>
      </w:r>
      <w:r w:rsidRPr="00156ED1">
        <w:rPr>
          <w:rFonts w:cstheme="minorHAnsi"/>
          <w:sz w:val="20"/>
          <w:szCs w:val="20"/>
        </w:rPr>
        <w:t xml:space="preserve"> The four panels represent (</w:t>
      </w:r>
      <w:r w:rsidRPr="00156ED1">
        <w:rPr>
          <w:rFonts w:cstheme="minorHAnsi"/>
          <w:b/>
          <w:bCs/>
          <w:sz w:val="20"/>
          <w:szCs w:val="20"/>
        </w:rPr>
        <w:t>a</w:t>
      </w:r>
      <w:r w:rsidRPr="00156ED1">
        <w:rPr>
          <w:rFonts w:cstheme="minorHAnsi"/>
          <w:sz w:val="20"/>
          <w:szCs w:val="20"/>
        </w:rPr>
        <w:t>) total climate forcing, (</w:t>
      </w:r>
      <w:r w:rsidRPr="00156ED1">
        <w:rPr>
          <w:rFonts w:cstheme="minorHAnsi"/>
          <w:b/>
          <w:bCs/>
          <w:sz w:val="20"/>
          <w:szCs w:val="20"/>
        </w:rPr>
        <w:t>b</w:t>
      </w:r>
      <w:r w:rsidRPr="00156ED1">
        <w:rPr>
          <w:rFonts w:cstheme="minorHAnsi"/>
          <w:sz w:val="20"/>
          <w:szCs w:val="20"/>
        </w:rPr>
        <w:t>) temperature increase, (</w:t>
      </w:r>
      <w:r w:rsidRPr="00156ED1">
        <w:rPr>
          <w:rFonts w:cstheme="minorHAnsi"/>
          <w:b/>
          <w:bCs/>
          <w:sz w:val="20"/>
          <w:szCs w:val="20"/>
        </w:rPr>
        <w:t>c</w:t>
      </w:r>
      <w:r w:rsidRPr="00156ED1">
        <w:rPr>
          <w:rFonts w:cstheme="minorHAnsi"/>
          <w:sz w:val="20"/>
          <w:szCs w:val="20"/>
        </w:rPr>
        <w:t>) global CO</w:t>
      </w:r>
      <w:r w:rsidRPr="00156ED1">
        <w:rPr>
          <w:rFonts w:cstheme="minorHAnsi"/>
          <w:sz w:val="20"/>
          <w:szCs w:val="20"/>
          <w:vertAlign w:val="subscript"/>
        </w:rPr>
        <w:t>2</w:t>
      </w:r>
      <w:r w:rsidRPr="00156ED1">
        <w:rPr>
          <w:rFonts w:cstheme="minorHAnsi"/>
          <w:sz w:val="20"/>
          <w:szCs w:val="20"/>
        </w:rPr>
        <w:t xml:space="preserve"> emissions and (</w:t>
      </w:r>
      <w:r w:rsidRPr="00156ED1">
        <w:rPr>
          <w:rFonts w:cstheme="minorHAnsi"/>
          <w:b/>
          <w:bCs/>
          <w:sz w:val="20"/>
          <w:szCs w:val="20"/>
        </w:rPr>
        <w:t>d</w:t>
      </w:r>
      <w:r w:rsidRPr="00156ED1">
        <w:rPr>
          <w:rFonts w:cstheme="minorHAnsi"/>
          <w:sz w:val="20"/>
          <w:szCs w:val="20"/>
        </w:rPr>
        <w:t xml:space="preserve">) global </w:t>
      </w:r>
      <w:r w:rsidR="00114A1F">
        <w:rPr>
          <w:rFonts w:cstheme="minorHAnsi"/>
          <w:sz w:val="20"/>
          <w:szCs w:val="20"/>
        </w:rPr>
        <w:t xml:space="preserve">total </w:t>
      </w:r>
      <w:r w:rsidRPr="00156ED1">
        <w:rPr>
          <w:rFonts w:cstheme="minorHAnsi"/>
          <w:sz w:val="20"/>
          <w:szCs w:val="20"/>
        </w:rPr>
        <w:t>CO</w:t>
      </w:r>
      <w:r w:rsidRPr="00156ED1">
        <w:rPr>
          <w:rFonts w:cstheme="minorHAnsi"/>
          <w:sz w:val="20"/>
          <w:szCs w:val="20"/>
          <w:vertAlign w:val="subscript"/>
        </w:rPr>
        <w:t>2</w:t>
      </w:r>
      <w:r w:rsidRPr="00156ED1">
        <w:rPr>
          <w:rFonts w:cstheme="minorHAnsi"/>
          <w:sz w:val="20"/>
          <w:szCs w:val="20"/>
        </w:rPr>
        <w:t xml:space="preserve"> sequestration. Each panel shows the 36 scenarios modeled here, with each color representing a carbon price trajectory. A darker shade of the color represents the 4 scenarios without biochar, whereas the lighter shade of the color represents scenarios where we include biochar. Solid lines represent scenarios where BECCS is available whereas dotted and shaded lines represent scenarios where BECCS is unavailable. </w:t>
      </w:r>
    </w:p>
    <w:p w14:paraId="3D896268" w14:textId="77777777" w:rsidR="00156ED1" w:rsidRDefault="00156ED1">
      <w:pPr>
        <w:rPr>
          <w:rFonts w:eastAsia="Arial" w:cstheme="minorHAnsi"/>
          <w:b/>
          <w:color w:val="666666"/>
          <w:sz w:val="28"/>
          <w:szCs w:val="28"/>
          <w:lang w:val="en"/>
        </w:rPr>
      </w:pPr>
      <w:r>
        <w:rPr>
          <w:rFonts w:cstheme="minorHAnsi"/>
          <w:sz w:val="28"/>
          <w:szCs w:val="28"/>
        </w:rPr>
        <w:br w:type="page"/>
      </w:r>
    </w:p>
    <w:p w14:paraId="5BAAAF7A" w14:textId="5C297564" w:rsidR="00675F19" w:rsidRPr="00156ED1" w:rsidRDefault="00675F19" w:rsidP="00B92BD7">
      <w:pPr>
        <w:pStyle w:val="Subtitle"/>
        <w:ind w:left="0" w:firstLine="0"/>
        <w:rPr>
          <w:rFonts w:asciiTheme="minorHAnsi" w:hAnsiTheme="minorHAnsi" w:cstheme="minorHAnsi"/>
          <w:sz w:val="28"/>
          <w:szCs w:val="28"/>
        </w:rPr>
      </w:pPr>
      <w:r w:rsidRPr="00156ED1">
        <w:rPr>
          <w:rFonts w:asciiTheme="minorHAnsi" w:hAnsiTheme="minorHAnsi" w:cstheme="minorHAnsi"/>
          <w:sz w:val="28"/>
          <w:szCs w:val="28"/>
        </w:rPr>
        <w:lastRenderedPageBreak/>
        <w:t xml:space="preserve">Supplementary </w:t>
      </w:r>
      <w:r w:rsidR="00C04A2E" w:rsidRPr="00156ED1">
        <w:rPr>
          <w:rFonts w:asciiTheme="minorHAnsi" w:hAnsiTheme="minorHAnsi" w:cstheme="minorHAnsi"/>
          <w:sz w:val="28"/>
          <w:szCs w:val="28"/>
        </w:rPr>
        <w:t xml:space="preserve">Material </w:t>
      </w:r>
      <w:r w:rsidR="00156ED1">
        <w:rPr>
          <w:rFonts w:asciiTheme="minorHAnsi" w:hAnsiTheme="minorHAnsi" w:cstheme="minorHAnsi"/>
          <w:sz w:val="28"/>
          <w:szCs w:val="28"/>
        </w:rPr>
        <w:t>5</w:t>
      </w:r>
      <w:r w:rsidRPr="00156ED1">
        <w:rPr>
          <w:rFonts w:asciiTheme="minorHAnsi" w:hAnsiTheme="minorHAnsi" w:cstheme="minorHAnsi"/>
          <w:sz w:val="28"/>
          <w:szCs w:val="28"/>
        </w:rPr>
        <w:t xml:space="preserve"> </w:t>
      </w:r>
      <w:r w:rsidR="00C04A2E" w:rsidRPr="00156ED1">
        <w:rPr>
          <w:rFonts w:asciiTheme="minorHAnsi" w:hAnsiTheme="minorHAnsi" w:cstheme="minorHAnsi"/>
          <w:sz w:val="28"/>
          <w:szCs w:val="28"/>
        </w:rPr>
        <w:t>(SM</w:t>
      </w:r>
      <w:r w:rsidR="00156ED1">
        <w:rPr>
          <w:rFonts w:asciiTheme="minorHAnsi" w:hAnsiTheme="minorHAnsi" w:cstheme="minorHAnsi"/>
          <w:sz w:val="28"/>
          <w:szCs w:val="28"/>
        </w:rPr>
        <w:t>5</w:t>
      </w:r>
      <w:r w:rsidR="00C04A2E" w:rsidRPr="00156ED1">
        <w:rPr>
          <w:rFonts w:asciiTheme="minorHAnsi" w:hAnsiTheme="minorHAnsi" w:cstheme="minorHAnsi"/>
          <w:sz w:val="28"/>
          <w:szCs w:val="28"/>
        </w:rPr>
        <w:t xml:space="preserve">) </w:t>
      </w:r>
      <w:r w:rsidRPr="00156ED1">
        <w:rPr>
          <w:rFonts w:asciiTheme="minorHAnsi" w:hAnsiTheme="minorHAnsi" w:cstheme="minorHAnsi"/>
          <w:sz w:val="28"/>
          <w:szCs w:val="28"/>
        </w:rPr>
        <w:t xml:space="preserve">– </w:t>
      </w:r>
      <w:r w:rsidR="00A30011" w:rsidRPr="00156ED1">
        <w:rPr>
          <w:rFonts w:asciiTheme="minorHAnsi" w:hAnsiTheme="minorHAnsi" w:cstheme="minorHAnsi"/>
          <w:sz w:val="28"/>
          <w:szCs w:val="28"/>
        </w:rPr>
        <w:t xml:space="preserve">Biochar </w:t>
      </w:r>
      <w:r w:rsidR="001B0136" w:rsidRPr="00156ED1">
        <w:rPr>
          <w:rFonts w:asciiTheme="minorHAnsi" w:hAnsiTheme="minorHAnsi" w:cstheme="minorHAnsi"/>
          <w:sz w:val="28"/>
          <w:szCs w:val="28"/>
        </w:rPr>
        <w:t xml:space="preserve">Carbon </w:t>
      </w:r>
      <w:r w:rsidR="00A30011" w:rsidRPr="00156ED1">
        <w:rPr>
          <w:rFonts w:asciiTheme="minorHAnsi" w:hAnsiTheme="minorHAnsi" w:cstheme="minorHAnsi"/>
          <w:sz w:val="28"/>
          <w:szCs w:val="28"/>
        </w:rPr>
        <w:t>Sequestration</w:t>
      </w:r>
    </w:p>
    <w:p w14:paraId="4C6E7A50" w14:textId="094110BA" w:rsidR="007B60ED" w:rsidRPr="00156ED1" w:rsidRDefault="007B60ED" w:rsidP="007B60ED">
      <w:pPr>
        <w:spacing w:before="120" w:after="120"/>
        <w:ind w:firstLine="720"/>
        <w:jc w:val="both"/>
        <w:rPr>
          <w:rFonts w:cstheme="minorHAnsi"/>
          <w:sz w:val="24"/>
          <w:szCs w:val="24"/>
        </w:rPr>
      </w:pPr>
      <w:r w:rsidRPr="00156ED1">
        <w:rPr>
          <w:rFonts w:cstheme="minorHAnsi"/>
          <w:sz w:val="24"/>
          <w:szCs w:val="24"/>
        </w:rPr>
        <w:t>In a Reference case, global biochar carbon sequestration never exceeds 0.4 GtCO</w:t>
      </w:r>
      <w:r w:rsidRPr="00156ED1">
        <w:rPr>
          <w:rFonts w:cstheme="minorHAnsi"/>
          <w:sz w:val="24"/>
          <w:szCs w:val="24"/>
          <w:vertAlign w:val="subscript"/>
        </w:rPr>
        <w:t>2</w:t>
      </w:r>
      <w:r w:rsidRPr="00156ED1">
        <w:rPr>
          <w:rFonts w:cstheme="minorHAnsi"/>
          <w:sz w:val="24"/>
          <w:szCs w:val="24"/>
        </w:rPr>
        <w:t>/</w:t>
      </w:r>
      <w:proofErr w:type="spellStart"/>
      <w:r w:rsidRPr="00156ED1">
        <w:rPr>
          <w:rFonts w:cstheme="minorHAnsi"/>
          <w:sz w:val="24"/>
          <w:szCs w:val="24"/>
        </w:rPr>
        <w:t>yr</w:t>
      </w:r>
      <w:proofErr w:type="spellEnd"/>
      <w:r w:rsidRPr="00156ED1">
        <w:rPr>
          <w:rFonts w:cstheme="minorHAnsi"/>
          <w:sz w:val="24"/>
          <w:szCs w:val="24"/>
        </w:rPr>
        <w:t xml:space="preserve"> (Fig.</w:t>
      </w:r>
      <w:r w:rsidR="00B70B98">
        <w:rPr>
          <w:rFonts w:cstheme="minorHAnsi"/>
          <w:sz w:val="24"/>
          <w:szCs w:val="24"/>
        </w:rPr>
        <w:t xml:space="preserve"> SM3a</w:t>
      </w:r>
      <w:r w:rsidRPr="00156ED1">
        <w:rPr>
          <w:rFonts w:cstheme="minorHAnsi"/>
          <w:sz w:val="24"/>
          <w:szCs w:val="24"/>
        </w:rPr>
        <w:t>). In the Low carbon price trajectories, by the peak-year of 2095 global carbon sequestration from biochar ranges between 0.2 and 2.4 GtCO</w:t>
      </w:r>
      <w:r w:rsidRPr="00156ED1">
        <w:rPr>
          <w:rFonts w:cstheme="minorHAnsi"/>
          <w:sz w:val="24"/>
          <w:szCs w:val="24"/>
          <w:vertAlign w:val="subscript"/>
        </w:rPr>
        <w:t>2</w:t>
      </w:r>
      <w:r w:rsidRPr="00156ED1">
        <w:rPr>
          <w:rFonts w:cstheme="minorHAnsi"/>
          <w:sz w:val="24"/>
          <w:szCs w:val="24"/>
        </w:rPr>
        <w:t>/yr. By 2095, in this carbon price trajectory increasing application rates from 10 t/ha to 20 t/ha increases sequestration by 35% with default yields, and by 89% with increased yields. Modeling yield improvements increases carbon sequestration by 465% and 693% with application rates of 10 and 20 t/ha, respectively, compared to modeling default yields. When BECCS are unavailable, biochar increasingly sequesters carbon, peaking at 2.6 GtCO</w:t>
      </w:r>
      <w:r w:rsidRPr="00156ED1">
        <w:rPr>
          <w:rFonts w:cstheme="minorHAnsi"/>
          <w:sz w:val="24"/>
          <w:szCs w:val="24"/>
          <w:vertAlign w:val="subscript"/>
        </w:rPr>
        <w:t>2</w:t>
      </w:r>
      <w:r w:rsidRPr="00156ED1">
        <w:rPr>
          <w:rFonts w:cstheme="minorHAnsi"/>
          <w:sz w:val="24"/>
          <w:szCs w:val="24"/>
        </w:rPr>
        <w:t>/</w:t>
      </w:r>
      <w:proofErr w:type="spellStart"/>
      <w:r w:rsidRPr="00156ED1">
        <w:rPr>
          <w:rFonts w:cstheme="minorHAnsi"/>
          <w:sz w:val="24"/>
          <w:szCs w:val="24"/>
        </w:rPr>
        <w:t>yr</w:t>
      </w:r>
      <w:proofErr w:type="spellEnd"/>
      <w:r w:rsidRPr="00156ED1">
        <w:rPr>
          <w:rFonts w:cstheme="minorHAnsi"/>
          <w:sz w:val="24"/>
          <w:szCs w:val="24"/>
        </w:rPr>
        <w:t xml:space="preserve"> in 2100 in the scenario with increased yields and an application rate of 20 t/ha (</w:t>
      </w:r>
      <w:r w:rsidR="00B70B98" w:rsidRPr="00156ED1">
        <w:rPr>
          <w:rFonts w:cstheme="minorHAnsi"/>
          <w:sz w:val="24"/>
          <w:szCs w:val="24"/>
        </w:rPr>
        <w:t>Fig.</w:t>
      </w:r>
      <w:r w:rsidR="00B70B98">
        <w:rPr>
          <w:rFonts w:cstheme="minorHAnsi"/>
          <w:sz w:val="24"/>
          <w:szCs w:val="24"/>
        </w:rPr>
        <w:t xml:space="preserve"> SM3b</w:t>
      </w:r>
      <w:r w:rsidRPr="00156ED1">
        <w:rPr>
          <w:rFonts w:cstheme="minorHAnsi"/>
          <w:sz w:val="24"/>
          <w:szCs w:val="24"/>
        </w:rPr>
        <w:t>).</w:t>
      </w:r>
    </w:p>
    <w:p w14:paraId="45573365" w14:textId="264F9CE8" w:rsidR="007B60ED" w:rsidRPr="00156ED1" w:rsidRDefault="007B60ED" w:rsidP="007B60ED">
      <w:pPr>
        <w:spacing w:before="120" w:after="120"/>
        <w:ind w:firstLine="720"/>
        <w:jc w:val="both"/>
        <w:rPr>
          <w:rFonts w:cstheme="minorHAnsi"/>
          <w:sz w:val="24"/>
          <w:szCs w:val="24"/>
        </w:rPr>
      </w:pPr>
      <w:r w:rsidRPr="00156ED1">
        <w:rPr>
          <w:rFonts w:cstheme="minorHAnsi"/>
          <w:sz w:val="24"/>
          <w:szCs w:val="24"/>
        </w:rPr>
        <w:t>In the Medium carbon price trajectories, global biochar carbon sequestration by the peak-year of 2080 ranges between 0.2 and 1.8 GtCO</w:t>
      </w:r>
      <w:r w:rsidRPr="00156ED1">
        <w:rPr>
          <w:rFonts w:cstheme="minorHAnsi"/>
          <w:sz w:val="24"/>
          <w:szCs w:val="24"/>
          <w:vertAlign w:val="subscript"/>
        </w:rPr>
        <w:t>2</w:t>
      </w:r>
      <w:r w:rsidRPr="00156ED1">
        <w:rPr>
          <w:rFonts w:cstheme="minorHAnsi"/>
          <w:sz w:val="24"/>
          <w:szCs w:val="24"/>
        </w:rPr>
        <w:t>/</w:t>
      </w:r>
      <w:proofErr w:type="spellStart"/>
      <w:r w:rsidRPr="00156ED1">
        <w:rPr>
          <w:rFonts w:cstheme="minorHAnsi"/>
          <w:sz w:val="24"/>
          <w:szCs w:val="24"/>
        </w:rPr>
        <w:t>yr</w:t>
      </w:r>
      <w:proofErr w:type="spellEnd"/>
      <w:r w:rsidRPr="00156ED1">
        <w:rPr>
          <w:rFonts w:cstheme="minorHAnsi"/>
          <w:sz w:val="24"/>
          <w:szCs w:val="24"/>
        </w:rPr>
        <w:t xml:space="preserve"> when BECCS are available. By the peak-year, doubling application rates from 10 to 20 t/ha increases carbon sequestration by 38% and 84% in scenarios with default and increased yields, respectively. Modeling yield improvements increases carbon sequestration by 376% and 534% in scenarios with application rates of 10 and 20 t/ha respectively. Not allowing BECCS in the model leads to a maximum global biochar carbon sequestration of 2.8 GtCO</w:t>
      </w:r>
      <w:r w:rsidRPr="00156ED1">
        <w:rPr>
          <w:rFonts w:cstheme="minorHAnsi"/>
          <w:sz w:val="24"/>
          <w:szCs w:val="24"/>
          <w:vertAlign w:val="subscript"/>
        </w:rPr>
        <w:t>2</w:t>
      </w:r>
      <w:r w:rsidRPr="00156ED1">
        <w:rPr>
          <w:rFonts w:cstheme="minorHAnsi"/>
          <w:sz w:val="24"/>
          <w:szCs w:val="24"/>
        </w:rPr>
        <w:t>/</w:t>
      </w:r>
      <w:proofErr w:type="spellStart"/>
      <w:r w:rsidRPr="00156ED1">
        <w:rPr>
          <w:rFonts w:cstheme="minorHAnsi"/>
          <w:sz w:val="24"/>
          <w:szCs w:val="24"/>
        </w:rPr>
        <w:t>yr</w:t>
      </w:r>
      <w:proofErr w:type="spellEnd"/>
      <w:r w:rsidRPr="00156ED1">
        <w:rPr>
          <w:rFonts w:cstheme="minorHAnsi"/>
          <w:sz w:val="24"/>
          <w:szCs w:val="24"/>
        </w:rPr>
        <w:t xml:space="preserve"> by 2100 in the scenario with increased yields and an application rate of 20 t/ha (</w:t>
      </w:r>
      <w:r w:rsidR="005A1AEF" w:rsidRPr="00156ED1">
        <w:rPr>
          <w:rFonts w:cstheme="minorHAnsi"/>
          <w:sz w:val="24"/>
          <w:szCs w:val="24"/>
        </w:rPr>
        <w:t>Fig.</w:t>
      </w:r>
      <w:r w:rsidR="005A1AEF">
        <w:rPr>
          <w:rFonts w:cstheme="minorHAnsi"/>
          <w:sz w:val="24"/>
          <w:szCs w:val="24"/>
        </w:rPr>
        <w:t xml:space="preserve"> SM3c</w:t>
      </w:r>
      <w:r w:rsidRPr="00156ED1">
        <w:rPr>
          <w:rFonts w:cstheme="minorHAnsi"/>
          <w:sz w:val="24"/>
          <w:szCs w:val="24"/>
        </w:rPr>
        <w:t>).</w:t>
      </w:r>
    </w:p>
    <w:p w14:paraId="3D5B7C7D" w14:textId="0CDE4CD4" w:rsidR="007B60ED" w:rsidRPr="00156ED1" w:rsidRDefault="007B60ED" w:rsidP="007B60ED">
      <w:pPr>
        <w:spacing w:before="120" w:after="120"/>
        <w:ind w:firstLine="720"/>
        <w:jc w:val="both"/>
        <w:rPr>
          <w:rFonts w:cstheme="minorHAnsi"/>
          <w:sz w:val="24"/>
          <w:szCs w:val="24"/>
        </w:rPr>
      </w:pPr>
      <w:r w:rsidRPr="00156ED1">
        <w:rPr>
          <w:rFonts w:cstheme="minorHAnsi"/>
          <w:sz w:val="24"/>
          <w:szCs w:val="24"/>
        </w:rPr>
        <w:t>In the High carbon price scenarios, by the peak-year of 2065 biochar sequesters between 0.2 and 1.4 GtCO</w:t>
      </w:r>
      <w:r w:rsidRPr="00156ED1">
        <w:rPr>
          <w:rFonts w:cstheme="minorHAnsi"/>
          <w:sz w:val="24"/>
          <w:szCs w:val="24"/>
          <w:vertAlign w:val="subscript"/>
        </w:rPr>
        <w:t>2</w:t>
      </w:r>
      <w:r w:rsidRPr="00156ED1">
        <w:rPr>
          <w:rFonts w:cstheme="minorHAnsi"/>
          <w:sz w:val="24"/>
          <w:szCs w:val="24"/>
        </w:rPr>
        <w:t>/</w:t>
      </w:r>
      <w:proofErr w:type="spellStart"/>
      <w:r w:rsidRPr="00156ED1">
        <w:rPr>
          <w:rFonts w:cstheme="minorHAnsi"/>
          <w:sz w:val="24"/>
          <w:szCs w:val="24"/>
        </w:rPr>
        <w:t>yr</w:t>
      </w:r>
      <w:proofErr w:type="spellEnd"/>
      <w:r w:rsidRPr="00156ED1">
        <w:rPr>
          <w:rFonts w:cstheme="minorHAnsi"/>
          <w:sz w:val="24"/>
          <w:szCs w:val="24"/>
        </w:rPr>
        <w:t xml:space="preserve"> where BECCS are available. By 2065, doubling application rates increases global biochar carbon sequestration by 55% and 76% in scenarios with default and increased yields, respectively. By the same year, modeling increased yields leads to 264% and 318% higher sequestration in scenarios with 10 and 20 t/ha, respectively, compared to not modeling these yield improvements. The maximum biochar carbon sequestration is achieved by 2100 in scenarios without BECCS, with a maximum of 2.8 GtCO</w:t>
      </w:r>
      <w:r w:rsidRPr="00156ED1">
        <w:rPr>
          <w:rFonts w:cstheme="minorHAnsi"/>
          <w:sz w:val="24"/>
          <w:szCs w:val="24"/>
          <w:vertAlign w:val="subscript"/>
        </w:rPr>
        <w:t>2</w:t>
      </w:r>
      <w:r w:rsidRPr="00156ED1">
        <w:rPr>
          <w:rFonts w:cstheme="minorHAnsi"/>
          <w:sz w:val="24"/>
          <w:szCs w:val="24"/>
        </w:rPr>
        <w:t>/</w:t>
      </w:r>
      <w:proofErr w:type="spellStart"/>
      <w:r w:rsidRPr="00156ED1">
        <w:rPr>
          <w:rFonts w:cstheme="minorHAnsi"/>
          <w:sz w:val="24"/>
          <w:szCs w:val="24"/>
        </w:rPr>
        <w:t>yr</w:t>
      </w:r>
      <w:proofErr w:type="spellEnd"/>
      <w:r w:rsidRPr="00156ED1">
        <w:rPr>
          <w:rFonts w:cstheme="minorHAnsi"/>
          <w:sz w:val="24"/>
          <w:szCs w:val="24"/>
        </w:rPr>
        <w:t xml:space="preserve"> by 2100 in the scenario with increased yields and an application rate of 20 t/ha (</w:t>
      </w:r>
      <w:r w:rsidR="006F05D7" w:rsidRPr="00156ED1">
        <w:rPr>
          <w:rFonts w:cstheme="minorHAnsi"/>
          <w:sz w:val="24"/>
          <w:szCs w:val="24"/>
        </w:rPr>
        <w:t>Fig.</w:t>
      </w:r>
      <w:r w:rsidR="006F05D7">
        <w:rPr>
          <w:rFonts w:cstheme="minorHAnsi"/>
          <w:sz w:val="24"/>
          <w:szCs w:val="24"/>
        </w:rPr>
        <w:t xml:space="preserve"> SM3d</w:t>
      </w:r>
      <w:r w:rsidRPr="00156ED1">
        <w:rPr>
          <w:rFonts w:cstheme="minorHAnsi"/>
          <w:sz w:val="24"/>
          <w:szCs w:val="24"/>
        </w:rPr>
        <w:t>).</w:t>
      </w:r>
    </w:p>
    <w:p w14:paraId="031B6140" w14:textId="77777777" w:rsidR="007B60ED" w:rsidRPr="00156ED1" w:rsidRDefault="007B60ED" w:rsidP="007B60ED">
      <w:pPr>
        <w:rPr>
          <w:rFonts w:cstheme="minorHAnsi"/>
        </w:rPr>
      </w:pPr>
    </w:p>
    <w:p w14:paraId="400B9191" w14:textId="0AC881D3" w:rsidR="00675F19" w:rsidRPr="00156ED1" w:rsidRDefault="00750609" w:rsidP="00C77938">
      <w:pPr>
        <w:widowControl w:val="0"/>
        <w:spacing w:before="120" w:after="120"/>
        <w:jc w:val="both"/>
        <w:rPr>
          <w:rFonts w:cstheme="minorHAnsi"/>
          <w:sz w:val="24"/>
          <w:szCs w:val="24"/>
          <w:u w:val="single"/>
        </w:rPr>
      </w:pPr>
      <w:r w:rsidRPr="00156ED1">
        <w:rPr>
          <w:rFonts w:cstheme="minorHAnsi"/>
          <w:noProof/>
          <w:sz w:val="24"/>
          <w:szCs w:val="24"/>
        </w:rPr>
        <w:lastRenderedPageBreak/>
        <w:drawing>
          <wp:inline distT="0" distB="0" distL="0" distR="0" wp14:anchorId="61F03EBC" wp14:editId="1083C67E">
            <wp:extent cx="5943600" cy="5502275"/>
            <wp:effectExtent l="0" t="0" r="0" b="3175"/>
            <wp:docPr id="2" name="Picture 2" descr="Graphical user interface, chart, shape,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chart, shape, histogram&#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43600" cy="5502275"/>
                    </a:xfrm>
                    <a:prstGeom prst="rect">
                      <a:avLst/>
                    </a:prstGeom>
                  </pic:spPr>
                </pic:pic>
              </a:graphicData>
            </a:graphic>
          </wp:inline>
        </w:drawing>
      </w:r>
    </w:p>
    <w:p w14:paraId="49293DAA" w14:textId="095BC83D" w:rsidR="00066EAF" w:rsidRPr="00156ED1" w:rsidRDefault="00066EAF" w:rsidP="00C77938">
      <w:pPr>
        <w:widowControl w:val="0"/>
        <w:spacing w:before="120" w:after="120"/>
        <w:jc w:val="both"/>
        <w:rPr>
          <w:rFonts w:cstheme="minorHAnsi"/>
          <w:sz w:val="20"/>
          <w:szCs w:val="20"/>
        </w:rPr>
      </w:pPr>
      <w:r w:rsidRPr="00156ED1">
        <w:rPr>
          <w:rFonts w:cstheme="minorHAnsi"/>
          <w:b/>
          <w:bCs/>
          <w:sz w:val="20"/>
          <w:szCs w:val="20"/>
        </w:rPr>
        <w:t xml:space="preserve">Figure </w:t>
      </w:r>
      <w:r w:rsidR="0096322E" w:rsidRPr="00156ED1">
        <w:rPr>
          <w:rFonts w:cstheme="minorHAnsi"/>
          <w:b/>
          <w:bCs/>
          <w:sz w:val="20"/>
          <w:szCs w:val="20"/>
        </w:rPr>
        <w:t>SM</w:t>
      </w:r>
      <w:r w:rsidR="00156ED1">
        <w:rPr>
          <w:rFonts w:cstheme="minorHAnsi"/>
          <w:b/>
          <w:bCs/>
          <w:sz w:val="20"/>
          <w:szCs w:val="20"/>
        </w:rPr>
        <w:t>3</w:t>
      </w:r>
      <w:r w:rsidRPr="00156ED1">
        <w:rPr>
          <w:rFonts w:cstheme="minorHAnsi"/>
          <w:b/>
          <w:bCs/>
          <w:sz w:val="20"/>
          <w:szCs w:val="20"/>
        </w:rPr>
        <w:t xml:space="preserve"> | </w:t>
      </w:r>
      <w:r w:rsidR="00997A8C" w:rsidRPr="00156ED1">
        <w:rPr>
          <w:rFonts w:cstheme="minorHAnsi"/>
          <w:sz w:val="20"/>
          <w:szCs w:val="20"/>
        </w:rPr>
        <w:t>Percentage of biochar carbon dioxide sequestration on total carbon dioxide sequestration based on different carbon price trajectories</w:t>
      </w:r>
      <w:r w:rsidR="006E04A3" w:rsidRPr="00156ED1">
        <w:rPr>
          <w:rFonts w:cstheme="minorHAnsi"/>
          <w:sz w:val="20"/>
          <w:szCs w:val="20"/>
        </w:rPr>
        <w:t>:</w:t>
      </w:r>
      <w:r w:rsidR="00997A8C" w:rsidRPr="00156ED1">
        <w:rPr>
          <w:rFonts w:cstheme="minorHAnsi"/>
          <w:sz w:val="20"/>
          <w:szCs w:val="20"/>
        </w:rPr>
        <w:t xml:space="preserve"> (</w:t>
      </w:r>
      <w:r w:rsidR="00997A8C" w:rsidRPr="00156ED1">
        <w:rPr>
          <w:rFonts w:cstheme="minorHAnsi"/>
          <w:b/>
          <w:bCs/>
          <w:sz w:val="20"/>
          <w:szCs w:val="20"/>
        </w:rPr>
        <w:t>a</w:t>
      </w:r>
      <w:r w:rsidR="00997A8C" w:rsidRPr="00156ED1">
        <w:rPr>
          <w:rFonts w:cstheme="minorHAnsi"/>
          <w:sz w:val="20"/>
          <w:szCs w:val="20"/>
        </w:rPr>
        <w:t>) Reference, (</w:t>
      </w:r>
      <w:r w:rsidR="00997A8C" w:rsidRPr="00156ED1">
        <w:rPr>
          <w:rFonts w:cstheme="minorHAnsi"/>
          <w:b/>
          <w:bCs/>
          <w:sz w:val="20"/>
          <w:szCs w:val="20"/>
        </w:rPr>
        <w:t>b</w:t>
      </w:r>
      <w:r w:rsidR="00997A8C" w:rsidRPr="00156ED1">
        <w:rPr>
          <w:rFonts w:cstheme="minorHAnsi"/>
          <w:sz w:val="20"/>
          <w:szCs w:val="20"/>
        </w:rPr>
        <w:t>) Low, (</w:t>
      </w:r>
      <w:r w:rsidR="00997A8C" w:rsidRPr="00156ED1">
        <w:rPr>
          <w:rFonts w:cstheme="minorHAnsi"/>
          <w:b/>
          <w:bCs/>
          <w:sz w:val="20"/>
          <w:szCs w:val="20"/>
        </w:rPr>
        <w:t>c</w:t>
      </w:r>
      <w:r w:rsidR="00997A8C" w:rsidRPr="00156ED1">
        <w:rPr>
          <w:rFonts w:cstheme="minorHAnsi"/>
          <w:sz w:val="20"/>
          <w:szCs w:val="20"/>
        </w:rPr>
        <w:t>) Medium, and (</w:t>
      </w:r>
      <w:r w:rsidR="00997A8C" w:rsidRPr="00156ED1">
        <w:rPr>
          <w:rFonts w:cstheme="minorHAnsi"/>
          <w:b/>
          <w:bCs/>
          <w:sz w:val="20"/>
          <w:szCs w:val="20"/>
        </w:rPr>
        <w:t>d</w:t>
      </w:r>
      <w:r w:rsidR="00997A8C" w:rsidRPr="00156ED1">
        <w:rPr>
          <w:rFonts w:cstheme="minorHAnsi"/>
          <w:sz w:val="20"/>
          <w:szCs w:val="20"/>
        </w:rPr>
        <w:t xml:space="preserve">) High. Solid lines represent scenarios where BECCS is available, whereas dotted and shaded lines represent scenarios where BECCS is unavailable. Circle </w:t>
      </w:r>
      <w:proofErr w:type="spellStart"/>
      <w:r w:rsidR="00997A8C" w:rsidRPr="00156ED1">
        <w:rPr>
          <w:rFonts w:cstheme="minorHAnsi"/>
          <w:sz w:val="20"/>
          <w:szCs w:val="20"/>
        </w:rPr>
        <w:t>geoms</w:t>
      </w:r>
      <w:proofErr w:type="spellEnd"/>
      <w:r w:rsidR="00997A8C" w:rsidRPr="00156ED1">
        <w:rPr>
          <w:rFonts w:cstheme="minorHAnsi"/>
          <w:sz w:val="20"/>
          <w:szCs w:val="20"/>
        </w:rPr>
        <w:t xml:space="preserve"> represent scenarios with default yields and application rates of either 10 t/ha (white circle) or 20 t/ha (black circle). Increased yields are represented by triangle </w:t>
      </w:r>
      <w:proofErr w:type="spellStart"/>
      <w:r w:rsidR="00997A8C" w:rsidRPr="00156ED1">
        <w:rPr>
          <w:rFonts w:cstheme="minorHAnsi"/>
          <w:sz w:val="20"/>
          <w:szCs w:val="20"/>
        </w:rPr>
        <w:t>geoms</w:t>
      </w:r>
      <w:proofErr w:type="spellEnd"/>
      <w:r w:rsidR="00997A8C" w:rsidRPr="00156ED1">
        <w:rPr>
          <w:rFonts w:cstheme="minorHAnsi"/>
          <w:sz w:val="20"/>
          <w:szCs w:val="20"/>
        </w:rPr>
        <w:t>, with 10 t/ha (white triangle) and 20 t/ha (black triangle).</w:t>
      </w:r>
    </w:p>
    <w:p w14:paraId="75F6C62F" w14:textId="77777777" w:rsidR="00484386" w:rsidRPr="00156ED1" w:rsidRDefault="00484386" w:rsidP="00C77938">
      <w:pPr>
        <w:widowControl w:val="0"/>
        <w:spacing w:before="120" w:after="120"/>
        <w:jc w:val="both"/>
        <w:rPr>
          <w:rFonts w:cstheme="minorHAnsi"/>
          <w:sz w:val="24"/>
          <w:szCs w:val="24"/>
          <w:u w:val="single"/>
        </w:rPr>
      </w:pPr>
    </w:p>
    <w:p w14:paraId="501B1DE3" w14:textId="77777777" w:rsidR="00B92BD7" w:rsidRPr="00156ED1" w:rsidRDefault="00B92BD7">
      <w:pPr>
        <w:rPr>
          <w:rFonts w:cstheme="minorHAnsi"/>
          <w:bCs/>
          <w:sz w:val="24"/>
          <w:szCs w:val="24"/>
          <w:u w:val="single"/>
        </w:rPr>
      </w:pPr>
      <w:r w:rsidRPr="00156ED1">
        <w:rPr>
          <w:rFonts w:cstheme="minorHAnsi"/>
          <w:bCs/>
          <w:sz w:val="24"/>
          <w:szCs w:val="24"/>
          <w:u w:val="single"/>
        </w:rPr>
        <w:br w:type="page"/>
      </w:r>
    </w:p>
    <w:p w14:paraId="2360D681" w14:textId="708F129C" w:rsidR="007B60ED" w:rsidRPr="00156ED1" w:rsidRDefault="00B61DFB" w:rsidP="00B92BD7">
      <w:pPr>
        <w:pStyle w:val="Subtitle"/>
        <w:ind w:left="0" w:firstLine="0"/>
        <w:rPr>
          <w:rFonts w:asciiTheme="minorHAnsi" w:hAnsiTheme="minorHAnsi" w:cstheme="minorHAnsi"/>
          <w:sz w:val="28"/>
          <w:szCs w:val="28"/>
        </w:rPr>
      </w:pPr>
      <w:r w:rsidRPr="00156ED1">
        <w:rPr>
          <w:rFonts w:asciiTheme="minorHAnsi" w:hAnsiTheme="minorHAnsi" w:cstheme="minorHAnsi"/>
          <w:sz w:val="28"/>
          <w:szCs w:val="28"/>
        </w:rPr>
        <w:lastRenderedPageBreak/>
        <w:t xml:space="preserve">Supplementary Material </w:t>
      </w:r>
      <w:r w:rsidR="00156ED1">
        <w:rPr>
          <w:rFonts w:asciiTheme="minorHAnsi" w:hAnsiTheme="minorHAnsi" w:cstheme="minorHAnsi"/>
          <w:sz w:val="28"/>
          <w:szCs w:val="28"/>
        </w:rPr>
        <w:t>6</w:t>
      </w:r>
      <w:r w:rsidRPr="00156ED1">
        <w:rPr>
          <w:rFonts w:asciiTheme="minorHAnsi" w:hAnsiTheme="minorHAnsi" w:cstheme="minorHAnsi"/>
          <w:sz w:val="28"/>
          <w:szCs w:val="28"/>
        </w:rPr>
        <w:t xml:space="preserve"> (SM</w:t>
      </w:r>
      <w:r w:rsidR="00156ED1">
        <w:rPr>
          <w:rFonts w:asciiTheme="minorHAnsi" w:hAnsiTheme="minorHAnsi" w:cstheme="minorHAnsi"/>
          <w:sz w:val="28"/>
          <w:szCs w:val="28"/>
        </w:rPr>
        <w:t>6</w:t>
      </w:r>
      <w:r w:rsidRPr="00156ED1">
        <w:rPr>
          <w:rFonts w:asciiTheme="minorHAnsi" w:hAnsiTheme="minorHAnsi" w:cstheme="minorHAnsi"/>
          <w:sz w:val="28"/>
          <w:szCs w:val="28"/>
        </w:rPr>
        <w:t>) – Biochar Demand and the Effects of Varying Assumptions</w:t>
      </w:r>
    </w:p>
    <w:p w14:paraId="05D69917" w14:textId="0B7F9742" w:rsidR="00A55D00" w:rsidRPr="00156ED1" w:rsidRDefault="00A55D00" w:rsidP="00A55D00">
      <w:pPr>
        <w:spacing w:before="120" w:after="120"/>
        <w:ind w:firstLine="720"/>
        <w:jc w:val="both"/>
        <w:rPr>
          <w:rFonts w:cstheme="minorHAnsi"/>
          <w:sz w:val="24"/>
          <w:szCs w:val="24"/>
        </w:rPr>
      </w:pPr>
      <w:r w:rsidRPr="00156ED1">
        <w:rPr>
          <w:rFonts w:cstheme="minorHAnsi"/>
          <w:sz w:val="24"/>
          <w:szCs w:val="24"/>
        </w:rPr>
        <w:t>In the Reference carbon price trajectories, global biochar demand ranges between 34 and 104 Mt by 2100. There is almost no difference in these scenarios when BECCS is available or unavailable given that there are no incentives to sequester carbon. Increasing application rates from 10 to 20 t/ha increases demand by almost 30% with default yields, and by 19% with increased yields by 2100. Modeling yield improvements increases biochar demand by 147% and 133% in scenarios with application rates of 10 and 20 t/ha, respectively, also by 2100 (</w:t>
      </w:r>
      <w:r w:rsidR="006B1DD1">
        <w:rPr>
          <w:rFonts w:cstheme="minorHAnsi"/>
          <w:sz w:val="24"/>
          <w:szCs w:val="24"/>
        </w:rPr>
        <w:t xml:space="preserve">manuscript </w:t>
      </w:r>
      <w:r w:rsidRPr="00156ED1">
        <w:rPr>
          <w:rFonts w:cstheme="minorHAnsi"/>
          <w:sz w:val="24"/>
          <w:szCs w:val="24"/>
        </w:rPr>
        <w:t>Fig. 2a, top left).</w:t>
      </w:r>
    </w:p>
    <w:p w14:paraId="14BBADE9" w14:textId="766EF90A" w:rsidR="00A55D00" w:rsidRPr="00156ED1" w:rsidRDefault="00A55D00" w:rsidP="00A55D00">
      <w:pPr>
        <w:spacing w:before="120" w:after="120"/>
        <w:ind w:firstLine="720"/>
        <w:jc w:val="both"/>
        <w:rPr>
          <w:rFonts w:cstheme="minorHAnsi"/>
          <w:sz w:val="24"/>
          <w:szCs w:val="24"/>
        </w:rPr>
      </w:pPr>
      <w:r w:rsidRPr="00156ED1">
        <w:rPr>
          <w:rFonts w:cstheme="minorHAnsi"/>
          <w:sz w:val="24"/>
          <w:szCs w:val="24"/>
        </w:rPr>
        <w:t>In the Low carbon price trajectories, global biochar demand ranges between 66 and 776 Mt by the peak-year of 2095. This range goes from a scenario with an application rate of 10 t/ha, default yields and BECCS availability, to one with 20 t/ha, increased yields and BECCS unavailability.  When BECCS are available, doubling application rates increases biochar demand by 36 and 89% for scenarios with default and increased yields, respectively, by 2095. Modeling yield improvements increases biochar demand by 462 and 679% in scenarios with 10 and 20 t/ha, respectively, and with BECCS availability by the same year. Eliminating BECCS from the model allows for biochar demand to grow throughout the century, and by 2100 demand for this organic matter reaches a maximum of 839 Mt in the scenario with increased yields and an application rate of 20 t/ha. Interestingly, when BECCS are unavailable the change in application rate has a larger impact than modeling increased yields: doubling application rates increases biochar demand by 161 (default yields) and 110% (increased yields), whereas modeling yield improvements increases demand by 114 (10 t/ha) and 72% (20 t/ha) by 2095 (</w:t>
      </w:r>
      <w:r w:rsidR="006B1DD1">
        <w:rPr>
          <w:rFonts w:cstheme="minorHAnsi"/>
          <w:sz w:val="24"/>
          <w:szCs w:val="24"/>
        </w:rPr>
        <w:t xml:space="preserve">manuscript </w:t>
      </w:r>
      <w:r w:rsidRPr="00156ED1">
        <w:rPr>
          <w:rFonts w:cstheme="minorHAnsi"/>
          <w:sz w:val="24"/>
          <w:szCs w:val="24"/>
        </w:rPr>
        <w:t>Fig. 2a, top right).</w:t>
      </w:r>
    </w:p>
    <w:p w14:paraId="7F0B755B" w14:textId="1A54DBE3" w:rsidR="00A55D00" w:rsidRPr="00156ED1" w:rsidRDefault="00A55D00" w:rsidP="00A55D00">
      <w:pPr>
        <w:spacing w:before="120" w:after="120"/>
        <w:ind w:firstLine="720"/>
        <w:jc w:val="both"/>
        <w:rPr>
          <w:rFonts w:cstheme="minorHAnsi"/>
          <w:sz w:val="24"/>
          <w:szCs w:val="24"/>
        </w:rPr>
      </w:pPr>
      <w:r w:rsidRPr="00156ED1">
        <w:rPr>
          <w:rFonts w:cstheme="minorHAnsi"/>
          <w:sz w:val="24"/>
          <w:szCs w:val="24"/>
        </w:rPr>
        <w:t xml:space="preserve">By its peak-year of 2080, in the </w:t>
      </w:r>
      <w:proofErr w:type="gramStart"/>
      <w:r w:rsidRPr="00156ED1">
        <w:rPr>
          <w:rFonts w:cstheme="minorHAnsi"/>
          <w:sz w:val="24"/>
          <w:szCs w:val="24"/>
        </w:rPr>
        <w:t>Medium</w:t>
      </w:r>
      <w:proofErr w:type="gramEnd"/>
      <w:r w:rsidRPr="00156ED1">
        <w:rPr>
          <w:rFonts w:cstheme="minorHAnsi"/>
          <w:sz w:val="24"/>
          <w:szCs w:val="24"/>
        </w:rPr>
        <w:t xml:space="preserve"> carbon price scenarios biochar demand ranges between 68 and 699 Mt. In scenarios with BECCS availability, doubling application rates increases demand by 38 and 84% in pathways with default and increased yields, respectively. In the scenario with an application rate of 10 t/ha, modeling increased yields leads to a 388% higher biochar demand, whereas in the scenario with 20 t/ha the increase is 541%. In scenarios where BECCS are unavailable, increasing application rates from 10 to 20 t/ha increases biochar demand by 162 and 106%, respectively, whereas modeling yield improvements leads to an increase in biochar demand of 98% (10 t/ha) and 56% (20 t/ha) (</w:t>
      </w:r>
      <w:r w:rsidR="006B1DD1">
        <w:rPr>
          <w:rFonts w:cstheme="minorHAnsi"/>
          <w:sz w:val="24"/>
          <w:szCs w:val="24"/>
        </w:rPr>
        <w:t xml:space="preserve">manuscript </w:t>
      </w:r>
      <w:r w:rsidRPr="00156ED1">
        <w:rPr>
          <w:rFonts w:cstheme="minorHAnsi"/>
          <w:sz w:val="24"/>
          <w:szCs w:val="24"/>
        </w:rPr>
        <w:t>Fig. 2a, bottom left).</w:t>
      </w:r>
    </w:p>
    <w:p w14:paraId="54A00493" w14:textId="448452A1" w:rsidR="000652A5" w:rsidRPr="00156ED1" w:rsidRDefault="00A55D00" w:rsidP="00156ED1">
      <w:pPr>
        <w:spacing w:before="120" w:after="120"/>
        <w:ind w:firstLine="720"/>
        <w:jc w:val="both"/>
        <w:rPr>
          <w:rFonts w:cstheme="minorHAnsi"/>
          <w:sz w:val="24"/>
          <w:szCs w:val="24"/>
        </w:rPr>
      </w:pPr>
      <w:r w:rsidRPr="00156ED1">
        <w:rPr>
          <w:rFonts w:cstheme="minorHAnsi"/>
          <w:sz w:val="24"/>
          <w:szCs w:val="24"/>
        </w:rPr>
        <w:t>In the High carbon price scenarios with BECCS global biochar demand ranges from 74 to 465 Mt by 2065, the peak-year. In scenarios with BECCS availability, doubling application rates increases biochar demand by 52 and 78% in scenarios with default and increased yields, respectively, by 2065. By the same year, modeling yield improvements leads to a biochar increase of 253 (10 t/ha) and 319% (20 t/ha). By 2100, when BECCS are unavailable, doubling application rates increases biochar demand by 127 (default yields) and 115% (increased yields), whereas the increase caused by modeling yield improvements is 24 (10 t/ha) and 20% (20 t/ha) (</w:t>
      </w:r>
      <w:r w:rsidR="006B1DD1">
        <w:rPr>
          <w:rFonts w:cstheme="minorHAnsi"/>
          <w:sz w:val="24"/>
          <w:szCs w:val="24"/>
        </w:rPr>
        <w:t xml:space="preserve">manuscript </w:t>
      </w:r>
      <w:r w:rsidRPr="00156ED1">
        <w:rPr>
          <w:rFonts w:cstheme="minorHAnsi"/>
          <w:sz w:val="24"/>
          <w:szCs w:val="24"/>
        </w:rPr>
        <w:t xml:space="preserve">Fig. </w:t>
      </w:r>
      <w:r w:rsidR="00A0270E">
        <w:rPr>
          <w:rFonts w:cstheme="minorHAnsi"/>
          <w:sz w:val="24"/>
          <w:szCs w:val="24"/>
        </w:rPr>
        <w:t>2</w:t>
      </w:r>
      <w:r w:rsidRPr="00156ED1">
        <w:rPr>
          <w:rFonts w:cstheme="minorHAnsi"/>
          <w:sz w:val="24"/>
          <w:szCs w:val="24"/>
        </w:rPr>
        <w:t>a, bottom right).</w:t>
      </w:r>
    </w:p>
    <w:p w14:paraId="580AF9F0" w14:textId="099F9B87" w:rsidR="004837FC" w:rsidRPr="00156ED1" w:rsidRDefault="003F4801" w:rsidP="00B92BD7">
      <w:pPr>
        <w:pStyle w:val="Subtitle"/>
        <w:ind w:left="0" w:firstLine="0"/>
        <w:rPr>
          <w:rFonts w:asciiTheme="minorHAnsi" w:hAnsiTheme="minorHAnsi" w:cstheme="minorHAnsi"/>
          <w:sz w:val="28"/>
          <w:szCs w:val="28"/>
        </w:rPr>
      </w:pPr>
      <w:r w:rsidRPr="00156ED1">
        <w:rPr>
          <w:rFonts w:asciiTheme="minorHAnsi" w:hAnsiTheme="minorHAnsi" w:cstheme="minorHAnsi"/>
          <w:sz w:val="28"/>
          <w:szCs w:val="28"/>
        </w:rPr>
        <w:lastRenderedPageBreak/>
        <w:t xml:space="preserve">Supplementary Material </w:t>
      </w:r>
      <w:r w:rsidR="000652A5" w:rsidRPr="00156ED1">
        <w:rPr>
          <w:rFonts w:asciiTheme="minorHAnsi" w:hAnsiTheme="minorHAnsi" w:cstheme="minorHAnsi"/>
          <w:sz w:val="28"/>
          <w:szCs w:val="28"/>
        </w:rPr>
        <w:t>7</w:t>
      </w:r>
      <w:r w:rsidRPr="00156ED1">
        <w:rPr>
          <w:rFonts w:asciiTheme="minorHAnsi" w:hAnsiTheme="minorHAnsi" w:cstheme="minorHAnsi"/>
          <w:sz w:val="28"/>
          <w:szCs w:val="28"/>
        </w:rPr>
        <w:t xml:space="preserve"> (SM</w:t>
      </w:r>
      <w:r w:rsidR="000652A5" w:rsidRPr="00156ED1">
        <w:rPr>
          <w:rFonts w:asciiTheme="minorHAnsi" w:hAnsiTheme="minorHAnsi" w:cstheme="minorHAnsi"/>
          <w:sz w:val="28"/>
          <w:szCs w:val="28"/>
        </w:rPr>
        <w:t>7</w:t>
      </w:r>
      <w:r w:rsidRPr="00156ED1">
        <w:rPr>
          <w:rFonts w:asciiTheme="minorHAnsi" w:hAnsiTheme="minorHAnsi" w:cstheme="minorHAnsi"/>
          <w:sz w:val="28"/>
          <w:szCs w:val="28"/>
        </w:rPr>
        <w:t xml:space="preserve">) – </w:t>
      </w:r>
      <w:r w:rsidR="004837FC" w:rsidRPr="00156ED1">
        <w:rPr>
          <w:rFonts w:asciiTheme="minorHAnsi" w:hAnsiTheme="minorHAnsi" w:cstheme="minorHAnsi"/>
          <w:sz w:val="28"/>
          <w:szCs w:val="28"/>
        </w:rPr>
        <w:t>Putting Biochar in the Biomass Context</w:t>
      </w:r>
    </w:p>
    <w:p w14:paraId="1813D46F" w14:textId="5DFAB711" w:rsidR="00824711" w:rsidRPr="00156ED1" w:rsidRDefault="004837FC" w:rsidP="00C918DC">
      <w:pPr>
        <w:spacing w:before="120" w:after="120"/>
        <w:ind w:firstLine="720"/>
        <w:jc w:val="both"/>
        <w:rPr>
          <w:rFonts w:cstheme="minorHAnsi"/>
          <w:sz w:val="24"/>
          <w:szCs w:val="24"/>
        </w:rPr>
      </w:pPr>
      <w:r w:rsidRPr="00156ED1">
        <w:rPr>
          <w:rFonts w:cstheme="minorHAnsi"/>
          <w:sz w:val="24"/>
          <w:szCs w:val="24"/>
        </w:rPr>
        <w:t>Even though biochar deployment allows for a decrease in CO</w:t>
      </w:r>
      <w:r w:rsidRPr="00156ED1">
        <w:rPr>
          <w:rFonts w:cstheme="minorHAnsi"/>
          <w:sz w:val="24"/>
          <w:szCs w:val="24"/>
          <w:vertAlign w:val="subscript"/>
        </w:rPr>
        <w:t>2</w:t>
      </w:r>
      <w:r w:rsidRPr="00156ED1">
        <w:rPr>
          <w:rFonts w:cstheme="minorHAnsi"/>
          <w:sz w:val="24"/>
          <w:szCs w:val="24"/>
        </w:rPr>
        <w:t xml:space="preserve"> emissions and in climate variables, such as temperature and global warming potential</w:t>
      </w:r>
      <w:r w:rsidR="00A7049A">
        <w:rPr>
          <w:rFonts w:cstheme="minorHAnsi"/>
          <w:sz w:val="24"/>
          <w:szCs w:val="24"/>
        </w:rPr>
        <w:t xml:space="preserve"> (SM4)</w:t>
      </w:r>
      <w:r w:rsidRPr="00156ED1">
        <w:rPr>
          <w:rFonts w:cstheme="minorHAnsi"/>
          <w:sz w:val="24"/>
          <w:szCs w:val="24"/>
        </w:rPr>
        <w:t>, biochar demand for biomass is within the boundaries of other sectors (Fig</w:t>
      </w:r>
      <w:r w:rsidR="00B0009E" w:rsidRPr="00156ED1">
        <w:rPr>
          <w:rFonts w:cstheme="minorHAnsi"/>
          <w:sz w:val="24"/>
          <w:szCs w:val="24"/>
        </w:rPr>
        <w:t xml:space="preserve">. </w:t>
      </w:r>
      <w:r w:rsidR="00E80EEC" w:rsidRPr="00156ED1">
        <w:rPr>
          <w:rFonts w:cstheme="minorHAnsi"/>
          <w:sz w:val="24"/>
          <w:szCs w:val="24"/>
        </w:rPr>
        <w:t>SM</w:t>
      </w:r>
      <w:r w:rsidR="00C918DC">
        <w:rPr>
          <w:rFonts w:cstheme="minorHAnsi"/>
          <w:sz w:val="24"/>
          <w:szCs w:val="24"/>
        </w:rPr>
        <w:t>4</w:t>
      </w:r>
      <w:r w:rsidR="00E80EEC" w:rsidRPr="00156ED1">
        <w:rPr>
          <w:rFonts w:cstheme="minorHAnsi"/>
          <w:sz w:val="24"/>
          <w:szCs w:val="24"/>
        </w:rPr>
        <w:t xml:space="preserve"> and </w:t>
      </w:r>
      <w:r w:rsidR="006E04A3" w:rsidRPr="00156ED1">
        <w:rPr>
          <w:rFonts w:cstheme="minorHAnsi"/>
          <w:sz w:val="24"/>
          <w:szCs w:val="24"/>
        </w:rPr>
        <w:t>SM</w:t>
      </w:r>
      <w:r w:rsidR="00C918DC">
        <w:rPr>
          <w:rFonts w:cstheme="minorHAnsi"/>
          <w:sz w:val="24"/>
          <w:szCs w:val="24"/>
        </w:rPr>
        <w:t>5</w:t>
      </w:r>
      <w:r w:rsidRPr="00156ED1">
        <w:rPr>
          <w:rFonts w:cstheme="minorHAnsi"/>
          <w:sz w:val="24"/>
          <w:szCs w:val="24"/>
        </w:rPr>
        <w:t>). Total global biomass consumption and production increases in all scenarios compared to Reference, with higher carbon prices resulting in higher biomass values in the medium term (Fig</w:t>
      </w:r>
      <w:r w:rsidR="00B0009E" w:rsidRPr="00156ED1">
        <w:rPr>
          <w:rFonts w:cstheme="minorHAnsi"/>
          <w:sz w:val="24"/>
          <w:szCs w:val="24"/>
        </w:rPr>
        <w:t xml:space="preserve">. </w:t>
      </w:r>
      <w:r w:rsidR="006E04A3" w:rsidRPr="00156ED1">
        <w:rPr>
          <w:rFonts w:cstheme="minorHAnsi"/>
          <w:sz w:val="24"/>
          <w:szCs w:val="24"/>
        </w:rPr>
        <w:t>SM</w:t>
      </w:r>
      <w:r w:rsidR="00C918DC">
        <w:rPr>
          <w:rFonts w:cstheme="minorHAnsi"/>
          <w:sz w:val="24"/>
          <w:szCs w:val="24"/>
        </w:rPr>
        <w:t>6</w:t>
      </w:r>
      <w:r w:rsidRPr="00156ED1">
        <w:rPr>
          <w:rFonts w:cstheme="minorHAnsi"/>
          <w:sz w:val="24"/>
          <w:szCs w:val="24"/>
        </w:rPr>
        <w:t xml:space="preserve">). Global biomass consumption and production in 2015 is around 26 EJ (this consists of purpose-grown lignocellulosic biomass, crop residues and </w:t>
      </w:r>
      <w:r w:rsidR="00A4211E" w:rsidRPr="00156ED1">
        <w:rPr>
          <w:rFonts w:cstheme="minorHAnsi"/>
          <w:sz w:val="24"/>
          <w:szCs w:val="24"/>
        </w:rPr>
        <w:t>municipal solid waste</w:t>
      </w:r>
      <w:r w:rsidR="00B0009E" w:rsidRPr="00156ED1">
        <w:rPr>
          <w:rFonts w:cstheme="minorHAnsi"/>
          <w:sz w:val="24"/>
          <w:szCs w:val="24"/>
        </w:rPr>
        <w:t xml:space="preserve">, Fig. </w:t>
      </w:r>
      <w:r w:rsidR="00A4211E" w:rsidRPr="00156ED1">
        <w:rPr>
          <w:rFonts w:cstheme="minorHAnsi"/>
          <w:sz w:val="24"/>
          <w:szCs w:val="24"/>
        </w:rPr>
        <w:t>SM</w:t>
      </w:r>
      <w:r w:rsidR="00C918DC">
        <w:rPr>
          <w:rFonts w:cstheme="minorHAnsi"/>
          <w:sz w:val="24"/>
          <w:szCs w:val="24"/>
        </w:rPr>
        <w:t>7</w:t>
      </w:r>
      <w:r w:rsidRPr="00156ED1">
        <w:rPr>
          <w:rFonts w:cstheme="minorHAnsi"/>
          <w:sz w:val="24"/>
          <w:szCs w:val="24"/>
        </w:rPr>
        <w:t xml:space="preserve">). In the long-term biomass demand peaks on different periods depending on the carbon price trajectory, and then slowly </w:t>
      </w:r>
      <w:r w:rsidR="00A4211E" w:rsidRPr="00156ED1">
        <w:rPr>
          <w:rFonts w:cstheme="minorHAnsi"/>
          <w:sz w:val="24"/>
          <w:szCs w:val="24"/>
        </w:rPr>
        <w:t>decreases</w:t>
      </w:r>
      <w:r w:rsidRPr="00156ED1">
        <w:rPr>
          <w:rFonts w:cstheme="minorHAnsi"/>
          <w:sz w:val="24"/>
          <w:szCs w:val="24"/>
        </w:rPr>
        <w:t xml:space="preserve">, product of the assumption on how much can be spent on negative emissions on GCAM (as explained </w:t>
      </w:r>
      <w:r w:rsidR="00A4211E" w:rsidRPr="00156ED1">
        <w:rPr>
          <w:rFonts w:cstheme="minorHAnsi"/>
          <w:sz w:val="24"/>
          <w:szCs w:val="24"/>
        </w:rPr>
        <w:t>in SM3</w:t>
      </w:r>
      <w:r w:rsidRPr="00156ED1">
        <w:rPr>
          <w:rFonts w:cstheme="minorHAnsi"/>
          <w:sz w:val="24"/>
          <w:szCs w:val="24"/>
        </w:rPr>
        <w:t>). By 2100, in the scenarios with a Reference carbon price trajectory, global biomass consumption never increases 1</w:t>
      </w:r>
      <w:r w:rsidR="00D31ACC" w:rsidRPr="00156ED1">
        <w:rPr>
          <w:rFonts w:cstheme="minorHAnsi"/>
          <w:sz w:val="24"/>
          <w:szCs w:val="24"/>
        </w:rPr>
        <w:t>12</w:t>
      </w:r>
      <w:r w:rsidRPr="00156ED1">
        <w:rPr>
          <w:rFonts w:cstheme="minorHAnsi"/>
          <w:sz w:val="24"/>
          <w:szCs w:val="24"/>
        </w:rPr>
        <w:t xml:space="preserve"> EJ, compared to between 263-3</w:t>
      </w:r>
      <w:r w:rsidR="00D31ACC" w:rsidRPr="00156ED1">
        <w:rPr>
          <w:rFonts w:cstheme="minorHAnsi"/>
          <w:sz w:val="24"/>
          <w:szCs w:val="24"/>
        </w:rPr>
        <w:t>49</w:t>
      </w:r>
      <w:r w:rsidRPr="00156ED1">
        <w:rPr>
          <w:rFonts w:cstheme="minorHAnsi"/>
          <w:sz w:val="24"/>
          <w:szCs w:val="24"/>
        </w:rPr>
        <w:t xml:space="preserve"> EJ, 278-3</w:t>
      </w:r>
      <w:r w:rsidR="00D31ACC" w:rsidRPr="00156ED1">
        <w:rPr>
          <w:rFonts w:cstheme="minorHAnsi"/>
          <w:sz w:val="24"/>
          <w:szCs w:val="24"/>
        </w:rPr>
        <w:t>71</w:t>
      </w:r>
      <w:r w:rsidRPr="00156ED1">
        <w:rPr>
          <w:rFonts w:cstheme="minorHAnsi"/>
          <w:sz w:val="24"/>
          <w:szCs w:val="24"/>
        </w:rPr>
        <w:t xml:space="preserve"> EJ, and 1</w:t>
      </w:r>
      <w:r w:rsidR="00D31ACC" w:rsidRPr="00156ED1">
        <w:rPr>
          <w:rFonts w:cstheme="minorHAnsi"/>
          <w:sz w:val="24"/>
          <w:szCs w:val="24"/>
        </w:rPr>
        <w:t>33</w:t>
      </w:r>
      <w:r w:rsidRPr="00156ED1">
        <w:rPr>
          <w:rFonts w:cstheme="minorHAnsi"/>
          <w:sz w:val="24"/>
          <w:szCs w:val="24"/>
        </w:rPr>
        <w:t>-2</w:t>
      </w:r>
      <w:r w:rsidR="00D31ACC" w:rsidRPr="00156ED1">
        <w:rPr>
          <w:rFonts w:cstheme="minorHAnsi"/>
          <w:sz w:val="24"/>
          <w:szCs w:val="24"/>
        </w:rPr>
        <w:t>36</w:t>
      </w:r>
      <w:r w:rsidRPr="00156ED1">
        <w:rPr>
          <w:rFonts w:cstheme="minorHAnsi"/>
          <w:sz w:val="24"/>
          <w:szCs w:val="24"/>
        </w:rPr>
        <w:t xml:space="preserve"> EJ in a Low, </w:t>
      </w:r>
      <w:r w:rsidR="0073257A" w:rsidRPr="00156ED1">
        <w:rPr>
          <w:rFonts w:cstheme="minorHAnsi"/>
          <w:sz w:val="24"/>
          <w:szCs w:val="24"/>
        </w:rPr>
        <w:t>Medium,</w:t>
      </w:r>
      <w:r w:rsidRPr="00156ED1">
        <w:rPr>
          <w:rFonts w:cstheme="minorHAnsi"/>
          <w:sz w:val="24"/>
          <w:szCs w:val="24"/>
        </w:rPr>
        <w:t xml:space="preserve"> and High carbon price trajectory, respectively.</w:t>
      </w:r>
    </w:p>
    <w:p w14:paraId="53670F77" w14:textId="77777777" w:rsidR="00A769C2" w:rsidRPr="00156ED1" w:rsidRDefault="00A769C2" w:rsidP="001711D2">
      <w:pPr>
        <w:spacing w:before="120" w:after="120"/>
        <w:jc w:val="both"/>
        <w:rPr>
          <w:rFonts w:cstheme="minorHAnsi"/>
          <w:sz w:val="24"/>
          <w:szCs w:val="24"/>
        </w:rPr>
      </w:pPr>
    </w:p>
    <w:p w14:paraId="7C2449A1" w14:textId="3233DB28" w:rsidR="00A769C2" w:rsidRPr="00C918DC" w:rsidRDefault="00A769C2" w:rsidP="00E80EEC">
      <w:pPr>
        <w:spacing w:before="120" w:after="120"/>
        <w:jc w:val="center"/>
        <w:rPr>
          <w:rFonts w:cstheme="minorHAnsi"/>
          <w:sz w:val="24"/>
          <w:szCs w:val="24"/>
        </w:rPr>
      </w:pPr>
      <w:r w:rsidRPr="00C918DC">
        <w:rPr>
          <w:rFonts w:cstheme="minorHAnsi"/>
          <w:noProof/>
          <w:sz w:val="24"/>
          <w:szCs w:val="24"/>
        </w:rPr>
        <w:drawing>
          <wp:inline distT="0" distB="0" distL="0" distR="0" wp14:anchorId="0A6B4907" wp14:editId="316CEABC">
            <wp:extent cx="4359859" cy="4158169"/>
            <wp:effectExtent l="0" t="0" r="3175" b="0"/>
            <wp:docPr id="12" name="Picture 1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histogram&#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4407788" cy="4203881"/>
                    </a:xfrm>
                    <a:prstGeom prst="rect">
                      <a:avLst/>
                    </a:prstGeom>
                  </pic:spPr>
                </pic:pic>
              </a:graphicData>
            </a:graphic>
          </wp:inline>
        </w:drawing>
      </w:r>
    </w:p>
    <w:p w14:paraId="4DC60B39" w14:textId="3A76000B" w:rsidR="003D1C18" w:rsidRPr="00114A1F" w:rsidRDefault="00741776" w:rsidP="00114A1F">
      <w:pPr>
        <w:widowControl w:val="0"/>
        <w:spacing w:before="120" w:after="120"/>
        <w:jc w:val="both"/>
        <w:rPr>
          <w:rFonts w:cstheme="minorHAnsi"/>
          <w:sz w:val="20"/>
          <w:szCs w:val="20"/>
        </w:rPr>
      </w:pPr>
      <w:r w:rsidRPr="00C918DC">
        <w:rPr>
          <w:rFonts w:cstheme="minorHAnsi"/>
          <w:b/>
          <w:bCs/>
          <w:sz w:val="20"/>
          <w:szCs w:val="20"/>
        </w:rPr>
        <w:t>Figure SM</w:t>
      </w:r>
      <w:r w:rsidR="00BA70E2" w:rsidRPr="00C918DC">
        <w:rPr>
          <w:rFonts w:cstheme="minorHAnsi"/>
          <w:b/>
          <w:bCs/>
          <w:sz w:val="20"/>
          <w:szCs w:val="20"/>
        </w:rPr>
        <w:t>4</w:t>
      </w:r>
      <w:r w:rsidRPr="00C918DC">
        <w:rPr>
          <w:rFonts w:cstheme="minorHAnsi"/>
          <w:b/>
          <w:bCs/>
          <w:sz w:val="20"/>
          <w:szCs w:val="20"/>
        </w:rPr>
        <w:t xml:space="preserve"> | </w:t>
      </w:r>
      <w:r w:rsidRPr="00C918DC">
        <w:rPr>
          <w:rFonts w:cstheme="minorHAnsi"/>
          <w:sz w:val="20"/>
          <w:szCs w:val="20"/>
        </w:rPr>
        <w:t>Percentage</w:t>
      </w:r>
      <w:r w:rsidRPr="00156ED1">
        <w:rPr>
          <w:rFonts w:cstheme="minorHAnsi"/>
          <w:sz w:val="20"/>
          <w:szCs w:val="20"/>
        </w:rPr>
        <w:t xml:space="preserve"> of biomass </w:t>
      </w:r>
      <w:r w:rsidR="00160104" w:rsidRPr="00156ED1">
        <w:rPr>
          <w:rFonts w:cstheme="minorHAnsi"/>
          <w:sz w:val="20"/>
          <w:szCs w:val="20"/>
        </w:rPr>
        <w:t xml:space="preserve">going into </w:t>
      </w:r>
      <w:r w:rsidR="00E80EEC" w:rsidRPr="00156ED1">
        <w:rPr>
          <w:rFonts w:cstheme="minorHAnsi"/>
          <w:sz w:val="20"/>
          <w:szCs w:val="20"/>
        </w:rPr>
        <w:t>biochar</w:t>
      </w:r>
      <w:r w:rsidR="003B06D1" w:rsidRPr="00156ED1">
        <w:rPr>
          <w:rFonts w:cstheme="minorHAnsi"/>
          <w:sz w:val="20"/>
          <w:szCs w:val="20"/>
        </w:rPr>
        <w:t xml:space="preserve"> </w:t>
      </w:r>
      <w:r w:rsidR="00E80EEC" w:rsidRPr="00156ED1">
        <w:rPr>
          <w:rFonts w:cstheme="minorHAnsi"/>
          <w:sz w:val="20"/>
          <w:szCs w:val="20"/>
        </w:rPr>
        <w:t>production</w:t>
      </w:r>
      <w:r w:rsidRPr="00156ED1">
        <w:rPr>
          <w:rFonts w:cstheme="minorHAnsi"/>
          <w:sz w:val="20"/>
          <w:szCs w:val="20"/>
        </w:rPr>
        <w:t xml:space="preserve"> based on different carbon price trajectories: (</w:t>
      </w:r>
      <w:r w:rsidRPr="00156ED1">
        <w:rPr>
          <w:rFonts w:cstheme="minorHAnsi"/>
          <w:b/>
          <w:bCs/>
          <w:sz w:val="20"/>
          <w:szCs w:val="20"/>
        </w:rPr>
        <w:t>a</w:t>
      </w:r>
      <w:r w:rsidRPr="00156ED1">
        <w:rPr>
          <w:rFonts w:cstheme="minorHAnsi"/>
          <w:sz w:val="20"/>
          <w:szCs w:val="20"/>
        </w:rPr>
        <w:t>) Reference, (</w:t>
      </w:r>
      <w:r w:rsidRPr="00156ED1">
        <w:rPr>
          <w:rFonts w:cstheme="minorHAnsi"/>
          <w:b/>
          <w:bCs/>
          <w:sz w:val="20"/>
          <w:szCs w:val="20"/>
        </w:rPr>
        <w:t>b</w:t>
      </w:r>
      <w:r w:rsidRPr="00156ED1">
        <w:rPr>
          <w:rFonts w:cstheme="minorHAnsi"/>
          <w:sz w:val="20"/>
          <w:szCs w:val="20"/>
        </w:rPr>
        <w:t>) Low, (</w:t>
      </w:r>
      <w:r w:rsidRPr="00156ED1">
        <w:rPr>
          <w:rFonts w:cstheme="minorHAnsi"/>
          <w:b/>
          <w:bCs/>
          <w:sz w:val="20"/>
          <w:szCs w:val="20"/>
        </w:rPr>
        <w:t>c</w:t>
      </w:r>
      <w:r w:rsidRPr="00156ED1">
        <w:rPr>
          <w:rFonts w:cstheme="minorHAnsi"/>
          <w:sz w:val="20"/>
          <w:szCs w:val="20"/>
        </w:rPr>
        <w:t>) Medium, and (</w:t>
      </w:r>
      <w:r w:rsidRPr="00156ED1">
        <w:rPr>
          <w:rFonts w:cstheme="minorHAnsi"/>
          <w:b/>
          <w:bCs/>
          <w:sz w:val="20"/>
          <w:szCs w:val="20"/>
        </w:rPr>
        <w:t>d</w:t>
      </w:r>
      <w:r w:rsidRPr="00156ED1">
        <w:rPr>
          <w:rFonts w:cstheme="minorHAnsi"/>
          <w:sz w:val="20"/>
          <w:szCs w:val="20"/>
        </w:rPr>
        <w:t xml:space="preserve">) High. Solid lines represent scenarios where BECCS is available, whereas dotted and shaded lines represent scenarios where BECCS is unavailable. Circle </w:t>
      </w:r>
      <w:proofErr w:type="spellStart"/>
      <w:r w:rsidRPr="00156ED1">
        <w:rPr>
          <w:rFonts w:cstheme="minorHAnsi"/>
          <w:sz w:val="20"/>
          <w:szCs w:val="20"/>
        </w:rPr>
        <w:t>geoms</w:t>
      </w:r>
      <w:proofErr w:type="spellEnd"/>
      <w:r w:rsidRPr="00156ED1">
        <w:rPr>
          <w:rFonts w:cstheme="minorHAnsi"/>
          <w:sz w:val="20"/>
          <w:szCs w:val="20"/>
        </w:rPr>
        <w:t xml:space="preserve"> represent scenarios with default yields and application rates of either 10 t/ha (white circle) or 20 t/ha (black circle). Increased yields are represented by triangle </w:t>
      </w:r>
      <w:proofErr w:type="spellStart"/>
      <w:r w:rsidRPr="00156ED1">
        <w:rPr>
          <w:rFonts w:cstheme="minorHAnsi"/>
          <w:sz w:val="20"/>
          <w:szCs w:val="20"/>
        </w:rPr>
        <w:t>geoms</w:t>
      </w:r>
      <w:proofErr w:type="spellEnd"/>
      <w:r w:rsidRPr="00156ED1">
        <w:rPr>
          <w:rFonts w:cstheme="minorHAnsi"/>
          <w:sz w:val="20"/>
          <w:szCs w:val="20"/>
        </w:rPr>
        <w:t>, with 10 t/ha (white triangle) and 20 t/ha (black triangle).</w:t>
      </w:r>
    </w:p>
    <w:p w14:paraId="2D1903E7" w14:textId="3EFC6061" w:rsidR="003D1C18" w:rsidRPr="00156ED1" w:rsidRDefault="005D5D38" w:rsidP="00766418">
      <w:pPr>
        <w:spacing w:before="120" w:after="120"/>
        <w:rPr>
          <w:rFonts w:cstheme="minorHAnsi"/>
          <w:sz w:val="24"/>
          <w:szCs w:val="24"/>
        </w:rPr>
      </w:pPr>
      <w:r w:rsidRPr="00156ED1">
        <w:rPr>
          <w:rFonts w:cstheme="minorHAnsi"/>
          <w:noProof/>
          <w:sz w:val="24"/>
          <w:szCs w:val="24"/>
        </w:rPr>
        <w:lastRenderedPageBreak/>
        <w:drawing>
          <wp:inline distT="0" distB="0" distL="0" distR="0" wp14:anchorId="730A422D" wp14:editId="2BB62860">
            <wp:extent cx="5943600" cy="3663315"/>
            <wp:effectExtent l="0" t="0" r="0" b="0"/>
            <wp:docPr id="5" name="Picture 5" descr="Chart,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polygon&#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943600" cy="3663315"/>
                    </a:xfrm>
                    <a:prstGeom prst="rect">
                      <a:avLst/>
                    </a:prstGeom>
                  </pic:spPr>
                </pic:pic>
              </a:graphicData>
            </a:graphic>
          </wp:inline>
        </w:drawing>
      </w:r>
    </w:p>
    <w:p w14:paraId="0F3BAFCC" w14:textId="03803174" w:rsidR="005D5D38" w:rsidRPr="00156ED1" w:rsidRDefault="00A62690" w:rsidP="005D5D38">
      <w:pPr>
        <w:jc w:val="both"/>
        <w:rPr>
          <w:rFonts w:cstheme="minorHAnsi"/>
          <w:sz w:val="20"/>
          <w:szCs w:val="20"/>
        </w:rPr>
      </w:pPr>
      <w:r w:rsidRPr="00156ED1">
        <w:rPr>
          <w:rFonts w:cstheme="minorHAnsi"/>
          <w:b/>
          <w:bCs/>
          <w:sz w:val="20"/>
          <w:szCs w:val="20"/>
        </w:rPr>
        <w:t xml:space="preserve">Figure </w:t>
      </w:r>
      <w:r w:rsidR="0096322E" w:rsidRPr="00156ED1">
        <w:rPr>
          <w:rFonts w:cstheme="minorHAnsi"/>
          <w:b/>
          <w:bCs/>
          <w:sz w:val="20"/>
          <w:szCs w:val="20"/>
        </w:rPr>
        <w:t>SM</w:t>
      </w:r>
      <w:r w:rsidR="00BA70E2" w:rsidRPr="00156ED1">
        <w:rPr>
          <w:rFonts w:cstheme="minorHAnsi"/>
          <w:b/>
          <w:bCs/>
          <w:sz w:val="20"/>
          <w:szCs w:val="20"/>
        </w:rPr>
        <w:t>5</w:t>
      </w:r>
      <w:r w:rsidRPr="00156ED1">
        <w:rPr>
          <w:rFonts w:cstheme="minorHAnsi"/>
          <w:b/>
          <w:bCs/>
          <w:sz w:val="20"/>
          <w:szCs w:val="20"/>
        </w:rPr>
        <w:t xml:space="preserve"> |</w:t>
      </w:r>
      <w:r w:rsidR="0058462E" w:rsidRPr="00156ED1">
        <w:rPr>
          <w:rFonts w:cstheme="minorHAnsi"/>
          <w:sz w:val="20"/>
          <w:szCs w:val="20"/>
        </w:rPr>
        <w:t>Global biomass consumption by sector in each scenario</w:t>
      </w:r>
      <w:r w:rsidR="005D5D38" w:rsidRPr="00156ED1">
        <w:rPr>
          <w:rFonts w:cstheme="minorHAnsi"/>
          <w:sz w:val="20"/>
          <w:szCs w:val="20"/>
        </w:rPr>
        <w:t>. Each facet represents one scenario, each column represents a combination of carbon price and BECCS availability (</w:t>
      </w:r>
      <w:r w:rsidR="0073257A" w:rsidRPr="00156ED1">
        <w:rPr>
          <w:rFonts w:cstheme="minorHAnsi"/>
          <w:i/>
          <w:iCs/>
          <w:sz w:val="20"/>
          <w:szCs w:val="20"/>
        </w:rPr>
        <w:t>e.g.,</w:t>
      </w:r>
      <w:r w:rsidR="005D5D38" w:rsidRPr="00156ED1">
        <w:rPr>
          <w:rFonts w:cstheme="minorHAnsi"/>
          <w:sz w:val="20"/>
          <w:szCs w:val="20"/>
        </w:rPr>
        <w:t xml:space="preserve"> “REF</w:t>
      </w:r>
      <w:r w:rsidR="000801ED" w:rsidRPr="00156ED1">
        <w:rPr>
          <w:rFonts w:cstheme="minorHAnsi"/>
          <w:sz w:val="20"/>
          <w:szCs w:val="20"/>
        </w:rPr>
        <w:t xml:space="preserve"> &amp; BECCS</w:t>
      </w:r>
      <w:r w:rsidR="005D5D38" w:rsidRPr="00156ED1">
        <w:rPr>
          <w:rFonts w:cstheme="minorHAnsi"/>
          <w:sz w:val="20"/>
          <w:szCs w:val="20"/>
        </w:rPr>
        <w:t>”), and each row represents a combination of the application rate and yield improvements (</w:t>
      </w:r>
      <w:r w:rsidR="0073257A" w:rsidRPr="00156ED1">
        <w:rPr>
          <w:rFonts w:cstheme="minorHAnsi"/>
          <w:i/>
          <w:iCs/>
          <w:sz w:val="20"/>
          <w:szCs w:val="20"/>
        </w:rPr>
        <w:t>e.g.,</w:t>
      </w:r>
      <w:r w:rsidR="005D5D38" w:rsidRPr="00156ED1">
        <w:rPr>
          <w:rFonts w:cstheme="minorHAnsi"/>
          <w:sz w:val="20"/>
          <w:szCs w:val="20"/>
        </w:rPr>
        <w:t xml:space="preserve"> “10</w:t>
      </w:r>
      <w:r w:rsidR="000801ED" w:rsidRPr="00156ED1">
        <w:rPr>
          <w:rFonts w:cstheme="minorHAnsi"/>
          <w:sz w:val="20"/>
          <w:szCs w:val="20"/>
        </w:rPr>
        <w:t xml:space="preserve"> t/ha &amp; </w:t>
      </w:r>
      <w:r w:rsidR="005D5D38" w:rsidRPr="00156ED1">
        <w:rPr>
          <w:rFonts w:cstheme="minorHAnsi"/>
          <w:sz w:val="20"/>
          <w:szCs w:val="20"/>
        </w:rPr>
        <w:t>Default Yield</w:t>
      </w:r>
      <w:r w:rsidR="000801ED" w:rsidRPr="00156ED1">
        <w:rPr>
          <w:rFonts w:cstheme="minorHAnsi"/>
          <w:sz w:val="20"/>
          <w:szCs w:val="20"/>
        </w:rPr>
        <w:t>s</w:t>
      </w:r>
      <w:r w:rsidR="005D5D38" w:rsidRPr="00156ED1">
        <w:rPr>
          <w:rFonts w:cstheme="minorHAnsi"/>
          <w:sz w:val="20"/>
          <w:szCs w:val="20"/>
        </w:rPr>
        <w:t>”). Note that there are 32 scenarios out of 36, since the remaining 4 scenarios do not have biochar deployment.</w:t>
      </w:r>
    </w:p>
    <w:p w14:paraId="12A79ED8" w14:textId="77777777" w:rsidR="003D1C18" w:rsidRPr="00156ED1" w:rsidRDefault="003D1C18" w:rsidP="00766418">
      <w:pPr>
        <w:spacing w:before="120" w:after="120"/>
        <w:rPr>
          <w:rFonts w:cstheme="minorHAnsi"/>
          <w:sz w:val="24"/>
          <w:szCs w:val="24"/>
        </w:rPr>
      </w:pPr>
    </w:p>
    <w:p w14:paraId="67FE077C" w14:textId="1EB4B1E5" w:rsidR="0058462E" w:rsidRPr="00156ED1" w:rsidRDefault="00997A8C" w:rsidP="00766418">
      <w:pPr>
        <w:spacing w:before="120" w:after="120"/>
        <w:rPr>
          <w:rFonts w:cstheme="minorHAnsi"/>
          <w:sz w:val="24"/>
          <w:szCs w:val="24"/>
        </w:rPr>
      </w:pPr>
      <w:r w:rsidRPr="00156ED1">
        <w:rPr>
          <w:rFonts w:cstheme="minorHAnsi"/>
          <w:noProof/>
          <w:sz w:val="24"/>
          <w:szCs w:val="24"/>
        </w:rPr>
        <w:lastRenderedPageBreak/>
        <w:drawing>
          <wp:inline distT="0" distB="0" distL="0" distR="0" wp14:anchorId="3A5328F6" wp14:editId="0701C3AE">
            <wp:extent cx="5903366" cy="5136433"/>
            <wp:effectExtent l="0" t="0" r="2540" b="762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905338" cy="5138149"/>
                    </a:xfrm>
                    <a:prstGeom prst="rect">
                      <a:avLst/>
                    </a:prstGeom>
                  </pic:spPr>
                </pic:pic>
              </a:graphicData>
            </a:graphic>
          </wp:inline>
        </w:drawing>
      </w:r>
    </w:p>
    <w:p w14:paraId="15195198" w14:textId="77777777" w:rsidR="00315542" w:rsidRPr="00156ED1" w:rsidRDefault="00315542" w:rsidP="00766418">
      <w:pPr>
        <w:spacing w:before="120" w:after="120"/>
        <w:rPr>
          <w:rFonts w:cstheme="minorHAnsi"/>
          <w:sz w:val="24"/>
          <w:szCs w:val="24"/>
        </w:rPr>
      </w:pPr>
    </w:p>
    <w:p w14:paraId="0E01A34F" w14:textId="041C0484" w:rsidR="0058462E" w:rsidRPr="00156ED1" w:rsidRDefault="0058462E" w:rsidP="00997A8C">
      <w:pPr>
        <w:spacing w:before="120" w:after="120"/>
        <w:jc w:val="both"/>
        <w:rPr>
          <w:rFonts w:cstheme="minorHAnsi"/>
          <w:sz w:val="20"/>
          <w:szCs w:val="20"/>
        </w:rPr>
      </w:pPr>
      <w:r w:rsidRPr="00156ED1">
        <w:rPr>
          <w:rFonts w:cstheme="minorHAnsi"/>
          <w:b/>
          <w:bCs/>
          <w:sz w:val="20"/>
          <w:szCs w:val="20"/>
        </w:rPr>
        <w:t xml:space="preserve">Figure </w:t>
      </w:r>
      <w:r w:rsidR="0096322E" w:rsidRPr="00156ED1">
        <w:rPr>
          <w:rFonts w:cstheme="minorHAnsi"/>
          <w:b/>
          <w:bCs/>
          <w:sz w:val="20"/>
          <w:szCs w:val="20"/>
        </w:rPr>
        <w:t>SM</w:t>
      </w:r>
      <w:r w:rsidR="00BA70E2" w:rsidRPr="00156ED1">
        <w:rPr>
          <w:rFonts w:cstheme="minorHAnsi"/>
          <w:b/>
          <w:bCs/>
          <w:sz w:val="20"/>
          <w:szCs w:val="20"/>
        </w:rPr>
        <w:t>6</w:t>
      </w:r>
      <w:r w:rsidRPr="00156ED1">
        <w:rPr>
          <w:rFonts w:cstheme="minorHAnsi"/>
          <w:b/>
          <w:bCs/>
          <w:sz w:val="20"/>
          <w:szCs w:val="20"/>
        </w:rPr>
        <w:t xml:space="preserve"> |</w:t>
      </w:r>
      <w:r w:rsidRPr="00156ED1">
        <w:rPr>
          <w:rFonts w:cstheme="minorHAnsi"/>
          <w:sz w:val="20"/>
          <w:szCs w:val="20"/>
        </w:rPr>
        <w:t xml:space="preserve"> Total global biomass consumption</w:t>
      </w:r>
      <w:r w:rsidR="00997A8C" w:rsidRPr="00156ED1">
        <w:rPr>
          <w:rFonts w:cstheme="minorHAnsi"/>
          <w:sz w:val="20"/>
          <w:szCs w:val="20"/>
        </w:rPr>
        <w:t xml:space="preserve"> by scenario. Each color represents a carbon price trajectory. A darker shade represents the 4 scenarios without biochar, whereas a lighter shade represents the 32 scenarios with biochar. Solid lines represent scenarios where BECCS is available, whereas dotted and shaded lines represent scenarios where BECCS is unavailable. Square </w:t>
      </w:r>
      <w:proofErr w:type="spellStart"/>
      <w:r w:rsidR="00997A8C" w:rsidRPr="00156ED1">
        <w:rPr>
          <w:rFonts w:cstheme="minorHAnsi"/>
          <w:sz w:val="20"/>
          <w:szCs w:val="20"/>
        </w:rPr>
        <w:t>geoms</w:t>
      </w:r>
      <w:proofErr w:type="spellEnd"/>
      <w:r w:rsidR="00997A8C" w:rsidRPr="00156ED1">
        <w:rPr>
          <w:rFonts w:cstheme="minorHAnsi"/>
          <w:sz w:val="20"/>
          <w:szCs w:val="20"/>
        </w:rPr>
        <w:t xml:space="preserve"> represent scenarios without biochar, thus default yields and 0 t/ha application rates. Circle </w:t>
      </w:r>
      <w:proofErr w:type="spellStart"/>
      <w:r w:rsidR="00997A8C" w:rsidRPr="00156ED1">
        <w:rPr>
          <w:rFonts w:cstheme="minorHAnsi"/>
          <w:sz w:val="20"/>
          <w:szCs w:val="20"/>
        </w:rPr>
        <w:t>geoms</w:t>
      </w:r>
      <w:proofErr w:type="spellEnd"/>
      <w:r w:rsidR="00997A8C" w:rsidRPr="00156ED1">
        <w:rPr>
          <w:rFonts w:cstheme="minorHAnsi"/>
          <w:sz w:val="20"/>
          <w:szCs w:val="20"/>
        </w:rPr>
        <w:t xml:space="preserve"> represent scenarios with default yields and application rates of either 10 t/ha (white circle) or 20 t/ha (black circle). Increased yields are represented by triangle </w:t>
      </w:r>
      <w:proofErr w:type="spellStart"/>
      <w:r w:rsidR="00997A8C" w:rsidRPr="00156ED1">
        <w:rPr>
          <w:rFonts w:cstheme="minorHAnsi"/>
          <w:sz w:val="20"/>
          <w:szCs w:val="20"/>
        </w:rPr>
        <w:t>geoms</w:t>
      </w:r>
      <w:proofErr w:type="spellEnd"/>
      <w:r w:rsidR="00997A8C" w:rsidRPr="00156ED1">
        <w:rPr>
          <w:rFonts w:cstheme="minorHAnsi"/>
          <w:sz w:val="20"/>
          <w:szCs w:val="20"/>
        </w:rPr>
        <w:t>, with 10 t/ha (white triangle) and 20 t/ha (black triangle).</w:t>
      </w:r>
    </w:p>
    <w:p w14:paraId="7E329555" w14:textId="2093D7AD" w:rsidR="00EB0274" w:rsidRPr="00156ED1" w:rsidRDefault="00EB0274" w:rsidP="00766418">
      <w:pPr>
        <w:spacing w:before="120" w:after="120"/>
        <w:rPr>
          <w:rFonts w:cstheme="minorHAnsi"/>
          <w:sz w:val="24"/>
          <w:szCs w:val="24"/>
        </w:rPr>
      </w:pPr>
    </w:p>
    <w:p w14:paraId="62C5BB52" w14:textId="07CBBC3A" w:rsidR="003D1C18" w:rsidRPr="00156ED1" w:rsidRDefault="003D1C18" w:rsidP="00766418">
      <w:pPr>
        <w:spacing w:before="120" w:after="120"/>
        <w:rPr>
          <w:rFonts w:cstheme="minorHAnsi"/>
          <w:sz w:val="24"/>
          <w:szCs w:val="24"/>
        </w:rPr>
      </w:pPr>
    </w:p>
    <w:p w14:paraId="3DCB2A9A" w14:textId="362E1FFA" w:rsidR="00315542" w:rsidRPr="00156ED1" w:rsidRDefault="00953C25" w:rsidP="00766418">
      <w:pPr>
        <w:spacing w:before="120" w:after="120"/>
        <w:rPr>
          <w:rFonts w:cstheme="minorHAnsi"/>
          <w:noProof/>
        </w:rPr>
      </w:pPr>
      <w:r w:rsidRPr="00156ED1">
        <w:rPr>
          <w:rFonts w:cstheme="minorHAnsi"/>
          <w:noProof/>
        </w:rPr>
        <w:lastRenderedPageBreak/>
        <w:drawing>
          <wp:inline distT="0" distB="0" distL="0" distR="0" wp14:anchorId="79E74C6D" wp14:editId="4215130D">
            <wp:extent cx="5879985" cy="6726803"/>
            <wp:effectExtent l="0" t="0" r="6985" b="0"/>
            <wp:docPr id="4"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916733" cy="6768844"/>
                    </a:xfrm>
                    <a:prstGeom prst="rect">
                      <a:avLst/>
                    </a:prstGeom>
                  </pic:spPr>
                </pic:pic>
              </a:graphicData>
            </a:graphic>
          </wp:inline>
        </w:drawing>
      </w:r>
      <w:r w:rsidR="003D1C18" w:rsidRPr="00156ED1">
        <w:rPr>
          <w:rFonts w:cstheme="minorHAnsi"/>
          <w:noProof/>
        </w:rPr>
        <w:t xml:space="preserve">  </w:t>
      </w:r>
    </w:p>
    <w:p w14:paraId="1276BE01" w14:textId="2B02B8F3" w:rsidR="0038672F" w:rsidRPr="00156ED1" w:rsidRDefault="00EB0274" w:rsidP="00851DE0">
      <w:pPr>
        <w:spacing w:before="120" w:after="120"/>
        <w:jc w:val="both"/>
        <w:rPr>
          <w:rFonts w:cstheme="minorHAnsi"/>
          <w:sz w:val="20"/>
          <w:szCs w:val="20"/>
        </w:rPr>
      </w:pPr>
      <w:r w:rsidRPr="00156ED1">
        <w:rPr>
          <w:rFonts w:cstheme="minorHAnsi"/>
          <w:b/>
          <w:bCs/>
          <w:sz w:val="20"/>
          <w:szCs w:val="20"/>
        </w:rPr>
        <w:t xml:space="preserve">Figure </w:t>
      </w:r>
      <w:r w:rsidR="0096322E" w:rsidRPr="00156ED1">
        <w:rPr>
          <w:rFonts w:cstheme="minorHAnsi"/>
          <w:b/>
          <w:bCs/>
          <w:sz w:val="20"/>
          <w:szCs w:val="20"/>
        </w:rPr>
        <w:t>SM</w:t>
      </w:r>
      <w:r w:rsidR="00BA70E2" w:rsidRPr="00156ED1">
        <w:rPr>
          <w:rFonts w:cstheme="minorHAnsi"/>
          <w:b/>
          <w:bCs/>
          <w:sz w:val="20"/>
          <w:szCs w:val="20"/>
        </w:rPr>
        <w:t>7</w:t>
      </w:r>
      <w:r w:rsidRPr="00156ED1">
        <w:rPr>
          <w:rFonts w:cstheme="minorHAnsi"/>
          <w:b/>
          <w:bCs/>
          <w:sz w:val="20"/>
          <w:szCs w:val="20"/>
        </w:rPr>
        <w:t xml:space="preserve"> |</w:t>
      </w:r>
      <w:r w:rsidRPr="00156ED1">
        <w:rPr>
          <w:rFonts w:cstheme="minorHAnsi"/>
          <w:sz w:val="20"/>
          <w:szCs w:val="20"/>
        </w:rPr>
        <w:t xml:space="preserve"> Total global biomass </w:t>
      </w:r>
      <w:r w:rsidR="004333E3" w:rsidRPr="00156ED1">
        <w:rPr>
          <w:rFonts w:cstheme="minorHAnsi"/>
          <w:sz w:val="20"/>
          <w:szCs w:val="20"/>
        </w:rPr>
        <w:t>production</w:t>
      </w:r>
      <w:r w:rsidR="00D47E01" w:rsidRPr="00156ED1">
        <w:rPr>
          <w:rFonts w:cstheme="minorHAnsi"/>
          <w:sz w:val="20"/>
          <w:szCs w:val="20"/>
        </w:rPr>
        <w:t xml:space="preserve"> from (</w:t>
      </w:r>
      <w:r w:rsidR="00D47E01" w:rsidRPr="00156ED1">
        <w:rPr>
          <w:rFonts w:cstheme="minorHAnsi"/>
          <w:b/>
          <w:bCs/>
          <w:sz w:val="20"/>
          <w:szCs w:val="20"/>
        </w:rPr>
        <w:t>a</w:t>
      </w:r>
      <w:r w:rsidR="00D47E01" w:rsidRPr="00156ED1">
        <w:rPr>
          <w:rFonts w:cstheme="minorHAnsi"/>
          <w:sz w:val="20"/>
          <w:szCs w:val="20"/>
        </w:rPr>
        <w:t>) purpose-grown biomass, (</w:t>
      </w:r>
      <w:r w:rsidR="00D47E01" w:rsidRPr="00156ED1">
        <w:rPr>
          <w:rFonts w:cstheme="minorHAnsi"/>
          <w:b/>
          <w:bCs/>
          <w:sz w:val="20"/>
          <w:szCs w:val="20"/>
        </w:rPr>
        <w:t>b</w:t>
      </w:r>
      <w:r w:rsidR="00D47E01" w:rsidRPr="00156ED1">
        <w:rPr>
          <w:rFonts w:cstheme="minorHAnsi"/>
          <w:sz w:val="20"/>
          <w:szCs w:val="20"/>
        </w:rPr>
        <w:t>) municipal solid waste, and (</w:t>
      </w:r>
      <w:r w:rsidR="00D47E01" w:rsidRPr="00156ED1">
        <w:rPr>
          <w:rFonts w:cstheme="minorHAnsi"/>
          <w:b/>
          <w:bCs/>
          <w:sz w:val="20"/>
          <w:szCs w:val="20"/>
        </w:rPr>
        <w:t>c</w:t>
      </w:r>
      <w:r w:rsidR="00D47E01" w:rsidRPr="00156ED1">
        <w:rPr>
          <w:rFonts w:cstheme="minorHAnsi"/>
          <w:sz w:val="20"/>
          <w:szCs w:val="20"/>
        </w:rPr>
        <w:t>) crop residue.</w:t>
      </w:r>
      <w:r w:rsidR="004333E3" w:rsidRPr="00156ED1">
        <w:rPr>
          <w:rFonts w:cstheme="minorHAnsi"/>
          <w:sz w:val="20"/>
          <w:szCs w:val="20"/>
        </w:rPr>
        <w:t xml:space="preserve"> Each color represents a carbon price trajectory. A darker shade represents the 4 scenarios without biochar, whereas a lighter shade represents the 32 scenarios with biochar. Solid lines represent scenarios where BECCS is available, whereas dotted and shaded lines represent scenarios where BECCS is unavailable. Square </w:t>
      </w:r>
      <w:proofErr w:type="spellStart"/>
      <w:r w:rsidR="004333E3" w:rsidRPr="00156ED1">
        <w:rPr>
          <w:rFonts w:cstheme="minorHAnsi"/>
          <w:sz w:val="20"/>
          <w:szCs w:val="20"/>
        </w:rPr>
        <w:t>geoms</w:t>
      </w:r>
      <w:proofErr w:type="spellEnd"/>
      <w:r w:rsidR="004333E3" w:rsidRPr="00156ED1">
        <w:rPr>
          <w:rFonts w:cstheme="minorHAnsi"/>
          <w:sz w:val="20"/>
          <w:szCs w:val="20"/>
        </w:rPr>
        <w:t xml:space="preserve"> represent scenarios without biochar, thus default yields and 0 t/ha application rates. Circle </w:t>
      </w:r>
      <w:proofErr w:type="spellStart"/>
      <w:r w:rsidR="004333E3" w:rsidRPr="00156ED1">
        <w:rPr>
          <w:rFonts w:cstheme="minorHAnsi"/>
          <w:sz w:val="20"/>
          <w:szCs w:val="20"/>
        </w:rPr>
        <w:t>geoms</w:t>
      </w:r>
      <w:proofErr w:type="spellEnd"/>
      <w:r w:rsidR="004333E3" w:rsidRPr="00156ED1">
        <w:rPr>
          <w:rFonts w:cstheme="minorHAnsi"/>
          <w:sz w:val="20"/>
          <w:szCs w:val="20"/>
        </w:rPr>
        <w:t xml:space="preserve"> represent scenarios with default yields and application rates of either 10 t/ha (white circle) or 20 t/ha (black circle). Increased yields are represented by triangle </w:t>
      </w:r>
      <w:proofErr w:type="spellStart"/>
      <w:r w:rsidR="004333E3" w:rsidRPr="00156ED1">
        <w:rPr>
          <w:rFonts w:cstheme="minorHAnsi"/>
          <w:sz w:val="20"/>
          <w:szCs w:val="20"/>
        </w:rPr>
        <w:t>geoms</w:t>
      </w:r>
      <w:proofErr w:type="spellEnd"/>
      <w:r w:rsidR="004333E3" w:rsidRPr="00156ED1">
        <w:rPr>
          <w:rFonts w:cstheme="minorHAnsi"/>
          <w:sz w:val="20"/>
          <w:szCs w:val="20"/>
        </w:rPr>
        <w:t>, with 10 t/ha (white triangle) and 20 t/ha (black triangle).</w:t>
      </w:r>
    </w:p>
    <w:p w14:paraId="31D225F3" w14:textId="4FC71FC5" w:rsidR="00E21365" w:rsidRDefault="00E21365" w:rsidP="00E21365">
      <w:pPr>
        <w:pStyle w:val="Subtitle"/>
        <w:ind w:left="0" w:firstLine="0"/>
        <w:rPr>
          <w:rFonts w:asciiTheme="minorHAnsi" w:hAnsiTheme="minorHAnsi" w:cstheme="minorHAnsi"/>
          <w:sz w:val="28"/>
          <w:szCs w:val="28"/>
        </w:rPr>
      </w:pPr>
      <w:r>
        <w:rPr>
          <w:rFonts w:asciiTheme="minorHAnsi" w:hAnsiTheme="minorHAnsi" w:cstheme="minorHAnsi"/>
          <w:sz w:val="28"/>
          <w:szCs w:val="28"/>
        </w:rPr>
        <w:br w:type="page"/>
      </w:r>
      <w:r w:rsidRPr="00114A1F">
        <w:rPr>
          <w:rFonts w:asciiTheme="minorHAnsi" w:hAnsiTheme="minorHAnsi" w:cstheme="minorHAnsi"/>
          <w:sz w:val="28"/>
          <w:szCs w:val="28"/>
        </w:rPr>
        <w:lastRenderedPageBreak/>
        <w:t xml:space="preserve">Supplementary Material 8 (SM8) – </w:t>
      </w:r>
      <w:r w:rsidR="00E12A64" w:rsidRPr="00114A1F">
        <w:rPr>
          <w:rFonts w:asciiTheme="minorHAnsi" w:hAnsiTheme="minorHAnsi" w:cstheme="minorHAnsi"/>
          <w:sz w:val="28"/>
          <w:szCs w:val="28"/>
        </w:rPr>
        <w:t>Regional Bio</w:t>
      </w:r>
      <w:r w:rsidR="003B41B1" w:rsidRPr="00114A1F">
        <w:rPr>
          <w:rFonts w:asciiTheme="minorHAnsi" w:hAnsiTheme="minorHAnsi" w:cstheme="minorHAnsi"/>
          <w:sz w:val="28"/>
          <w:szCs w:val="28"/>
        </w:rPr>
        <w:t>c</w:t>
      </w:r>
      <w:r w:rsidR="00E12A64" w:rsidRPr="00114A1F">
        <w:rPr>
          <w:rFonts w:asciiTheme="minorHAnsi" w:hAnsiTheme="minorHAnsi" w:cstheme="minorHAnsi"/>
          <w:sz w:val="28"/>
          <w:szCs w:val="28"/>
        </w:rPr>
        <w:t>har Demand</w:t>
      </w:r>
    </w:p>
    <w:p w14:paraId="22DAD27B" w14:textId="441818C4" w:rsidR="002E66CC" w:rsidRPr="00B823E1" w:rsidRDefault="002E66CC" w:rsidP="00114A1F">
      <w:pPr>
        <w:jc w:val="both"/>
        <w:rPr>
          <w:lang w:val="en"/>
        </w:rPr>
      </w:pPr>
      <w:r>
        <w:rPr>
          <w:rFonts w:cstheme="minorHAnsi"/>
          <w:sz w:val="24"/>
          <w:szCs w:val="24"/>
        </w:rPr>
        <w:tab/>
        <w:t xml:space="preserve">By </w:t>
      </w:r>
      <w:r w:rsidR="00046106">
        <w:rPr>
          <w:rFonts w:cstheme="minorHAnsi"/>
          <w:sz w:val="24"/>
          <w:szCs w:val="24"/>
        </w:rPr>
        <w:t xml:space="preserve">midcentury, regional biochar demand does not vary much by scenario except when there is a </w:t>
      </w:r>
      <w:proofErr w:type="gramStart"/>
      <w:r w:rsidR="00046106">
        <w:rPr>
          <w:rFonts w:cstheme="minorHAnsi"/>
          <w:sz w:val="24"/>
          <w:szCs w:val="24"/>
        </w:rPr>
        <w:t>High</w:t>
      </w:r>
      <w:proofErr w:type="gramEnd"/>
      <w:r w:rsidR="00046106">
        <w:rPr>
          <w:rFonts w:cstheme="minorHAnsi"/>
          <w:sz w:val="24"/>
          <w:szCs w:val="24"/>
        </w:rPr>
        <w:t xml:space="preserve"> carbon price trajectory </w:t>
      </w:r>
      <w:r>
        <w:rPr>
          <w:rFonts w:cstheme="minorHAnsi"/>
          <w:sz w:val="24"/>
          <w:szCs w:val="24"/>
        </w:rPr>
        <w:t>(Fig. SM8a</w:t>
      </w:r>
      <w:r w:rsidR="00046106">
        <w:rPr>
          <w:rFonts w:cstheme="minorHAnsi"/>
          <w:sz w:val="24"/>
          <w:szCs w:val="24"/>
        </w:rPr>
        <w:t>). Within each carbon price trajectory, increasing yields, increasing application rate, and not having BECCS available leads to a greater demand for biochar</w:t>
      </w:r>
      <w:r w:rsidR="00865147">
        <w:rPr>
          <w:rFonts w:cstheme="minorHAnsi"/>
          <w:sz w:val="24"/>
          <w:szCs w:val="24"/>
        </w:rPr>
        <w:t>. By 2100 (Fig. SM8b)</w:t>
      </w:r>
      <w:r w:rsidR="00063F3F">
        <w:rPr>
          <w:rFonts w:cstheme="minorHAnsi"/>
          <w:sz w:val="24"/>
          <w:szCs w:val="24"/>
        </w:rPr>
        <w:t>,</w:t>
      </w:r>
      <w:r w:rsidR="00865147">
        <w:rPr>
          <w:rFonts w:cstheme="minorHAnsi"/>
          <w:sz w:val="24"/>
          <w:szCs w:val="24"/>
        </w:rPr>
        <w:t xml:space="preserve"> the regional variation is more apparent, but the same behavior is observed. In a Reference carbon price trajectory with increased yields, Western Africa has the highest biochar demand of any region. Increasing yields and application rate to 20 t/ha results in a noticeable increase in biochar demand in Canada and the Middle East. In the scenarios with a carbon price, not having BECCS available results in an increase in biochar demand in almost all regions due to its greater appeal as a carbon removal technology. This is especially evident in the High carbon price trajectory, where biochar is less competitive and therefore less demanded when BECCS is available versus unavailable.</w:t>
      </w:r>
      <w:r w:rsidR="00BC14F3">
        <w:rPr>
          <w:rFonts w:cstheme="minorHAnsi"/>
          <w:sz w:val="24"/>
          <w:szCs w:val="24"/>
        </w:rPr>
        <w:t xml:space="preserve"> Across all carbon price scenarios, increased yields also result in an increase in biochar demand due to the additional appeal of increased crop production. In the scenarios that results in the highest demand for biochar (20 t/ha, increased yields, no BECCS, carbon price), the </w:t>
      </w:r>
      <w:r w:rsidR="00FD3F57">
        <w:rPr>
          <w:rFonts w:cstheme="minorHAnsi"/>
          <w:sz w:val="24"/>
          <w:szCs w:val="24"/>
        </w:rPr>
        <w:t>regions</w:t>
      </w:r>
      <w:r w:rsidR="00BC14F3">
        <w:rPr>
          <w:rFonts w:cstheme="minorHAnsi"/>
          <w:sz w:val="24"/>
          <w:szCs w:val="24"/>
        </w:rPr>
        <w:t xml:space="preserve"> that demand the most are consistently Western Africa and India.</w:t>
      </w:r>
    </w:p>
    <w:p w14:paraId="3A688505" w14:textId="47215511" w:rsidR="00E21365" w:rsidRDefault="003B41B1">
      <w:pPr>
        <w:rPr>
          <w:rFonts w:eastAsia="Arial" w:cstheme="minorHAnsi"/>
          <w:b/>
          <w:color w:val="666666"/>
          <w:sz w:val="28"/>
          <w:szCs w:val="28"/>
          <w:lang w:val="en"/>
        </w:rPr>
      </w:pPr>
      <w:r>
        <w:rPr>
          <w:rFonts w:eastAsia="Arial" w:cstheme="minorHAnsi"/>
          <w:b/>
          <w:noProof/>
          <w:color w:val="666666"/>
          <w:sz w:val="28"/>
          <w:szCs w:val="28"/>
          <w:lang w:val="en"/>
        </w:rPr>
        <w:lastRenderedPageBreak/>
        <w:drawing>
          <wp:inline distT="0" distB="0" distL="0" distR="0" wp14:anchorId="78EA583B" wp14:editId="609E49AD">
            <wp:extent cx="5943600" cy="5225415"/>
            <wp:effectExtent l="0" t="0" r="0" b="0"/>
            <wp:docPr id="14" name="Picture 14"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diagram&#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5225415"/>
                    </a:xfrm>
                    <a:prstGeom prst="rect">
                      <a:avLst/>
                    </a:prstGeom>
                  </pic:spPr>
                </pic:pic>
              </a:graphicData>
            </a:graphic>
          </wp:inline>
        </w:drawing>
      </w:r>
      <w:r>
        <w:rPr>
          <w:rFonts w:eastAsia="Arial" w:cstheme="minorHAnsi"/>
          <w:b/>
          <w:noProof/>
          <w:color w:val="666666"/>
          <w:sz w:val="28"/>
          <w:szCs w:val="28"/>
          <w:lang w:val="en"/>
        </w:rPr>
        <w:lastRenderedPageBreak/>
        <w:drawing>
          <wp:inline distT="0" distB="0" distL="0" distR="0" wp14:anchorId="64C9364E" wp14:editId="5E48238E">
            <wp:extent cx="5943600" cy="5225415"/>
            <wp:effectExtent l="0" t="0" r="0" b="0"/>
            <wp:docPr id="15" name="Picture 15"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background pattern&#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5225415"/>
                    </a:xfrm>
                    <a:prstGeom prst="rect">
                      <a:avLst/>
                    </a:prstGeom>
                  </pic:spPr>
                </pic:pic>
              </a:graphicData>
            </a:graphic>
          </wp:inline>
        </w:drawing>
      </w:r>
    </w:p>
    <w:p w14:paraId="047584C8" w14:textId="6C0C7E4A" w:rsidR="00A37D36" w:rsidRDefault="00A37D36" w:rsidP="00114A1F">
      <w:pPr>
        <w:jc w:val="both"/>
        <w:rPr>
          <w:rFonts w:eastAsia="Arial" w:cstheme="minorHAnsi"/>
          <w:b/>
          <w:color w:val="666666"/>
          <w:sz w:val="28"/>
          <w:szCs w:val="28"/>
          <w:lang w:val="en"/>
        </w:rPr>
      </w:pPr>
      <w:r w:rsidRPr="00156ED1">
        <w:rPr>
          <w:rFonts w:cstheme="minorHAnsi"/>
          <w:b/>
          <w:bCs/>
          <w:sz w:val="20"/>
          <w:szCs w:val="20"/>
        </w:rPr>
        <w:t>Figure SM</w:t>
      </w:r>
      <w:r>
        <w:rPr>
          <w:rFonts w:cstheme="minorHAnsi"/>
          <w:b/>
          <w:bCs/>
          <w:sz w:val="20"/>
          <w:szCs w:val="20"/>
        </w:rPr>
        <w:t>8</w:t>
      </w:r>
      <w:r w:rsidRPr="00156ED1">
        <w:rPr>
          <w:rFonts w:cstheme="minorHAnsi"/>
          <w:b/>
          <w:bCs/>
          <w:sz w:val="20"/>
          <w:szCs w:val="20"/>
        </w:rPr>
        <w:t xml:space="preserve"> |</w:t>
      </w:r>
      <w:r w:rsidR="003B41B1" w:rsidRPr="003B41B1">
        <w:t xml:space="preserve"> </w:t>
      </w:r>
      <w:r w:rsidR="003B41B1" w:rsidRPr="002E66CC">
        <w:rPr>
          <w:rFonts w:cstheme="minorHAnsi"/>
          <w:sz w:val="20"/>
          <w:szCs w:val="20"/>
        </w:rPr>
        <w:t>Regional biochar demand in (</w:t>
      </w:r>
      <w:r w:rsidR="003B41B1" w:rsidRPr="00FA4E34">
        <w:rPr>
          <w:rFonts w:cstheme="minorHAnsi"/>
          <w:b/>
          <w:bCs/>
          <w:sz w:val="20"/>
          <w:szCs w:val="20"/>
        </w:rPr>
        <w:t>a</w:t>
      </w:r>
      <w:r w:rsidR="003B41B1" w:rsidRPr="002E66CC">
        <w:rPr>
          <w:rFonts w:cstheme="minorHAnsi"/>
          <w:sz w:val="20"/>
          <w:szCs w:val="20"/>
        </w:rPr>
        <w:t>) 2050 and (</w:t>
      </w:r>
      <w:r w:rsidR="003B41B1" w:rsidRPr="00FA4E34">
        <w:rPr>
          <w:rFonts w:cstheme="minorHAnsi"/>
          <w:b/>
          <w:bCs/>
          <w:sz w:val="20"/>
          <w:szCs w:val="20"/>
        </w:rPr>
        <w:t>b</w:t>
      </w:r>
      <w:r w:rsidR="003B41B1" w:rsidRPr="002E66CC">
        <w:rPr>
          <w:rFonts w:cstheme="minorHAnsi"/>
          <w:sz w:val="20"/>
          <w:szCs w:val="20"/>
        </w:rPr>
        <w:t>) 2100. Each facet represents one scenario, each column represents a combination of the application rate and yield improvements (</w:t>
      </w:r>
      <w:r w:rsidR="00FA4E34" w:rsidRPr="00FA4E34">
        <w:rPr>
          <w:rFonts w:cstheme="minorHAnsi"/>
          <w:i/>
          <w:iCs/>
          <w:sz w:val="20"/>
          <w:szCs w:val="20"/>
        </w:rPr>
        <w:t>e.g.,</w:t>
      </w:r>
      <w:r w:rsidR="003B41B1" w:rsidRPr="002E66CC">
        <w:rPr>
          <w:rFonts w:cstheme="minorHAnsi"/>
          <w:sz w:val="20"/>
          <w:szCs w:val="20"/>
        </w:rPr>
        <w:t xml:space="preserve"> “10 </w:t>
      </w:r>
      <w:r w:rsidR="00FA4E34">
        <w:rPr>
          <w:rFonts w:cstheme="minorHAnsi"/>
          <w:sz w:val="20"/>
          <w:szCs w:val="20"/>
        </w:rPr>
        <w:t xml:space="preserve">t/ha &amp; </w:t>
      </w:r>
      <w:r w:rsidR="003B41B1" w:rsidRPr="002E66CC">
        <w:rPr>
          <w:rFonts w:cstheme="minorHAnsi"/>
          <w:sz w:val="20"/>
          <w:szCs w:val="20"/>
        </w:rPr>
        <w:t>Default Yield</w:t>
      </w:r>
      <w:r w:rsidR="00FA4E34">
        <w:rPr>
          <w:rFonts w:cstheme="minorHAnsi"/>
          <w:sz w:val="20"/>
          <w:szCs w:val="20"/>
        </w:rPr>
        <w:t>s</w:t>
      </w:r>
      <w:r w:rsidR="003B41B1" w:rsidRPr="002E66CC">
        <w:rPr>
          <w:rFonts w:cstheme="minorHAnsi"/>
          <w:sz w:val="20"/>
          <w:szCs w:val="20"/>
        </w:rPr>
        <w:t>”), and each row represents a combination of carbon price and BECCS availability (</w:t>
      </w:r>
      <w:r w:rsidR="00FA4E34" w:rsidRPr="00FA4E34">
        <w:rPr>
          <w:rFonts w:cstheme="minorHAnsi"/>
          <w:i/>
          <w:iCs/>
          <w:sz w:val="20"/>
          <w:szCs w:val="20"/>
        </w:rPr>
        <w:t>e.g.,</w:t>
      </w:r>
      <w:r w:rsidR="003B41B1" w:rsidRPr="002E66CC">
        <w:rPr>
          <w:rFonts w:cstheme="minorHAnsi"/>
          <w:sz w:val="20"/>
          <w:szCs w:val="20"/>
        </w:rPr>
        <w:t xml:space="preserve"> “REF</w:t>
      </w:r>
      <w:r w:rsidR="00FA4E34">
        <w:rPr>
          <w:rFonts w:cstheme="minorHAnsi"/>
          <w:sz w:val="20"/>
          <w:szCs w:val="20"/>
        </w:rPr>
        <w:t xml:space="preserve"> &amp; BECCS</w:t>
      </w:r>
      <w:r w:rsidR="003B41B1" w:rsidRPr="002E66CC">
        <w:rPr>
          <w:rFonts w:cstheme="minorHAnsi"/>
          <w:sz w:val="20"/>
          <w:szCs w:val="20"/>
        </w:rPr>
        <w:t>”). Note that there are 32 scenarios out of 36, since the remaining 4 scenarios do not have biochar deployment.</w:t>
      </w:r>
      <w:r w:rsidR="003B41B1" w:rsidRPr="003B41B1">
        <w:rPr>
          <w:rFonts w:cstheme="minorHAnsi"/>
          <w:b/>
          <w:bCs/>
          <w:sz w:val="20"/>
          <w:szCs w:val="20"/>
        </w:rPr>
        <w:t xml:space="preserve">  </w:t>
      </w:r>
    </w:p>
    <w:p w14:paraId="1A500A37" w14:textId="77777777" w:rsidR="00A37D36" w:rsidRDefault="00A37D36">
      <w:pPr>
        <w:rPr>
          <w:rFonts w:eastAsia="Arial" w:cstheme="minorHAnsi"/>
          <w:b/>
          <w:color w:val="666666"/>
          <w:sz w:val="28"/>
          <w:szCs w:val="28"/>
          <w:lang w:val="en"/>
        </w:rPr>
      </w:pPr>
      <w:r>
        <w:rPr>
          <w:rFonts w:cstheme="minorHAnsi"/>
          <w:sz w:val="28"/>
          <w:szCs w:val="28"/>
        </w:rPr>
        <w:br w:type="page"/>
      </w:r>
    </w:p>
    <w:p w14:paraId="1D9B4CA2" w14:textId="3186C569" w:rsidR="007D6246" w:rsidRPr="00156ED1" w:rsidRDefault="00604305" w:rsidP="00C84B20">
      <w:pPr>
        <w:pStyle w:val="Subtitle"/>
        <w:ind w:left="0" w:firstLine="0"/>
        <w:rPr>
          <w:rFonts w:asciiTheme="minorHAnsi" w:hAnsiTheme="minorHAnsi" w:cstheme="minorHAnsi"/>
          <w:sz w:val="28"/>
          <w:szCs w:val="28"/>
        </w:rPr>
      </w:pPr>
      <w:r w:rsidRPr="00156ED1">
        <w:rPr>
          <w:rFonts w:asciiTheme="minorHAnsi" w:hAnsiTheme="minorHAnsi" w:cstheme="minorHAnsi"/>
          <w:sz w:val="28"/>
          <w:szCs w:val="28"/>
        </w:rPr>
        <w:lastRenderedPageBreak/>
        <w:t xml:space="preserve">Supplementary Material </w:t>
      </w:r>
      <w:r w:rsidR="00E12A64">
        <w:rPr>
          <w:rFonts w:asciiTheme="minorHAnsi" w:hAnsiTheme="minorHAnsi" w:cstheme="minorHAnsi"/>
          <w:sz w:val="28"/>
          <w:szCs w:val="28"/>
        </w:rPr>
        <w:t>9</w:t>
      </w:r>
      <w:r w:rsidRPr="00156ED1">
        <w:rPr>
          <w:rFonts w:asciiTheme="minorHAnsi" w:hAnsiTheme="minorHAnsi" w:cstheme="minorHAnsi"/>
          <w:sz w:val="28"/>
          <w:szCs w:val="28"/>
        </w:rPr>
        <w:t xml:space="preserve"> (SM</w:t>
      </w:r>
      <w:r w:rsidR="00E12A64">
        <w:rPr>
          <w:rFonts w:asciiTheme="minorHAnsi" w:hAnsiTheme="minorHAnsi" w:cstheme="minorHAnsi"/>
          <w:sz w:val="28"/>
          <w:szCs w:val="28"/>
        </w:rPr>
        <w:t>9</w:t>
      </w:r>
      <w:r w:rsidRPr="00156ED1">
        <w:rPr>
          <w:rFonts w:asciiTheme="minorHAnsi" w:hAnsiTheme="minorHAnsi" w:cstheme="minorHAnsi"/>
          <w:sz w:val="28"/>
          <w:szCs w:val="28"/>
        </w:rPr>
        <w:t xml:space="preserve">) </w:t>
      </w:r>
      <w:r w:rsidR="00824711" w:rsidRPr="00156ED1">
        <w:rPr>
          <w:rFonts w:asciiTheme="minorHAnsi" w:hAnsiTheme="minorHAnsi" w:cstheme="minorHAnsi"/>
          <w:sz w:val="28"/>
          <w:szCs w:val="28"/>
        </w:rPr>
        <w:t>– Cropland</w:t>
      </w:r>
      <w:r w:rsidR="007D6246" w:rsidRPr="00156ED1">
        <w:rPr>
          <w:rFonts w:asciiTheme="minorHAnsi" w:hAnsiTheme="minorHAnsi" w:cstheme="minorHAnsi"/>
          <w:sz w:val="28"/>
          <w:szCs w:val="28"/>
        </w:rPr>
        <w:t xml:space="preserve"> Allocation in </w:t>
      </w:r>
      <w:r w:rsidRPr="00156ED1">
        <w:rPr>
          <w:rFonts w:asciiTheme="minorHAnsi" w:hAnsiTheme="minorHAnsi" w:cstheme="minorHAnsi"/>
          <w:sz w:val="28"/>
          <w:szCs w:val="28"/>
        </w:rPr>
        <w:t>Detail</w:t>
      </w:r>
    </w:p>
    <w:p w14:paraId="3EC92CEE" w14:textId="6063B828" w:rsidR="000D707C" w:rsidRPr="00C8755E" w:rsidRDefault="00D016A4" w:rsidP="00C8755E">
      <w:pPr>
        <w:ind w:firstLine="720"/>
        <w:jc w:val="both"/>
        <w:rPr>
          <w:rFonts w:cstheme="minorHAnsi"/>
          <w:sz w:val="24"/>
          <w:szCs w:val="24"/>
          <w:lang w:val="en"/>
        </w:rPr>
      </w:pPr>
      <w:r w:rsidRPr="00C8755E">
        <w:rPr>
          <w:rFonts w:cstheme="minorHAnsi"/>
          <w:sz w:val="24"/>
          <w:szCs w:val="24"/>
          <w:lang w:val="en"/>
        </w:rPr>
        <w:t xml:space="preserve">We assume that </w:t>
      </w:r>
      <w:r w:rsidR="000D707C" w:rsidRPr="00C8755E">
        <w:rPr>
          <w:rFonts w:cstheme="minorHAnsi"/>
          <w:sz w:val="24"/>
          <w:szCs w:val="24"/>
          <w:lang w:val="en"/>
        </w:rPr>
        <w:t>biochar application</w:t>
      </w:r>
      <w:r w:rsidRPr="00C8755E">
        <w:rPr>
          <w:rFonts w:cstheme="minorHAnsi"/>
          <w:sz w:val="24"/>
          <w:szCs w:val="24"/>
          <w:lang w:val="en"/>
        </w:rPr>
        <w:t xml:space="preserve"> occurs once on each plot of land during the</w:t>
      </w:r>
      <w:r w:rsidR="00403354" w:rsidRPr="00C8755E">
        <w:rPr>
          <w:rFonts w:cstheme="minorHAnsi"/>
          <w:sz w:val="24"/>
          <w:szCs w:val="24"/>
          <w:lang w:val="en"/>
        </w:rPr>
        <w:t xml:space="preserve"> study</w:t>
      </w:r>
      <w:r w:rsidRPr="00C8755E">
        <w:rPr>
          <w:rFonts w:cstheme="minorHAnsi"/>
          <w:sz w:val="24"/>
          <w:szCs w:val="24"/>
          <w:lang w:val="en"/>
        </w:rPr>
        <w:t xml:space="preserve"> </w:t>
      </w:r>
      <w:r w:rsidR="00403354" w:rsidRPr="00C8755E">
        <w:rPr>
          <w:rFonts w:cstheme="minorHAnsi"/>
          <w:sz w:val="24"/>
          <w:szCs w:val="24"/>
          <w:lang w:val="en"/>
        </w:rPr>
        <w:t xml:space="preserve">horizon </w:t>
      </w:r>
      <w:r w:rsidRPr="00C8755E">
        <w:rPr>
          <w:rFonts w:cstheme="minorHAnsi"/>
          <w:sz w:val="24"/>
          <w:szCs w:val="24"/>
          <w:lang w:val="en"/>
        </w:rPr>
        <w:t>to 2100</w:t>
      </w:r>
      <w:r w:rsidR="00403354" w:rsidRPr="00C8755E">
        <w:rPr>
          <w:rFonts w:cstheme="minorHAnsi"/>
          <w:sz w:val="24"/>
          <w:szCs w:val="24"/>
          <w:lang w:val="en"/>
        </w:rPr>
        <w:t>.</w:t>
      </w:r>
      <w:r w:rsidR="000D707C" w:rsidRPr="00C8755E">
        <w:rPr>
          <w:rFonts w:cstheme="minorHAnsi"/>
          <w:sz w:val="24"/>
          <w:szCs w:val="24"/>
          <w:lang w:val="en"/>
        </w:rPr>
        <w:t xml:space="preserve"> </w:t>
      </w:r>
      <w:r w:rsidR="00403354" w:rsidRPr="00C8755E">
        <w:rPr>
          <w:rFonts w:cstheme="minorHAnsi"/>
          <w:sz w:val="24"/>
          <w:szCs w:val="24"/>
          <w:lang w:val="en"/>
        </w:rPr>
        <w:t xml:space="preserve">That application is not </w:t>
      </w:r>
      <w:r w:rsidR="00B64802" w:rsidRPr="00C8755E">
        <w:rPr>
          <w:rFonts w:cstheme="minorHAnsi"/>
          <w:sz w:val="24"/>
          <w:szCs w:val="24"/>
          <w:lang w:val="en"/>
        </w:rPr>
        <w:t xml:space="preserve">applied immediately </w:t>
      </w:r>
      <w:r w:rsidR="00403354" w:rsidRPr="00C8755E">
        <w:rPr>
          <w:rFonts w:cstheme="minorHAnsi"/>
          <w:sz w:val="24"/>
          <w:szCs w:val="24"/>
          <w:lang w:val="en"/>
        </w:rPr>
        <w:t xml:space="preserve">to </w:t>
      </w:r>
      <w:r w:rsidR="00B64802" w:rsidRPr="00C8755E">
        <w:rPr>
          <w:rFonts w:cstheme="minorHAnsi"/>
          <w:sz w:val="24"/>
          <w:szCs w:val="24"/>
          <w:lang w:val="en"/>
        </w:rPr>
        <w:t>the share of</w:t>
      </w:r>
      <w:r w:rsidR="00403354" w:rsidRPr="00C8755E">
        <w:rPr>
          <w:rFonts w:cstheme="minorHAnsi"/>
          <w:sz w:val="24"/>
          <w:szCs w:val="24"/>
          <w:lang w:val="en"/>
        </w:rPr>
        <w:t xml:space="preserve"> land that is determined by GCAM to be economic for biochar</w:t>
      </w:r>
      <w:r w:rsidR="00B64802" w:rsidRPr="00C8755E">
        <w:rPr>
          <w:rFonts w:cstheme="minorHAnsi"/>
          <w:sz w:val="24"/>
          <w:szCs w:val="24"/>
          <w:lang w:val="en"/>
        </w:rPr>
        <w:t xml:space="preserve"> in the long-term</w:t>
      </w:r>
      <w:r w:rsidR="00403354" w:rsidRPr="00C8755E">
        <w:rPr>
          <w:rFonts w:cstheme="minorHAnsi"/>
          <w:sz w:val="24"/>
          <w:szCs w:val="24"/>
          <w:lang w:val="en"/>
        </w:rPr>
        <w:t xml:space="preserve"> but applied </w:t>
      </w:r>
      <w:r w:rsidR="00B64802" w:rsidRPr="00C8755E">
        <w:rPr>
          <w:rFonts w:cstheme="minorHAnsi"/>
          <w:sz w:val="24"/>
          <w:szCs w:val="24"/>
          <w:lang w:val="en"/>
        </w:rPr>
        <w:t xml:space="preserve">in smaller increments </w:t>
      </w:r>
      <w:r w:rsidR="00403354" w:rsidRPr="00C8755E">
        <w:rPr>
          <w:rFonts w:cstheme="minorHAnsi"/>
          <w:sz w:val="24"/>
          <w:szCs w:val="24"/>
          <w:lang w:val="en"/>
        </w:rPr>
        <w:t xml:space="preserve">equally over the model horizon. Specifically, our </w:t>
      </w:r>
      <w:r w:rsidR="00C918DC" w:rsidRPr="00C8755E">
        <w:rPr>
          <w:rFonts w:cstheme="minorHAnsi"/>
          <w:sz w:val="24"/>
          <w:szCs w:val="24"/>
          <w:lang w:val="en"/>
        </w:rPr>
        <w:t>assumption</w:t>
      </w:r>
      <w:r w:rsidR="00403354" w:rsidRPr="00C8755E">
        <w:rPr>
          <w:rFonts w:cstheme="minorHAnsi"/>
          <w:sz w:val="24"/>
          <w:szCs w:val="24"/>
          <w:lang w:val="en"/>
        </w:rPr>
        <w:t xml:space="preserve"> of yield</w:t>
      </w:r>
      <w:r w:rsidR="000800A4" w:rsidRPr="00C8755E">
        <w:rPr>
          <w:rFonts w:cstheme="minorHAnsi"/>
          <w:sz w:val="24"/>
          <w:szCs w:val="24"/>
          <w:lang w:val="en"/>
        </w:rPr>
        <w:t xml:space="preserve"> increases </w:t>
      </w:r>
      <w:r w:rsidR="00B64802" w:rsidRPr="00C8755E">
        <w:rPr>
          <w:rFonts w:cstheme="minorHAnsi"/>
          <w:sz w:val="24"/>
          <w:szCs w:val="24"/>
          <w:lang w:val="en"/>
        </w:rPr>
        <w:t>on</w:t>
      </w:r>
      <w:r w:rsidR="000800A4" w:rsidRPr="00C8755E">
        <w:rPr>
          <w:rFonts w:cstheme="minorHAnsi"/>
          <w:sz w:val="24"/>
          <w:szCs w:val="24"/>
          <w:lang w:val="en"/>
        </w:rPr>
        <w:t xml:space="preserve"> biochar land assume that</w:t>
      </w:r>
      <w:r w:rsidR="000D707C" w:rsidRPr="00C8755E">
        <w:rPr>
          <w:rFonts w:cstheme="minorHAnsi"/>
          <w:sz w:val="24"/>
          <w:szCs w:val="24"/>
          <w:lang w:val="en"/>
        </w:rPr>
        <w:t xml:space="preserve"> </w:t>
      </w:r>
      <m:oMath>
        <m:r>
          <w:rPr>
            <w:rFonts w:ascii="Cambria Math" w:hAnsi="Cambria Math" w:cstheme="minorHAnsi"/>
            <w:sz w:val="24"/>
            <w:szCs w:val="24"/>
            <w:lang w:val="en"/>
          </w:rPr>
          <m:t xml:space="preserve">~ </m:t>
        </m:r>
      </m:oMath>
      <w:r w:rsidR="000D707C" w:rsidRPr="00C8755E">
        <w:rPr>
          <w:rFonts w:cstheme="minorHAnsi"/>
          <w:sz w:val="24"/>
          <w:szCs w:val="24"/>
          <w:vertAlign w:val="superscript"/>
          <w:lang w:val="en"/>
        </w:rPr>
        <w:t>1</w:t>
      </w:r>
      <w:r w:rsidR="000D707C" w:rsidRPr="00C8755E">
        <w:rPr>
          <w:rFonts w:cstheme="minorHAnsi"/>
          <w:sz w:val="24"/>
          <w:szCs w:val="24"/>
          <w:lang w:val="en"/>
        </w:rPr>
        <w:t>/</w:t>
      </w:r>
      <w:r w:rsidR="000D707C" w:rsidRPr="00C8755E">
        <w:rPr>
          <w:rFonts w:cstheme="minorHAnsi"/>
          <w:sz w:val="24"/>
          <w:szCs w:val="24"/>
          <w:vertAlign w:val="subscript"/>
          <w:lang w:val="en"/>
        </w:rPr>
        <w:t>16</w:t>
      </w:r>
      <w:r w:rsidR="000D707C" w:rsidRPr="00C8755E">
        <w:rPr>
          <w:rFonts w:cstheme="minorHAnsi"/>
          <w:sz w:val="24"/>
          <w:szCs w:val="24"/>
          <w:vertAlign w:val="superscript"/>
          <w:lang w:val="en"/>
        </w:rPr>
        <w:t>th</w:t>
      </w:r>
      <w:r w:rsidR="000D707C" w:rsidRPr="00C8755E">
        <w:rPr>
          <w:rFonts w:cstheme="minorHAnsi"/>
          <w:sz w:val="24"/>
          <w:szCs w:val="24"/>
          <w:lang w:val="en"/>
        </w:rPr>
        <w:t xml:space="preserve"> of the land </w:t>
      </w:r>
      <w:r w:rsidR="000800A4" w:rsidRPr="00C8755E">
        <w:rPr>
          <w:rFonts w:cstheme="minorHAnsi"/>
          <w:sz w:val="24"/>
          <w:szCs w:val="24"/>
          <w:lang w:val="en"/>
        </w:rPr>
        <w:t xml:space="preserve">determined by GCAM in a period to be economic for </w:t>
      </w:r>
      <w:r w:rsidR="000D707C" w:rsidRPr="00C8755E">
        <w:rPr>
          <w:rFonts w:cstheme="minorHAnsi"/>
          <w:sz w:val="24"/>
          <w:szCs w:val="24"/>
          <w:lang w:val="en"/>
        </w:rPr>
        <w:t xml:space="preserve">biochar </w:t>
      </w:r>
      <w:r w:rsidR="000800A4" w:rsidRPr="00C8755E">
        <w:rPr>
          <w:rFonts w:cstheme="minorHAnsi"/>
          <w:sz w:val="24"/>
          <w:szCs w:val="24"/>
          <w:lang w:val="en"/>
        </w:rPr>
        <w:t xml:space="preserve">receives a biochar application each period. </w:t>
      </w:r>
      <w:r w:rsidR="000D707C" w:rsidRPr="00C8755E">
        <w:rPr>
          <w:rFonts w:cstheme="minorHAnsi"/>
          <w:sz w:val="24"/>
          <w:szCs w:val="24"/>
          <w:lang w:val="en"/>
        </w:rPr>
        <w:t xml:space="preserve">This value comes from biochar application beginning in 2020 </w:t>
      </w:r>
      <w:r w:rsidRPr="00C8755E">
        <w:rPr>
          <w:rFonts w:cstheme="minorHAnsi"/>
          <w:sz w:val="24"/>
          <w:szCs w:val="24"/>
          <w:lang w:val="en"/>
        </w:rPr>
        <w:t xml:space="preserve">and continuing </w:t>
      </w:r>
      <w:r w:rsidR="000D707C" w:rsidRPr="00C8755E">
        <w:rPr>
          <w:rFonts w:cstheme="minorHAnsi"/>
          <w:sz w:val="24"/>
          <w:szCs w:val="24"/>
          <w:lang w:val="en"/>
        </w:rPr>
        <w:t>through 2100 (81 years, inclusive) and GCAM modelling in 5-year intervals (81/5 = 16.2).</w:t>
      </w:r>
      <w:r w:rsidR="000800A4" w:rsidRPr="00C8755E">
        <w:rPr>
          <w:rFonts w:cstheme="minorHAnsi"/>
          <w:sz w:val="24"/>
          <w:szCs w:val="24"/>
          <w:lang w:val="en"/>
        </w:rPr>
        <w:t xml:space="preserve"> The total amount of land in biochar in each period is an accumulation </w:t>
      </w:r>
      <w:r w:rsidR="00B64802" w:rsidRPr="00C8755E">
        <w:rPr>
          <w:rFonts w:cstheme="minorHAnsi"/>
          <w:sz w:val="24"/>
          <w:szCs w:val="24"/>
          <w:lang w:val="en"/>
        </w:rPr>
        <w:t>of the current and</w:t>
      </w:r>
      <w:r w:rsidR="000800A4" w:rsidRPr="00C8755E">
        <w:rPr>
          <w:rFonts w:cstheme="minorHAnsi"/>
          <w:sz w:val="24"/>
          <w:szCs w:val="24"/>
          <w:lang w:val="en"/>
        </w:rPr>
        <w:t xml:space="preserve"> all previous periods’ application amounts.</w:t>
      </w:r>
    </w:p>
    <w:p w14:paraId="1F96F372" w14:textId="77777777" w:rsidR="00B64802" w:rsidRPr="00156ED1" w:rsidRDefault="00B64802" w:rsidP="00744E6A">
      <w:pPr>
        <w:rPr>
          <w:rFonts w:cstheme="minorHAnsi"/>
          <w:color w:val="C00000"/>
          <w:sz w:val="24"/>
          <w:szCs w:val="24"/>
          <w:lang w:val="en"/>
        </w:rPr>
      </w:pPr>
    </w:p>
    <w:p w14:paraId="75DC193B" w14:textId="0675C7A2" w:rsidR="00621864" w:rsidRPr="00156ED1" w:rsidRDefault="00621864" w:rsidP="00621864">
      <w:pPr>
        <w:rPr>
          <w:rFonts w:cstheme="minorHAnsi"/>
          <w:lang w:val="en"/>
        </w:rPr>
      </w:pPr>
      <w:r w:rsidRPr="00156ED1">
        <w:rPr>
          <w:rFonts w:cstheme="minorHAnsi"/>
          <w:noProof/>
          <w:lang w:val="en"/>
        </w:rPr>
        <w:drawing>
          <wp:inline distT="0" distB="0" distL="0" distR="0" wp14:anchorId="0E2E4C42" wp14:editId="5E97F3EE">
            <wp:extent cx="5943600" cy="3663315"/>
            <wp:effectExtent l="0" t="0" r="0" b="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943600" cy="3663315"/>
                    </a:xfrm>
                    <a:prstGeom prst="rect">
                      <a:avLst/>
                    </a:prstGeom>
                  </pic:spPr>
                </pic:pic>
              </a:graphicData>
            </a:graphic>
          </wp:inline>
        </w:drawing>
      </w:r>
    </w:p>
    <w:p w14:paraId="37DDC262" w14:textId="1F093238" w:rsidR="00220E3C" w:rsidRPr="00156ED1" w:rsidRDefault="00621864" w:rsidP="00220E3C">
      <w:pPr>
        <w:jc w:val="both"/>
        <w:rPr>
          <w:rFonts w:cstheme="minorHAnsi"/>
          <w:sz w:val="20"/>
          <w:szCs w:val="20"/>
        </w:rPr>
      </w:pPr>
      <w:r w:rsidRPr="00156ED1">
        <w:rPr>
          <w:rFonts w:cstheme="minorHAnsi"/>
          <w:b/>
          <w:bCs/>
          <w:sz w:val="20"/>
          <w:szCs w:val="20"/>
          <w:lang w:val="en"/>
        </w:rPr>
        <w:t>Figure SM</w:t>
      </w:r>
      <w:r w:rsidR="00A37D36">
        <w:rPr>
          <w:rFonts w:cstheme="minorHAnsi"/>
          <w:b/>
          <w:bCs/>
          <w:sz w:val="20"/>
          <w:szCs w:val="20"/>
          <w:lang w:val="en"/>
        </w:rPr>
        <w:t>9</w:t>
      </w:r>
      <w:r w:rsidRPr="00156ED1">
        <w:rPr>
          <w:rFonts w:cstheme="minorHAnsi"/>
          <w:b/>
          <w:bCs/>
          <w:sz w:val="20"/>
          <w:szCs w:val="20"/>
          <w:lang w:val="en"/>
        </w:rPr>
        <w:t xml:space="preserve"> | </w:t>
      </w:r>
      <w:r w:rsidR="00220E3C" w:rsidRPr="00156ED1">
        <w:rPr>
          <w:rFonts w:cstheme="minorHAnsi"/>
          <w:sz w:val="20"/>
          <w:szCs w:val="20"/>
          <w:lang w:val="en"/>
        </w:rPr>
        <w:t xml:space="preserve">Cumulative </w:t>
      </w:r>
      <w:r w:rsidR="00FD64F0" w:rsidRPr="00156ED1">
        <w:rPr>
          <w:rFonts w:cstheme="minorHAnsi"/>
          <w:sz w:val="20"/>
          <w:szCs w:val="20"/>
          <w:lang w:val="en"/>
        </w:rPr>
        <w:t>cropland</w:t>
      </w:r>
      <w:r w:rsidR="00220E3C" w:rsidRPr="00156ED1">
        <w:rPr>
          <w:rFonts w:cstheme="minorHAnsi"/>
          <w:sz w:val="20"/>
          <w:szCs w:val="20"/>
          <w:lang w:val="en"/>
        </w:rPr>
        <w:t xml:space="preserve"> </w:t>
      </w:r>
      <w:r w:rsidR="00FD64F0" w:rsidRPr="00156ED1">
        <w:rPr>
          <w:rFonts w:cstheme="minorHAnsi"/>
          <w:sz w:val="20"/>
          <w:szCs w:val="20"/>
          <w:lang w:val="en"/>
        </w:rPr>
        <w:t>allocation</w:t>
      </w:r>
      <w:r w:rsidR="00220E3C" w:rsidRPr="00156ED1">
        <w:rPr>
          <w:rFonts w:cstheme="minorHAnsi"/>
          <w:sz w:val="20"/>
          <w:szCs w:val="20"/>
          <w:lang w:val="en"/>
        </w:rPr>
        <w:t xml:space="preserve"> with and without biochar in each scenario</w:t>
      </w:r>
      <w:r w:rsidR="00220E3C" w:rsidRPr="00156ED1">
        <w:rPr>
          <w:rFonts w:cstheme="minorHAnsi"/>
          <w:lang w:val="en"/>
        </w:rPr>
        <w:t xml:space="preserve">. </w:t>
      </w:r>
      <w:r w:rsidR="00220E3C" w:rsidRPr="00156ED1">
        <w:rPr>
          <w:rFonts w:cstheme="minorHAnsi"/>
          <w:sz w:val="20"/>
          <w:szCs w:val="20"/>
        </w:rPr>
        <w:t>Each facet represents one scenario, each column represents a combination of carbon price and BECCS availability (</w:t>
      </w:r>
      <w:r w:rsidR="0073257A" w:rsidRPr="00156ED1">
        <w:rPr>
          <w:rFonts w:cstheme="minorHAnsi"/>
          <w:sz w:val="20"/>
          <w:szCs w:val="20"/>
        </w:rPr>
        <w:t>e.g.,</w:t>
      </w:r>
      <w:r w:rsidR="00220E3C" w:rsidRPr="00156ED1">
        <w:rPr>
          <w:rFonts w:cstheme="minorHAnsi"/>
          <w:sz w:val="20"/>
          <w:szCs w:val="20"/>
        </w:rPr>
        <w:t xml:space="preserve"> “REF &amp; BECCS”), and each row represents a combination of the application rate and yield improvements (</w:t>
      </w:r>
      <w:r w:rsidR="0073257A" w:rsidRPr="00156ED1">
        <w:rPr>
          <w:rFonts w:cstheme="minorHAnsi"/>
          <w:sz w:val="20"/>
          <w:szCs w:val="20"/>
        </w:rPr>
        <w:t>e.g.,</w:t>
      </w:r>
      <w:r w:rsidR="00220E3C" w:rsidRPr="00156ED1">
        <w:rPr>
          <w:rFonts w:cstheme="minorHAnsi"/>
          <w:sz w:val="20"/>
          <w:szCs w:val="20"/>
        </w:rPr>
        <w:t xml:space="preserve"> “10 t/ha &amp; Default Yields”). Note that there are 32 scenarios out of 36, since the remaining 4 scenarios do not have biochar deployment.</w:t>
      </w:r>
    </w:p>
    <w:p w14:paraId="6F7840FB" w14:textId="5176F102" w:rsidR="00621864" w:rsidRPr="00156ED1" w:rsidRDefault="00621864" w:rsidP="00621864">
      <w:pPr>
        <w:rPr>
          <w:rFonts w:cstheme="minorHAnsi"/>
          <w:b/>
          <w:bCs/>
        </w:rPr>
      </w:pPr>
    </w:p>
    <w:p w14:paraId="7E69BCBA" w14:textId="397A1884" w:rsidR="00621864" w:rsidRPr="00156ED1" w:rsidRDefault="00621864" w:rsidP="00621864">
      <w:pPr>
        <w:rPr>
          <w:rFonts w:cstheme="minorHAnsi"/>
          <w:lang w:val="en"/>
        </w:rPr>
      </w:pPr>
    </w:p>
    <w:p w14:paraId="11C83C41" w14:textId="77777777" w:rsidR="00C6508E" w:rsidRPr="00156ED1" w:rsidRDefault="00C6508E" w:rsidP="00375788">
      <w:pPr>
        <w:pStyle w:val="Subtitle"/>
        <w:ind w:left="0" w:firstLine="0"/>
        <w:rPr>
          <w:rFonts w:asciiTheme="minorHAnsi" w:hAnsiTheme="minorHAnsi" w:cstheme="minorHAnsi"/>
          <w:sz w:val="28"/>
          <w:szCs w:val="28"/>
        </w:rPr>
      </w:pPr>
    </w:p>
    <w:p w14:paraId="586BCB67" w14:textId="77777777" w:rsidR="00C6508E" w:rsidRPr="00156ED1" w:rsidRDefault="00C6508E">
      <w:pPr>
        <w:rPr>
          <w:rFonts w:eastAsia="Arial" w:cstheme="minorHAnsi"/>
          <w:b/>
          <w:color w:val="666666"/>
          <w:sz w:val="28"/>
          <w:szCs w:val="28"/>
          <w:lang w:val="en"/>
        </w:rPr>
      </w:pPr>
      <w:r w:rsidRPr="00156ED1">
        <w:rPr>
          <w:rFonts w:cstheme="minorHAnsi"/>
          <w:sz w:val="28"/>
          <w:szCs w:val="28"/>
        </w:rPr>
        <w:br w:type="page"/>
      </w:r>
    </w:p>
    <w:p w14:paraId="3A8108F8" w14:textId="5346F0AC" w:rsidR="00375788" w:rsidRPr="00156ED1" w:rsidRDefault="0027048C" w:rsidP="00375788">
      <w:pPr>
        <w:pStyle w:val="Subtitle"/>
        <w:ind w:left="0" w:firstLine="0"/>
        <w:rPr>
          <w:rFonts w:asciiTheme="minorHAnsi" w:hAnsiTheme="minorHAnsi" w:cstheme="minorHAnsi"/>
          <w:sz w:val="28"/>
          <w:szCs w:val="28"/>
        </w:rPr>
      </w:pPr>
      <w:r w:rsidRPr="00156ED1">
        <w:rPr>
          <w:rFonts w:asciiTheme="minorHAnsi" w:hAnsiTheme="minorHAnsi" w:cstheme="minorHAnsi"/>
          <w:sz w:val="28"/>
          <w:szCs w:val="28"/>
        </w:rPr>
        <w:lastRenderedPageBreak/>
        <w:t xml:space="preserve">Supplementary Material </w:t>
      </w:r>
      <w:r w:rsidR="00E12A64">
        <w:rPr>
          <w:rFonts w:asciiTheme="minorHAnsi" w:hAnsiTheme="minorHAnsi" w:cstheme="minorHAnsi"/>
          <w:sz w:val="28"/>
          <w:szCs w:val="28"/>
        </w:rPr>
        <w:t>10</w:t>
      </w:r>
      <w:r w:rsidRPr="00156ED1">
        <w:rPr>
          <w:rFonts w:asciiTheme="minorHAnsi" w:hAnsiTheme="minorHAnsi" w:cstheme="minorHAnsi"/>
          <w:sz w:val="28"/>
          <w:szCs w:val="28"/>
        </w:rPr>
        <w:t xml:space="preserve"> (SM</w:t>
      </w:r>
      <w:r w:rsidR="00E12A64">
        <w:rPr>
          <w:rFonts w:asciiTheme="minorHAnsi" w:hAnsiTheme="minorHAnsi" w:cstheme="minorHAnsi"/>
          <w:sz w:val="28"/>
          <w:szCs w:val="28"/>
        </w:rPr>
        <w:t>10</w:t>
      </w:r>
      <w:r w:rsidRPr="00156ED1">
        <w:rPr>
          <w:rFonts w:asciiTheme="minorHAnsi" w:hAnsiTheme="minorHAnsi" w:cstheme="minorHAnsi"/>
          <w:sz w:val="28"/>
          <w:szCs w:val="28"/>
        </w:rPr>
        <w:t>) –</w:t>
      </w:r>
      <w:r w:rsidR="00375788" w:rsidRPr="00156ED1">
        <w:rPr>
          <w:rFonts w:asciiTheme="minorHAnsi" w:hAnsiTheme="minorHAnsi" w:cstheme="minorHAnsi"/>
          <w:sz w:val="28"/>
          <w:szCs w:val="28"/>
        </w:rPr>
        <w:t xml:space="preserve"> Land Impacts</w:t>
      </w:r>
    </w:p>
    <w:p w14:paraId="6836E424" w14:textId="4F960A98" w:rsidR="007D7944" w:rsidRPr="00156ED1" w:rsidRDefault="00375788" w:rsidP="00E11F5C">
      <w:pPr>
        <w:spacing w:before="240" w:after="240"/>
        <w:ind w:firstLine="720"/>
        <w:jc w:val="both"/>
        <w:rPr>
          <w:rFonts w:cstheme="minorHAnsi"/>
          <w:sz w:val="24"/>
          <w:szCs w:val="24"/>
        </w:rPr>
      </w:pPr>
      <w:r w:rsidRPr="00156ED1">
        <w:rPr>
          <w:rFonts w:cstheme="minorHAnsi"/>
          <w:sz w:val="24"/>
          <w:szCs w:val="24"/>
        </w:rPr>
        <w:t>The largest relative changes in land allocation happens in land used to grow biomass, in other arable land, followed by grazed pasture and by cropland. The other arable land in GCAM refers to land that could be productive but is not currently cultivated (such as fallow land). The larger the carbon price, the higher the incentives to deploy biomass (particularly in the form of BECCS), the more land gets allocated to biomass production, the more the other arable land diminishes. Forest land allocation decreases in all scenarios compared to Reference (both managed and unmanaged), mostly explained by biomass cropland expansion. Total global land allocation to crops increases in all scenarios compared to the Reference case, with yield improvements diminishing this slightly, since less land is required per unit of carbon sequestered.</w:t>
      </w:r>
    </w:p>
    <w:p w14:paraId="2409C637" w14:textId="463B8EB9" w:rsidR="00011ACB" w:rsidRPr="00156ED1" w:rsidRDefault="00011ACB" w:rsidP="001147B9">
      <w:pPr>
        <w:spacing w:before="240" w:after="240"/>
        <w:jc w:val="both"/>
        <w:rPr>
          <w:rFonts w:cstheme="minorHAnsi"/>
          <w:sz w:val="24"/>
          <w:szCs w:val="24"/>
        </w:rPr>
      </w:pPr>
      <w:r w:rsidRPr="00156ED1">
        <w:rPr>
          <w:rFonts w:cstheme="minorHAnsi"/>
          <w:noProof/>
          <w:sz w:val="24"/>
          <w:szCs w:val="24"/>
        </w:rPr>
        <w:drawing>
          <wp:inline distT="0" distB="0" distL="0" distR="0" wp14:anchorId="3A217341" wp14:editId="7D762B12">
            <wp:extent cx="5943600" cy="5519420"/>
            <wp:effectExtent l="0" t="0" r="0" b="508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5943600" cy="5519420"/>
                    </a:xfrm>
                    <a:prstGeom prst="rect">
                      <a:avLst/>
                    </a:prstGeom>
                  </pic:spPr>
                </pic:pic>
              </a:graphicData>
            </a:graphic>
          </wp:inline>
        </w:drawing>
      </w:r>
    </w:p>
    <w:p w14:paraId="75DF25E5" w14:textId="7D726E95" w:rsidR="00011ACB" w:rsidRPr="00156ED1" w:rsidRDefault="002F1121" w:rsidP="001147B9">
      <w:pPr>
        <w:spacing w:before="240" w:after="240"/>
        <w:jc w:val="both"/>
        <w:rPr>
          <w:rFonts w:cstheme="minorHAnsi"/>
          <w:sz w:val="20"/>
          <w:szCs w:val="20"/>
        </w:rPr>
      </w:pPr>
      <w:r w:rsidRPr="00156ED1">
        <w:rPr>
          <w:rFonts w:cstheme="minorHAnsi"/>
          <w:b/>
          <w:bCs/>
          <w:sz w:val="20"/>
          <w:szCs w:val="20"/>
        </w:rPr>
        <w:lastRenderedPageBreak/>
        <w:t>Figure SM</w:t>
      </w:r>
      <w:r w:rsidR="00BA70E2" w:rsidRPr="00156ED1">
        <w:rPr>
          <w:rFonts w:cstheme="minorHAnsi"/>
          <w:b/>
          <w:bCs/>
          <w:sz w:val="20"/>
          <w:szCs w:val="20"/>
        </w:rPr>
        <w:t>1</w:t>
      </w:r>
      <w:r w:rsidR="00EF5A76">
        <w:rPr>
          <w:rFonts w:cstheme="minorHAnsi"/>
          <w:b/>
          <w:bCs/>
          <w:sz w:val="20"/>
          <w:szCs w:val="20"/>
        </w:rPr>
        <w:t>0</w:t>
      </w:r>
      <w:r w:rsidRPr="00156ED1">
        <w:rPr>
          <w:rFonts w:cstheme="minorHAnsi"/>
          <w:b/>
          <w:bCs/>
          <w:sz w:val="20"/>
          <w:szCs w:val="20"/>
        </w:rPr>
        <w:t xml:space="preserve"> | </w:t>
      </w:r>
      <w:r w:rsidR="00011ACB" w:rsidRPr="00156ED1">
        <w:rPr>
          <w:rFonts w:cstheme="minorHAnsi"/>
          <w:sz w:val="20"/>
          <w:szCs w:val="20"/>
        </w:rPr>
        <w:t>Global land allocation by land type</w:t>
      </w:r>
      <w:r w:rsidR="009C6E6B" w:rsidRPr="00156ED1">
        <w:rPr>
          <w:rFonts w:cstheme="minorHAnsi"/>
          <w:sz w:val="20"/>
          <w:szCs w:val="20"/>
        </w:rPr>
        <w:t>: (</w:t>
      </w:r>
      <w:r w:rsidR="009C6E6B" w:rsidRPr="00156ED1">
        <w:rPr>
          <w:rFonts w:cstheme="minorHAnsi"/>
          <w:b/>
          <w:bCs/>
          <w:sz w:val="20"/>
          <w:szCs w:val="20"/>
        </w:rPr>
        <w:t>a</w:t>
      </w:r>
      <w:r w:rsidR="009C6E6B" w:rsidRPr="00156ED1">
        <w:rPr>
          <w:rFonts w:cstheme="minorHAnsi"/>
          <w:sz w:val="20"/>
          <w:szCs w:val="20"/>
        </w:rPr>
        <w:t xml:space="preserve">) </w:t>
      </w:r>
      <w:r w:rsidR="007D7944" w:rsidRPr="00156ED1">
        <w:rPr>
          <w:rFonts w:cstheme="minorHAnsi"/>
          <w:sz w:val="20"/>
          <w:szCs w:val="20"/>
        </w:rPr>
        <w:t>biomass, (</w:t>
      </w:r>
      <w:r w:rsidR="009C6E6B" w:rsidRPr="00156ED1">
        <w:rPr>
          <w:rFonts w:cstheme="minorHAnsi"/>
          <w:b/>
          <w:bCs/>
          <w:sz w:val="20"/>
          <w:szCs w:val="20"/>
        </w:rPr>
        <w:t>b</w:t>
      </w:r>
      <w:r w:rsidR="009C6E6B" w:rsidRPr="00156ED1">
        <w:rPr>
          <w:rFonts w:cstheme="minorHAnsi"/>
          <w:sz w:val="20"/>
          <w:szCs w:val="20"/>
        </w:rPr>
        <w:t>) crops, (</w:t>
      </w:r>
      <w:r w:rsidR="009C6E6B" w:rsidRPr="00156ED1">
        <w:rPr>
          <w:rFonts w:cstheme="minorHAnsi"/>
          <w:b/>
          <w:bCs/>
          <w:sz w:val="20"/>
          <w:szCs w:val="20"/>
        </w:rPr>
        <w:t>c</w:t>
      </w:r>
      <w:r w:rsidR="009C6E6B" w:rsidRPr="00156ED1">
        <w:rPr>
          <w:rFonts w:cstheme="minorHAnsi"/>
          <w:sz w:val="20"/>
          <w:szCs w:val="20"/>
        </w:rPr>
        <w:t>) other arable land, (</w:t>
      </w:r>
      <w:r w:rsidR="009C6E6B" w:rsidRPr="00156ED1">
        <w:rPr>
          <w:rFonts w:cstheme="minorHAnsi"/>
          <w:b/>
          <w:bCs/>
          <w:sz w:val="20"/>
          <w:szCs w:val="20"/>
        </w:rPr>
        <w:t>d</w:t>
      </w:r>
      <w:r w:rsidR="009C6E6B" w:rsidRPr="00156ED1">
        <w:rPr>
          <w:rFonts w:cstheme="minorHAnsi"/>
          <w:sz w:val="20"/>
          <w:szCs w:val="20"/>
        </w:rPr>
        <w:t>) managed forest, (</w:t>
      </w:r>
      <w:r w:rsidR="009C6E6B" w:rsidRPr="00156ED1">
        <w:rPr>
          <w:rFonts w:cstheme="minorHAnsi"/>
          <w:b/>
          <w:bCs/>
          <w:sz w:val="20"/>
          <w:szCs w:val="20"/>
        </w:rPr>
        <w:t>e</w:t>
      </w:r>
      <w:r w:rsidR="009C6E6B" w:rsidRPr="00156ED1">
        <w:rPr>
          <w:rFonts w:cstheme="minorHAnsi"/>
          <w:sz w:val="20"/>
          <w:szCs w:val="20"/>
        </w:rPr>
        <w:t>) unmanaged forest, (</w:t>
      </w:r>
      <w:r w:rsidR="009C6E6B" w:rsidRPr="00156ED1">
        <w:rPr>
          <w:rFonts w:cstheme="minorHAnsi"/>
          <w:b/>
          <w:bCs/>
          <w:sz w:val="20"/>
          <w:szCs w:val="20"/>
        </w:rPr>
        <w:t>f</w:t>
      </w:r>
      <w:r w:rsidR="009C6E6B" w:rsidRPr="00156ED1">
        <w:rPr>
          <w:rFonts w:cstheme="minorHAnsi"/>
          <w:sz w:val="20"/>
          <w:szCs w:val="20"/>
        </w:rPr>
        <w:t>) grassland, (</w:t>
      </w:r>
      <w:r w:rsidR="009C6E6B" w:rsidRPr="00156ED1">
        <w:rPr>
          <w:rFonts w:cstheme="minorHAnsi"/>
          <w:b/>
          <w:bCs/>
          <w:sz w:val="20"/>
          <w:szCs w:val="20"/>
        </w:rPr>
        <w:t>g</w:t>
      </w:r>
      <w:r w:rsidR="009C6E6B" w:rsidRPr="00156ED1">
        <w:rPr>
          <w:rFonts w:cstheme="minorHAnsi"/>
          <w:sz w:val="20"/>
          <w:szCs w:val="20"/>
        </w:rPr>
        <w:t>), grazed pasture, (</w:t>
      </w:r>
      <w:r w:rsidR="009C6E6B" w:rsidRPr="00156ED1">
        <w:rPr>
          <w:rFonts w:cstheme="minorHAnsi"/>
          <w:b/>
          <w:bCs/>
          <w:sz w:val="20"/>
          <w:szCs w:val="20"/>
        </w:rPr>
        <w:t>h</w:t>
      </w:r>
      <w:r w:rsidR="009C6E6B" w:rsidRPr="00156ED1">
        <w:rPr>
          <w:rFonts w:cstheme="minorHAnsi"/>
          <w:sz w:val="20"/>
          <w:szCs w:val="20"/>
        </w:rPr>
        <w:t>) other pasture, and (</w:t>
      </w:r>
      <w:r w:rsidR="009C6E6B" w:rsidRPr="00156ED1">
        <w:rPr>
          <w:rFonts w:cstheme="minorHAnsi"/>
          <w:b/>
          <w:bCs/>
          <w:sz w:val="20"/>
          <w:szCs w:val="20"/>
        </w:rPr>
        <w:t>i</w:t>
      </w:r>
      <w:r w:rsidR="009C6E6B" w:rsidRPr="00156ED1">
        <w:rPr>
          <w:rFonts w:cstheme="minorHAnsi"/>
          <w:sz w:val="20"/>
          <w:szCs w:val="20"/>
        </w:rPr>
        <w:t>) shrubs.</w:t>
      </w:r>
      <w:r w:rsidR="00011ACB" w:rsidRPr="00156ED1">
        <w:rPr>
          <w:rFonts w:cstheme="minorHAnsi"/>
          <w:sz w:val="20"/>
          <w:szCs w:val="20"/>
        </w:rPr>
        <w:t xml:space="preserve"> Each line represents one scenario, and each color represents one carbon price trajectory. A darker color represents a no-biochar case, and a lighter shade of the color represents scenarios with biochar. Solid lines represent scenarios where BECCS are available and dotted </w:t>
      </w:r>
      <w:r w:rsidR="009C6E6B" w:rsidRPr="00156ED1">
        <w:rPr>
          <w:rFonts w:cstheme="minorHAnsi"/>
          <w:sz w:val="20"/>
          <w:szCs w:val="20"/>
        </w:rPr>
        <w:t xml:space="preserve">and shaded </w:t>
      </w:r>
      <w:r w:rsidR="00011ACB" w:rsidRPr="00156ED1">
        <w:rPr>
          <w:rFonts w:cstheme="minorHAnsi"/>
          <w:sz w:val="20"/>
          <w:szCs w:val="20"/>
        </w:rPr>
        <w:t xml:space="preserve">lines those where BECCS is unavailable. A square </w:t>
      </w:r>
      <w:proofErr w:type="spellStart"/>
      <w:r w:rsidR="00011ACB" w:rsidRPr="00156ED1">
        <w:rPr>
          <w:rFonts w:cstheme="minorHAnsi"/>
          <w:sz w:val="20"/>
          <w:szCs w:val="20"/>
        </w:rPr>
        <w:t>geom</w:t>
      </w:r>
      <w:proofErr w:type="spellEnd"/>
      <w:r w:rsidR="00011ACB" w:rsidRPr="00156ED1">
        <w:rPr>
          <w:rFonts w:cstheme="minorHAnsi"/>
          <w:sz w:val="20"/>
          <w:szCs w:val="20"/>
        </w:rPr>
        <w:t xml:space="preserve"> represents default yields and 0 application rates, a circle represents default yields, and a triangle represents increased yields. The white circular and triangular </w:t>
      </w:r>
      <w:proofErr w:type="spellStart"/>
      <w:r w:rsidR="00011ACB" w:rsidRPr="00156ED1">
        <w:rPr>
          <w:rFonts w:cstheme="minorHAnsi"/>
          <w:sz w:val="20"/>
          <w:szCs w:val="20"/>
        </w:rPr>
        <w:t>geoms</w:t>
      </w:r>
      <w:proofErr w:type="spellEnd"/>
      <w:r w:rsidR="00011ACB" w:rsidRPr="00156ED1">
        <w:rPr>
          <w:rFonts w:cstheme="minorHAnsi"/>
          <w:sz w:val="20"/>
          <w:szCs w:val="20"/>
        </w:rPr>
        <w:t xml:space="preserve"> represent application rates of 10 t/ha, whereas a black </w:t>
      </w:r>
      <w:proofErr w:type="spellStart"/>
      <w:r w:rsidR="00011ACB" w:rsidRPr="00156ED1">
        <w:rPr>
          <w:rFonts w:cstheme="minorHAnsi"/>
          <w:sz w:val="20"/>
          <w:szCs w:val="20"/>
        </w:rPr>
        <w:t>geom</w:t>
      </w:r>
      <w:proofErr w:type="spellEnd"/>
      <w:r w:rsidR="00011ACB" w:rsidRPr="00156ED1">
        <w:rPr>
          <w:rFonts w:cstheme="minorHAnsi"/>
          <w:sz w:val="20"/>
          <w:szCs w:val="20"/>
        </w:rPr>
        <w:t xml:space="preserve"> represents application rates of 20 t/ha. Note different scales on y-axes.</w:t>
      </w:r>
    </w:p>
    <w:p w14:paraId="41D3A5C7" w14:textId="77777777" w:rsidR="00375788" w:rsidRPr="00156ED1" w:rsidRDefault="00375788" w:rsidP="00375788">
      <w:pPr>
        <w:spacing w:before="240" w:after="240"/>
        <w:rPr>
          <w:rFonts w:cstheme="minorHAnsi"/>
          <w:sz w:val="24"/>
          <w:szCs w:val="24"/>
        </w:rPr>
      </w:pPr>
    </w:p>
    <w:p w14:paraId="2C3398F6" w14:textId="77777777" w:rsidR="002D196A" w:rsidRPr="00156ED1" w:rsidRDefault="002D196A">
      <w:pPr>
        <w:rPr>
          <w:rFonts w:cstheme="minorHAnsi"/>
          <w:bCs/>
          <w:sz w:val="24"/>
          <w:szCs w:val="24"/>
          <w:u w:val="single"/>
        </w:rPr>
      </w:pPr>
      <w:r w:rsidRPr="00156ED1">
        <w:rPr>
          <w:rFonts w:cstheme="minorHAnsi"/>
          <w:bCs/>
          <w:sz w:val="24"/>
          <w:szCs w:val="24"/>
          <w:u w:val="single"/>
        </w:rPr>
        <w:br w:type="page"/>
      </w:r>
    </w:p>
    <w:p w14:paraId="52750C45" w14:textId="533950D9" w:rsidR="00432D80" w:rsidRPr="00156ED1" w:rsidRDefault="00432D80" w:rsidP="00432D80">
      <w:pPr>
        <w:pStyle w:val="Subtitle"/>
        <w:ind w:left="0" w:firstLine="0"/>
        <w:rPr>
          <w:rFonts w:asciiTheme="minorHAnsi" w:hAnsiTheme="minorHAnsi" w:cstheme="minorHAnsi"/>
          <w:sz w:val="28"/>
          <w:szCs w:val="28"/>
        </w:rPr>
      </w:pPr>
      <w:r w:rsidRPr="00156ED1">
        <w:rPr>
          <w:rFonts w:asciiTheme="minorHAnsi" w:hAnsiTheme="minorHAnsi" w:cstheme="minorHAnsi"/>
          <w:sz w:val="28"/>
          <w:szCs w:val="28"/>
        </w:rPr>
        <w:lastRenderedPageBreak/>
        <w:t xml:space="preserve">Supplementary Material </w:t>
      </w:r>
      <w:r w:rsidR="000652A5" w:rsidRPr="00156ED1">
        <w:rPr>
          <w:rFonts w:asciiTheme="minorHAnsi" w:hAnsiTheme="minorHAnsi" w:cstheme="minorHAnsi"/>
          <w:sz w:val="28"/>
          <w:szCs w:val="28"/>
        </w:rPr>
        <w:t>1</w:t>
      </w:r>
      <w:r w:rsidR="002F0353">
        <w:rPr>
          <w:rFonts w:asciiTheme="minorHAnsi" w:hAnsiTheme="minorHAnsi" w:cstheme="minorHAnsi"/>
          <w:sz w:val="28"/>
          <w:szCs w:val="28"/>
        </w:rPr>
        <w:t>1</w:t>
      </w:r>
      <w:r w:rsidRPr="00156ED1">
        <w:rPr>
          <w:rFonts w:asciiTheme="minorHAnsi" w:hAnsiTheme="minorHAnsi" w:cstheme="minorHAnsi"/>
          <w:sz w:val="28"/>
          <w:szCs w:val="28"/>
        </w:rPr>
        <w:t xml:space="preserve"> (SM</w:t>
      </w:r>
      <w:r w:rsidR="000652A5" w:rsidRPr="00156ED1">
        <w:rPr>
          <w:rFonts w:asciiTheme="minorHAnsi" w:hAnsiTheme="minorHAnsi" w:cstheme="minorHAnsi"/>
          <w:sz w:val="28"/>
          <w:szCs w:val="28"/>
        </w:rPr>
        <w:t>1</w:t>
      </w:r>
      <w:r w:rsidR="002F0353">
        <w:rPr>
          <w:rFonts w:asciiTheme="minorHAnsi" w:hAnsiTheme="minorHAnsi" w:cstheme="minorHAnsi"/>
          <w:sz w:val="28"/>
          <w:szCs w:val="28"/>
        </w:rPr>
        <w:t>1</w:t>
      </w:r>
      <w:r w:rsidRPr="00156ED1">
        <w:rPr>
          <w:rFonts w:asciiTheme="minorHAnsi" w:hAnsiTheme="minorHAnsi" w:cstheme="minorHAnsi"/>
          <w:sz w:val="28"/>
          <w:szCs w:val="28"/>
        </w:rPr>
        <w:t>) – Refined Liquid Fuel Production</w:t>
      </w:r>
    </w:p>
    <w:p w14:paraId="6F64900D" w14:textId="72702E88" w:rsidR="00432D80" w:rsidRPr="00156ED1" w:rsidRDefault="000801ED" w:rsidP="00C34B61">
      <w:pPr>
        <w:spacing w:before="120" w:after="120"/>
        <w:ind w:firstLine="720"/>
        <w:jc w:val="both"/>
        <w:rPr>
          <w:rFonts w:cstheme="minorHAnsi"/>
          <w:sz w:val="24"/>
          <w:szCs w:val="24"/>
        </w:rPr>
      </w:pPr>
      <w:r w:rsidRPr="00156ED1">
        <w:rPr>
          <w:rFonts w:cstheme="minorHAnsi"/>
          <w:sz w:val="24"/>
          <w:szCs w:val="24"/>
        </w:rPr>
        <w:t>H</w:t>
      </w:r>
      <w:r w:rsidR="00432D80" w:rsidRPr="00156ED1">
        <w:rPr>
          <w:rFonts w:cstheme="minorHAnsi"/>
          <w:sz w:val="24"/>
          <w:szCs w:val="24"/>
        </w:rPr>
        <w:t xml:space="preserve">igher carbon prices </w:t>
      </w:r>
      <w:r w:rsidR="00126C21" w:rsidRPr="00156ED1">
        <w:rPr>
          <w:rFonts w:cstheme="minorHAnsi"/>
          <w:sz w:val="24"/>
          <w:szCs w:val="24"/>
        </w:rPr>
        <w:t>lead</w:t>
      </w:r>
      <w:r w:rsidR="00432D80" w:rsidRPr="00156ED1">
        <w:rPr>
          <w:rFonts w:cstheme="minorHAnsi"/>
          <w:sz w:val="24"/>
          <w:szCs w:val="24"/>
        </w:rPr>
        <w:t xml:space="preserve"> to lower refined liquid fuel production, given that there is an electrification of end-use sectors</w:t>
      </w:r>
      <w:r w:rsidRPr="00156ED1">
        <w:rPr>
          <w:rFonts w:cstheme="minorHAnsi"/>
          <w:sz w:val="24"/>
          <w:szCs w:val="24"/>
        </w:rPr>
        <w:t xml:space="preserve"> (SM1</w:t>
      </w:r>
      <w:r w:rsidR="00C34B61">
        <w:rPr>
          <w:rFonts w:cstheme="minorHAnsi"/>
          <w:sz w:val="24"/>
          <w:szCs w:val="24"/>
        </w:rPr>
        <w:t>4</w:t>
      </w:r>
      <w:r w:rsidRPr="00156ED1">
        <w:rPr>
          <w:rFonts w:cstheme="minorHAnsi"/>
          <w:sz w:val="24"/>
          <w:szCs w:val="24"/>
        </w:rPr>
        <w:t>)</w:t>
      </w:r>
      <w:r w:rsidR="00432D80" w:rsidRPr="00156ED1">
        <w:rPr>
          <w:rFonts w:cstheme="minorHAnsi"/>
          <w:sz w:val="24"/>
          <w:szCs w:val="24"/>
        </w:rPr>
        <w:t>, especially transportation. In 2015 total global refined liquid fuel production is about 177 EJ, which increases to almost 366 EJ by 2100 in a Reference case, with little impact when including biochar (Fig</w:t>
      </w:r>
      <w:r w:rsidRPr="00156ED1">
        <w:rPr>
          <w:rFonts w:cstheme="minorHAnsi"/>
          <w:sz w:val="24"/>
          <w:szCs w:val="24"/>
        </w:rPr>
        <w:t xml:space="preserve">. </w:t>
      </w:r>
      <w:r w:rsidR="00432D80" w:rsidRPr="00156ED1">
        <w:rPr>
          <w:rFonts w:cstheme="minorHAnsi"/>
          <w:sz w:val="24"/>
          <w:szCs w:val="24"/>
        </w:rPr>
        <w:t>SM</w:t>
      </w:r>
      <w:r w:rsidR="00C34B61">
        <w:rPr>
          <w:rFonts w:cstheme="minorHAnsi"/>
          <w:sz w:val="24"/>
          <w:szCs w:val="24"/>
        </w:rPr>
        <w:t>1</w:t>
      </w:r>
      <w:r w:rsidR="00EF5A76">
        <w:rPr>
          <w:rFonts w:cstheme="minorHAnsi"/>
          <w:sz w:val="24"/>
          <w:szCs w:val="24"/>
        </w:rPr>
        <w:t>1</w:t>
      </w:r>
      <w:r w:rsidR="00432D80" w:rsidRPr="00156ED1">
        <w:rPr>
          <w:rFonts w:cstheme="minorHAnsi"/>
          <w:sz w:val="24"/>
          <w:szCs w:val="24"/>
        </w:rPr>
        <w:t>).</w:t>
      </w:r>
    </w:p>
    <w:p w14:paraId="7FF72C85" w14:textId="054FF840" w:rsidR="00432D80" w:rsidRPr="00156ED1" w:rsidRDefault="00432D80" w:rsidP="00C34B61">
      <w:pPr>
        <w:spacing w:before="120" w:after="120"/>
        <w:ind w:firstLine="720"/>
        <w:jc w:val="both"/>
        <w:rPr>
          <w:rFonts w:cstheme="minorHAnsi"/>
          <w:sz w:val="24"/>
          <w:szCs w:val="24"/>
        </w:rPr>
      </w:pPr>
      <w:r w:rsidRPr="00156ED1">
        <w:rPr>
          <w:rFonts w:cstheme="minorHAnsi"/>
          <w:sz w:val="24"/>
          <w:szCs w:val="24"/>
        </w:rPr>
        <w:t xml:space="preserve">The different carbon prices derive in lower total global refined liquid fuel production, with higher prices causing larger reductions compared to the Reference case. By 2100, refined liquid fuel </w:t>
      </w:r>
      <w:r w:rsidR="000801ED" w:rsidRPr="00156ED1">
        <w:rPr>
          <w:rFonts w:cstheme="minorHAnsi"/>
          <w:sz w:val="24"/>
          <w:szCs w:val="24"/>
        </w:rPr>
        <w:t>production</w:t>
      </w:r>
      <w:r w:rsidRPr="00156ED1">
        <w:rPr>
          <w:rFonts w:cstheme="minorHAnsi"/>
          <w:sz w:val="24"/>
          <w:szCs w:val="24"/>
        </w:rPr>
        <w:t xml:space="preserve"> in scenarios without biochar range from 239 EJ, to 180, to 137 EJ, in the Low, </w:t>
      </w:r>
      <w:proofErr w:type="gramStart"/>
      <w:r w:rsidRPr="00156ED1">
        <w:rPr>
          <w:rFonts w:cstheme="minorHAnsi"/>
          <w:sz w:val="24"/>
          <w:szCs w:val="24"/>
        </w:rPr>
        <w:t>Medium</w:t>
      </w:r>
      <w:proofErr w:type="gramEnd"/>
      <w:r w:rsidRPr="00156ED1">
        <w:rPr>
          <w:rFonts w:cstheme="minorHAnsi"/>
          <w:sz w:val="24"/>
          <w:szCs w:val="24"/>
        </w:rPr>
        <w:t xml:space="preserve"> and High carbon price scenarios, respectively. </w:t>
      </w:r>
    </w:p>
    <w:p w14:paraId="4873D670" w14:textId="23CFAA3E" w:rsidR="00432D80" w:rsidRPr="00156ED1" w:rsidRDefault="00432D80" w:rsidP="00C34B61">
      <w:pPr>
        <w:spacing w:before="120" w:after="120"/>
        <w:ind w:firstLine="720"/>
        <w:jc w:val="both"/>
        <w:rPr>
          <w:rFonts w:cstheme="minorHAnsi"/>
          <w:sz w:val="24"/>
          <w:szCs w:val="24"/>
        </w:rPr>
      </w:pPr>
      <w:r w:rsidRPr="00156ED1">
        <w:rPr>
          <w:rFonts w:cstheme="minorHAnsi"/>
          <w:sz w:val="24"/>
          <w:szCs w:val="24"/>
        </w:rPr>
        <w:t xml:space="preserve">Eliminating BECCS deployment in the model increases global refined liquid fuel production by </w:t>
      </w:r>
      <w:r w:rsidR="000801ED" w:rsidRPr="00156ED1">
        <w:rPr>
          <w:rFonts w:cstheme="minorHAnsi"/>
          <w:sz w:val="24"/>
          <w:szCs w:val="24"/>
        </w:rPr>
        <w:t>6</w:t>
      </w:r>
      <w:r w:rsidRPr="00156ED1">
        <w:rPr>
          <w:rFonts w:cstheme="minorHAnsi"/>
          <w:sz w:val="24"/>
          <w:szCs w:val="24"/>
        </w:rPr>
        <w:t>-1</w:t>
      </w:r>
      <w:r w:rsidR="000801ED" w:rsidRPr="00156ED1">
        <w:rPr>
          <w:rFonts w:cstheme="minorHAnsi"/>
          <w:sz w:val="24"/>
          <w:szCs w:val="24"/>
        </w:rPr>
        <w:t>3</w:t>
      </w:r>
      <w:r w:rsidRPr="00156ED1">
        <w:rPr>
          <w:rFonts w:cstheme="minorHAnsi"/>
          <w:sz w:val="24"/>
          <w:szCs w:val="24"/>
        </w:rPr>
        <w:t>%, 20-2</w:t>
      </w:r>
      <w:r w:rsidR="000801ED" w:rsidRPr="00156ED1">
        <w:rPr>
          <w:rFonts w:cstheme="minorHAnsi"/>
          <w:sz w:val="24"/>
          <w:szCs w:val="24"/>
        </w:rPr>
        <w:t>8</w:t>
      </w:r>
      <w:r w:rsidRPr="00156ED1">
        <w:rPr>
          <w:rFonts w:cstheme="minorHAnsi"/>
          <w:sz w:val="24"/>
          <w:szCs w:val="24"/>
        </w:rPr>
        <w:t>% and 25-3</w:t>
      </w:r>
      <w:r w:rsidR="000801ED" w:rsidRPr="00156ED1">
        <w:rPr>
          <w:rFonts w:cstheme="minorHAnsi"/>
          <w:sz w:val="24"/>
          <w:szCs w:val="24"/>
        </w:rPr>
        <w:t>4</w:t>
      </w:r>
      <w:r w:rsidRPr="00156ED1">
        <w:rPr>
          <w:rFonts w:cstheme="minorHAnsi"/>
          <w:sz w:val="24"/>
          <w:szCs w:val="24"/>
        </w:rPr>
        <w:t>% in the Low, Medium</w:t>
      </w:r>
      <w:r w:rsidR="000801ED" w:rsidRPr="00156ED1">
        <w:rPr>
          <w:rFonts w:cstheme="minorHAnsi"/>
          <w:sz w:val="24"/>
          <w:szCs w:val="24"/>
        </w:rPr>
        <w:t>,</w:t>
      </w:r>
      <w:r w:rsidRPr="00156ED1">
        <w:rPr>
          <w:rFonts w:cstheme="minorHAnsi"/>
          <w:sz w:val="24"/>
          <w:szCs w:val="24"/>
        </w:rPr>
        <w:t xml:space="preserve"> and High carbon price trajectories by 2100, respectively, with the range representing the different scenario variations. This increase is largely driven by a growth in bioliquids production (without CCS) since this conversion pathway offers, at least, carbon-neutral fuels for transportation (Fig</w:t>
      </w:r>
      <w:r w:rsidR="000801ED" w:rsidRPr="00156ED1">
        <w:rPr>
          <w:rFonts w:cstheme="minorHAnsi"/>
          <w:sz w:val="24"/>
          <w:szCs w:val="24"/>
        </w:rPr>
        <w:t>.</w:t>
      </w:r>
      <w:r w:rsidRPr="00156ED1">
        <w:rPr>
          <w:rFonts w:cstheme="minorHAnsi"/>
          <w:sz w:val="24"/>
          <w:szCs w:val="24"/>
        </w:rPr>
        <w:t xml:space="preserve"> SM1</w:t>
      </w:r>
      <w:r w:rsidR="00EF5A76">
        <w:rPr>
          <w:rFonts w:cstheme="minorHAnsi"/>
          <w:sz w:val="24"/>
          <w:szCs w:val="24"/>
        </w:rPr>
        <w:t>2</w:t>
      </w:r>
      <w:r w:rsidRPr="00156ED1">
        <w:rPr>
          <w:rFonts w:cstheme="minorHAnsi"/>
          <w:sz w:val="24"/>
          <w:szCs w:val="24"/>
        </w:rPr>
        <w:t>). Eliminating BECCS deployment increases bioliquids in the refining sector, since there are fewer low-carbon technology options in this sector, as opposed to the electricity generation sector, for example, where eliminating BECCS mostly increases renewable energies</w:t>
      </w:r>
      <w:r w:rsidR="000801ED" w:rsidRPr="00156ED1">
        <w:rPr>
          <w:rFonts w:cstheme="minorHAnsi"/>
          <w:sz w:val="24"/>
          <w:szCs w:val="24"/>
        </w:rPr>
        <w:t xml:space="preserve"> (SM1</w:t>
      </w:r>
      <w:r w:rsidR="004429D2">
        <w:rPr>
          <w:rFonts w:cstheme="minorHAnsi"/>
          <w:sz w:val="24"/>
          <w:szCs w:val="24"/>
        </w:rPr>
        <w:t>4</w:t>
      </w:r>
      <w:r w:rsidR="000801ED" w:rsidRPr="00156ED1">
        <w:rPr>
          <w:rFonts w:cstheme="minorHAnsi"/>
          <w:sz w:val="24"/>
          <w:szCs w:val="24"/>
        </w:rPr>
        <w:t>)</w:t>
      </w:r>
      <w:r w:rsidRPr="00156ED1">
        <w:rPr>
          <w:rFonts w:cstheme="minorHAnsi"/>
          <w:sz w:val="24"/>
          <w:szCs w:val="24"/>
        </w:rPr>
        <w:t xml:space="preserve">. </w:t>
      </w:r>
    </w:p>
    <w:p w14:paraId="38585097" w14:textId="2F188B38" w:rsidR="00CD761E" w:rsidRPr="00156ED1" w:rsidRDefault="00CD761E" w:rsidP="00432D80">
      <w:pPr>
        <w:spacing w:before="120" w:after="120"/>
        <w:jc w:val="both"/>
        <w:rPr>
          <w:rFonts w:cstheme="minorHAnsi"/>
          <w:sz w:val="24"/>
          <w:szCs w:val="24"/>
        </w:rPr>
      </w:pPr>
    </w:p>
    <w:p w14:paraId="5BA1BF6E" w14:textId="7AD6CDF0" w:rsidR="00CD761E" w:rsidRPr="00156ED1" w:rsidRDefault="00CD761E" w:rsidP="0069101F">
      <w:pPr>
        <w:spacing w:before="120" w:after="120"/>
        <w:jc w:val="center"/>
        <w:rPr>
          <w:rFonts w:cstheme="minorHAnsi"/>
          <w:sz w:val="24"/>
          <w:szCs w:val="24"/>
        </w:rPr>
      </w:pPr>
      <w:r w:rsidRPr="00156ED1">
        <w:rPr>
          <w:rFonts w:cstheme="minorHAnsi"/>
          <w:noProof/>
          <w:sz w:val="24"/>
          <w:szCs w:val="24"/>
        </w:rPr>
        <w:lastRenderedPageBreak/>
        <w:drawing>
          <wp:inline distT="0" distB="0" distL="0" distR="0" wp14:anchorId="00D10B9B" wp14:editId="5D3CE80D">
            <wp:extent cx="4875775" cy="6581775"/>
            <wp:effectExtent l="0" t="0" r="1270" b="0"/>
            <wp:docPr id="9" name="Picture 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4891234" cy="6602643"/>
                    </a:xfrm>
                    <a:prstGeom prst="rect">
                      <a:avLst/>
                    </a:prstGeom>
                  </pic:spPr>
                </pic:pic>
              </a:graphicData>
            </a:graphic>
          </wp:inline>
        </w:drawing>
      </w:r>
    </w:p>
    <w:p w14:paraId="7EFA3BAB" w14:textId="42332817" w:rsidR="0044629E" w:rsidRPr="00156ED1" w:rsidRDefault="0044629E" w:rsidP="00432D80">
      <w:pPr>
        <w:spacing w:before="120" w:after="120"/>
        <w:jc w:val="both"/>
        <w:rPr>
          <w:rFonts w:cstheme="minorHAnsi"/>
          <w:sz w:val="20"/>
          <w:szCs w:val="20"/>
        </w:rPr>
      </w:pPr>
      <w:r w:rsidRPr="00156ED1">
        <w:rPr>
          <w:rFonts w:cstheme="minorHAnsi"/>
          <w:b/>
          <w:bCs/>
          <w:sz w:val="20"/>
          <w:szCs w:val="20"/>
        </w:rPr>
        <w:t>Figure SM</w:t>
      </w:r>
      <w:r w:rsidR="00B35869" w:rsidRPr="00156ED1">
        <w:rPr>
          <w:rFonts w:cstheme="minorHAnsi"/>
          <w:b/>
          <w:bCs/>
          <w:sz w:val="20"/>
          <w:szCs w:val="20"/>
        </w:rPr>
        <w:t>1</w:t>
      </w:r>
      <w:r w:rsidR="00EF5A76">
        <w:rPr>
          <w:rFonts w:cstheme="minorHAnsi"/>
          <w:b/>
          <w:bCs/>
          <w:sz w:val="20"/>
          <w:szCs w:val="20"/>
        </w:rPr>
        <w:t>1</w:t>
      </w:r>
      <w:r w:rsidR="00D174AF" w:rsidRPr="00156ED1">
        <w:rPr>
          <w:rFonts w:cstheme="minorHAnsi"/>
          <w:b/>
          <w:bCs/>
          <w:sz w:val="20"/>
          <w:szCs w:val="20"/>
        </w:rPr>
        <w:t xml:space="preserve"> |</w:t>
      </w:r>
      <w:r w:rsidR="00D174AF" w:rsidRPr="00156ED1">
        <w:rPr>
          <w:rFonts w:cstheme="minorHAnsi"/>
          <w:sz w:val="20"/>
          <w:szCs w:val="20"/>
        </w:rPr>
        <w:t xml:space="preserve"> Total global refined liquid fuel production (</w:t>
      </w:r>
      <w:r w:rsidR="00D174AF" w:rsidRPr="00156ED1">
        <w:rPr>
          <w:rFonts w:cstheme="minorHAnsi"/>
          <w:b/>
          <w:bCs/>
          <w:sz w:val="20"/>
          <w:szCs w:val="20"/>
        </w:rPr>
        <w:t>a</w:t>
      </w:r>
      <w:r w:rsidR="00D174AF" w:rsidRPr="00156ED1">
        <w:rPr>
          <w:rFonts w:cstheme="minorHAnsi"/>
          <w:sz w:val="20"/>
          <w:szCs w:val="20"/>
        </w:rPr>
        <w:t>) and refined liquid fuel production by technology (</w:t>
      </w:r>
      <w:r w:rsidR="00D174AF" w:rsidRPr="00156ED1">
        <w:rPr>
          <w:rFonts w:cstheme="minorHAnsi"/>
          <w:b/>
          <w:bCs/>
          <w:sz w:val="20"/>
          <w:szCs w:val="20"/>
        </w:rPr>
        <w:t>b</w:t>
      </w:r>
      <w:r w:rsidR="00D174AF" w:rsidRPr="00156ED1">
        <w:rPr>
          <w:rFonts w:cstheme="minorHAnsi"/>
          <w:sz w:val="20"/>
          <w:szCs w:val="20"/>
        </w:rPr>
        <w:t xml:space="preserve">). In panels </w:t>
      </w:r>
      <w:r w:rsidR="0009666E" w:rsidRPr="00156ED1">
        <w:rPr>
          <w:rFonts w:cstheme="minorHAnsi"/>
          <w:sz w:val="20"/>
          <w:szCs w:val="20"/>
        </w:rPr>
        <w:t>(</w:t>
      </w:r>
      <w:r w:rsidR="0009666E" w:rsidRPr="00156ED1">
        <w:rPr>
          <w:rFonts w:cstheme="minorHAnsi"/>
          <w:b/>
          <w:bCs/>
          <w:sz w:val="20"/>
          <w:szCs w:val="20"/>
        </w:rPr>
        <w:t>a</w:t>
      </w:r>
      <w:r w:rsidR="0009666E" w:rsidRPr="00156ED1">
        <w:rPr>
          <w:rFonts w:cstheme="minorHAnsi"/>
          <w:sz w:val="20"/>
          <w:szCs w:val="20"/>
        </w:rPr>
        <w:t>)</w:t>
      </w:r>
      <w:r w:rsidR="00D174AF" w:rsidRPr="00156ED1">
        <w:rPr>
          <w:rFonts w:cstheme="minorHAnsi"/>
          <w:sz w:val="20"/>
          <w:szCs w:val="20"/>
        </w:rPr>
        <w:t xml:space="preserve"> each line represents one scenario, and each color represents one carbon price trajectory. A darker color represents a no-biochar case, and a lighter shade of the color represents scenarios with biochar. Solid lines represent scenarios where BECCS are available and dotted</w:t>
      </w:r>
      <w:r w:rsidR="0009666E" w:rsidRPr="00156ED1">
        <w:rPr>
          <w:rFonts w:cstheme="minorHAnsi"/>
          <w:sz w:val="20"/>
          <w:szCs w:val="20"/>
        </w:rPr>
        <w:t xml:space="preserve"> and shaded</w:t>
      </w:r>
      <w:r w:rsidR="00D174AF" w:rsidRPr="00156ED1">
        <w:rPr>
          <w:rFonts w:cstheme="minorHAnsi"/>
          <w:sz w:val="20"/>
          <w:szCs w:val="20"/>
        </w:rPr>
        <w:t xml:space="preserve"> lines those where BECCS is unavailable. A square </w:t>
      </w:r>
      <w:proofErr w:type="spellStart"/>
      <w:r w:rsidR="00D174AF" w:rsidRPr="00156ED1">
        <w:rPr>
          <w:rFonts w:cstheme="minorHAnsi"/>
          <w:sz w:val="20"/>
          <w:szCs w:val="20"/>
        </w:rPr>
        <w:t>geom</w:t>
      </w:r>
      <w:proofErr w:type="spellEnd"/>
      <w:r w:rsidR="00D174AF" w:rsidRPr="00156ED1">
        <w:rPr>
          <w:rFonts w:cstheme="minorHAnsi"/>
          <w:sz w:val="20"/>
          <w:szCs w:val="20"/>
        </w:rPr>
        <w:t xml:space="preserve"> represents default yields and 0 application rates, a circle represents default yields, and a triangle represents increased yields. The white circular and triangular </w:t>
      </w:r>
      <w:proofErr w:type="spellStart"/>
      <w:r w:rsidR="00D174AF" w:rsidRPr="00156ED1">
        <w:rPr>
          <w:rFonts w:cstheme="minorHAnsi"/>
          <w:sz w:val="20"/>
          <w:szCs w:val="20"/>
        </w:rPr>
        <w:t>geoms</w:t>
      </w:r>
      <w:proofErr w:type="spellEnd"/>
      <w:r w:rsidR="00D174AF" w:rsidRPr="00156ED1">
        <w:rPr>
          <w:rFonts w:cstheme="minorHAnsi"/>
          <w:sz w:val="20"/>
          <w:szCs w:val="20"/>
        </w:rPr>
        <w:t xml:space="preserve"> represent application rates of 10 t/ha, whereas a black </w:t>
      </w:r>
      <w:proofErr w:type="spellStart"/>
      <w:r w:rsidR="00D174AF" w:rsidRPr="00156ED1">
        <w:rPr>
          <w:rFonts w:cstheme="minorHAnsi"/>
          <w:sz w:val="20"/>
          <w:szCs w:val="20"/>
        </w:rPr>
        <w:t>geom</w:t>
      </w:r>
      <w:proofErr w:type="spellEnd"/>
      <w:r w:rsidR="00D174AF" w:rsidRPr="00156ED1">
        <w:rPr>
          <w:rFonts w:cstheme="minorHAnsi"/>
          <w:sz w:val="20"/>
          <w:szCs w:val="20"/>
        </w:rPr>
        <w:t xml:space="preserve"> represents application rates of 20 t/ha. In </w:t>
      </w:r>
      <w:r w:rsidR="0009666E" w:rsidRPr="00156ED1">
        <w:rPr>
          <w:rFonts w:cstheme="minorHAnsi"/>
          <w:sz w:val="20"/>
          <w:szCs w:val="20"/>
        </w:rPr>
        <w:t>(</w:t>
      </w:r>
      <w:r w:rsidR="0009666E" w:rsidRPr="00156ED1">
        <w:rPr>
          <w:rFonts w:cstheme="minorHAnsi"/>
          <w:b/>
          <w:bCs/>
          <w:sz w:val="20"/>
          <w:szCs w:val="20"/>
        </w:rPr>
        <w:t>b</w:t>
      </w:r>
      <w:r w:rsidR="0009666E" w:rsidRPr="00156ED1">
        <w:rPr>
          <w:rFonts w:cstheme="minorHAnsi"/>
          <w:sz w:val="20"/>
          <w:szCs w:val="20"/>
        </w:rPr>
        <w:t>)</w:t>
      </w:r>
      <w:r w:rsidR="00D174AF" w:rsidRPr="00156ED1">
        <w:rPr>
          <w:rFonts w:cstheme="minorHAnsi"/>
          <w:sz w:val="20"/>
          <w:szCs w:val="20"/>
        </w:rPr>
        <w:t xml:space="preserve"> each facet represents one scenario, each column represents a combination of carbon price and BECCS availability (</w:t>
      </w:r>
      <w:r w:rsidR="0073257A" w:rsidRPr="00156ED1">
        <w:rPr>
          <w:rFonts w:cstheme="minorHAnsi"/>
          <w:sz w:val="20"/>
          <w:szCs w:val="20"/>
        </w:rPr>
        <w:t>e.g.,</w:t>
      </w:r>
      <w:r w:rsidR="00D174AF" w:rsidRPr="00156ED1">
        <w:rPr>
          <w:rFonts w:cstheme="minorHAnsi"/>
          <w:sz w:val="20"/>
          <w:szCs w:val="20"/>
        </w:rPr>
        <w:t xml:space="preserve"> “REF</w:t>
      </w:r>
      <w:r w:rsidR="00563ED5" w:rsidRPr="00156ED1">
        <w:rPr>
          <w:rFonts w:cstheme="minorHAnsi"/>
          <w:sz w:val="20"/>
          <w:szCs w:val="20"/>
        </w:rPr>
        <w:t xml:space="preserve"> &amp; BECCS</w:t>
      </w:r>
      <w:r w:rsidR="00D174AF" w:rsidRPr="00156ED1">
        <w:rPr>
          <w:rFonts w:cstheme="minorHAnsi"/>
          <w:sz w:val="20"/>
          <w:szCs w:val="20"/>
        </w:rPr>
        <w:t>”), and each row represents a combination of the application rate and yield consideration (</w:t>
      </w:r>
      <w:r w:rsidR="0073257A" w:rsidRPr="00156ED1">
        <w:rPr>
          <w:rFonts w:cstheme="minorHAnsi"/>
          <w:sz w:val="20"/>
          <w:szCs w:val="20"/>
        </w:rPr>
        <w:t>e.g.,</w:t>
      </w:r>
      <w:r w:rsidR="00D174AF" w:rsidRPr="00156ED1">
        <w:rPr>
          <w:rFonts w:cstheme="minorHAnsi"/>
          <w:sz w:val="20"/>
          <w:szCs w:val="20"/>
        </w:rPr>
        <w:t xml:space="preserve"> “10</w:t>
      </w:r>
      <w:r w:rsidR="00563ED5" w:rsidRPr="00156ED1">
        <w:rPr>
          <w:rFonts w:cstheme="minorHAnsi"/>
          <w:sz w:val="20"/>
          <w:szCs w:val="20"/>
        </w:rPr>
        <w:t xml:space="preserve"> t/ha &amp; </w:t>
      </w:r>
      <w:r w:rsidR="00D174AF" w:rsidRPr="00156ED1">
        <w:rPr>
          <w:rFonts w:cstheme="minorHAnsi"/>
          <w:sz w:val="20"/>
          <w:szCs w:val="20"/>
        </w:rPr>
        <w:t>Default Yield</w:t>
      </w:r>
      <w:r w:rsidR="00D24A7C" w:rsidRPr="00156ED1">
        <w:rPr>
          <w:rFonts w:cstheme="minorHAnsi"/>
          <w:sz w:val="20"/>
          <w:szCs w:val="20"/>
        </w:rPr>
        <w:t>s</w:t>
      </w:r>
      <w:r w:rsidR="00D174AF" w:rsidRPr="00156ED1">
        <w:rPr>
          <w:rFonts w:cstheme="minorHAnsi"/>
          <w:sz w:val="20"/>
          <w:szCs w:val="20"/>
        </w:rPr>
        <w:t>”).</w:t>
      </w:r>
    </w:p>
    <w:p w14:paraId="2A05482C" w14:textId="2D5CD6D0" w:rsidR="0044629E" w:rsidRPr="00156ED1" w:rsidRDefault="0044629E" w:rsidP="009F3403">
      <w:pPr>
        <w:spacing w:before="120" w:after="120"/>
        <w:jc w:val="center"/>
        <w:rPr>
          <w:rFonts w:cstheme="minorHAnsi"/>
          <w:sz w:val="20"/>
          <w:szCs w:val="20"/>
        </w:rPr>
      </w:pPr>
      <w:r w:rsidRPr="00156ED1">
        <w:rPr>
          <w:rFonts w:cstheme="minorHAnsi"/>
          <w:noProof/>
          <w:sz w:val="20"/>
          <w:szCs w:val="20"/>
        </w:rPr>
        <w:lastRenderedPageBreak/>
        <w:drawing>
          <wp:inline distT="0" distB="0" distL="0" distR="0" wp14:anchorId="53072065" wp14:editId="26C5BB97">
            <wp:extent cx="5041509" cy="6781800"/>
            <wp:effectExtent l="0" t="0" r="6985" b="0"/>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5047936" cy="6790446"/>
                    </a:xfrm>
                    <a:prstGeom prst="rect">
                      <a:avLst/>
                    </a:prstGeom>
                  </pic:spPr>
                </pic:pic>
              </a:graphicData>
            </a:graphic>
          </wp:inline>
        </w:drawing>
      </w:r>
    </w:p>
    <w:p w14:paraId="331B1602" w14:textId="6650490A" w:rsidR="00432D80" w:rsidRPr="00156ED1" w:rsidRDefault="0044629E" w:rsidP="00AA4E98">
      <w:pPr>
        <w:spacing w:before="120" w:after="120"/>
        <w:jc w:val="both"/>
        <w:rPr>
          <w:rFonts w:cstheme="minorHAnsi"/>
          <w:sz w:val="20"/>
          <w:szCs w:val="20"/>
        </w:rPr>
      </w:pPr>
      <w:r w:rsidRPr="00156ED1">
        <w:rPr>
          <w:rFonts w:cstheme="minorHAnsi"/>
          <w:b/>
          <w:bCs/>
          <w:sz w:val="20"/>
          <w:szCs w:val="20"/>
        </w:rPr>
        <w:t>Figure SM1</w:t>
      </w:r>
      <w:r w:rsidR="00EF5A76">
        <w:rPr>
          <w:rFonts w:cstheme="minorHAnsi"/>
          <w:b/>
          <w:bCs/>
          <w:sz w:val="20"/>
          <w:szCs w:val="20"/>
        </w:rPr>
        <w:t>2</w:t>
      </w:r>
      <w:r w:rsidR="00D174AF" w:rsidRPr="00156ED1">
        <w:rPr>
          <w:rFonts w:cstheme="minorHAnsi"/>
          <w:b/>
          <w:bCs/>
          <w:sz w:val="20"/>
          <w:szCs w:val="20"/>
        </w:rPr>
        <w:t xml:space="preserve"> </w:t>
      </w:r>
      <w:r w:rsidR="0069101F" w:rsidRPr="00156ED1">
        <w:rPr>
          <w:rFonts w:cstheme="minorHAnsi"/>
          <w:b/>
          <w:bCs/>
          <w:sz w:val="20"/>
          <w:szCs w:val="20"/>
        </w:rPr>
        <w:t>|</w:t>
      </w:r>
      <w:r w:rsidR="0069101F" w:rsidRPr="00156ED1">
        <w:rPr>
          <w:rFonts w:cstheme="minorHAnsi"/>
          <w:sz w:val="20"/>
          <w:szCs w:val="20"/>
        </w:rPr>
        <w:t xml:space="preserve"> Total global refined liquid fuel production by technology: (</w:t>
      </w:r>
      <w:r w:rsidR="0069101F" w:rsidRPr="00156ED1">
        <w:rPr>
          <w:rFonts w:cstheme="minorHAnsi"/>
          <w:b/>
          <w:bCs/>
          <w:sz w:val="20"/>
          <w:szCs w:val="20"/>
        </w:rPr>
        <w:t>a</w:t>
      </w:r>
      <w:r w:rsidR="0069101F" w:rsidRPr="00156ED1">
        <w:rPr>
          <w:rFonts w:cstheme="minorHAnsi"/>
          <w:sz w:val="20"/>
          <w:szCs w:val="20"/>
        </w:rPr>
        <w:t>) biomass with CCS, (</w:t>
      </w:r>
      <w:r w:rsidR="0069101F" w:rsidRPr="00156ED1">
        <w:rPr>
          <w:rFonts w:cstheme="minorHAnsi"/>
          <w:b/>
          <w:bCs/>
          <w:sz w:val="20"/>
          <w:szCs w:val="20"/>
        </w:rPr>
        <w:t>b</w:t>
      </w:r>
      <w:r w:rsidR="0069101F" w:rsidRPr="00156ED1">
        <w:rPr>
          <w:rFonts w:cstheme="minorHAnsi"/>
          <w:sz w:val="20"/>
          <w:szCs w:val="20"/>
        </w:rPr>
        <w:t>) biomass without CCS, (</w:t>
      </w:r>
      <w:r w:rsidR="0069101F" w:rsidRPr="00156ED1">
        <w:rPr>
          <w:rFonts w:cstheme="minorHAnsi"/>
          <w:b/>
          <w:bCs/>
          <w:sz w:val="20"/>
          <w:szCs w:val="20"/>
        </w:rPr>
        <w:t>c</w:t>
      </w:r>
      <w:r w:rsidR="0069101F" w:rsidRPr="00156ED1">
        <w:rPr>
          <w:rFonts w:cstheme="minorHAnsi"/>
          <w:sz w:val="20"/>
          <w:szCs w:val="20"/>
        </w:rPr>
        <w:t>) coal with CCS, (</w:t>
      </w:r>
      <w:r w:rsidR="0069101F" w:rsidRPr="00156ED1">
        <w:rPr>
          <w:rFonts w:cstheme="minorHAnsi"/>
          <w:b/>
          <w:bCs/>
          <w:sz w:val="20"/>
          <w:szCs w:val="20"/>
        </w:rPr>
        <w:t>d</w:t>
      </w:r>
      <w:r w:rsidR="0069101F" w:rsidRPr="00156ED1">
        <w:rPr>
          <w:rFonts w:cstheme="minorHAnsi"/>
          <w:sz w:val="20"/>
          <w:szCs w:val="20"/>
        </w:rPr>
        <w:t>) coal without CCS, (</w:t>
      </w:r>
      <w:r w:rsidR="0069101F" w:rsidRPr="00156ED1">
        <w:rPr>
          <w:rFonts w:cstheme="minorHAnsi"/>
          <w:b/>
          <w:bCs/>
          <w:sz w:val="20"/>
          <w:szCs w:val="20"/>
        </w:rPr>
        <w:t>e</w:t>
      </w:r>
      <w:r w:rsidR="0069101F" w:rsidRPr="00156ED1">
        <w:rPr>
          <w:rFonts w:cstheme="minorHAnsi"/>
          <w:sz w:val="20"/>
          <w:szCs w:val="20"/>
        </w:rPr>
        <w:t>) gas without CCS, and (</w:t>
      </w:r>
      <w:r w:rsidR="0069101F" w:rsidRPr="00156ED1">
        <w:rPr>
          <w:rFonts w:cstheme="minorHAnsi"/>
          <w:b/>
          <w:bCs/>
          <w:sz w:val="20"/>
          <w:szCs w:val="20"/>
        </w:rPr>
        <w:t>f</w:t>
      </w:r>
      <w:r w:rsidR="0069101F" w:rsidRPr="00156ED1">
        <w:rPr>
          <w:rFonts w:cstheme="minorHAnsi"/>
          <w:sz w:val="20"/>
          <w:szCs w:val="20"/>
        </w:rPr>
        <w:t xml:space="preserve">) oil without CCS. Each line represents one scenario, and each color represents one carbon price trajectory. A darker color represents a no-biochar case, and a lighter shade of the color represents scenarios with biochar. Solid lines represent scenarios where BECCS are available and dotted and shaded lines those where BECCS is unavailable. A square </w:t>
      </w:r>
      <w:proofErr w:type="spellStart"/>
      <w:r w:rsidR="0069101F" w:rsidRPr="00156ED1">
        <w:rPr>
          <w:rFonts w:cstheme="minorHAnsi"/>
          <w:sz w:val="20"/>
          <w:szCs w:val="20"/>
        </w:rPr>
        <w:t>geom</w:t>
      </w:r>
      <w:proofErr w:type="spellEnd"/>
      <w:r w:rsidR="0069101F" w:rsidRPr="00156ED1">
        <w:rPr>
          <w:rFonts w:cstheme="minorHAnsi"/>
          <w:sz w:val="20"/>
          <w:szCs w:val="20"/>
        </w:rPr>
        <w:t xml:space="preserve"> represents default yields and 0 application rates, a circle represents default yields, and a triangle represents increased yields. The white circular and triangular </w:t>
      </w:r>
      <w:proofErr w:type="spellStart"/>
      <w:r w:rsidR="0069101F" w:rsidRPr="00156ED1">
        <w:rPr>
          <w:rFonts w:cstheme="minorHAnsi"/>
          <w:sz w:val="20"/>
          <w:szCs w:val="20"/>
        </w:rPr>
        <w:t>geoms</w:t>
      </w:r>
      <w:proofErr w:type="spellEnd"/>
      <w:r w:rsidR="0069101F" w:rsidRPr="00156ED1">
        <w:rPr>
          <w:rFonts w:cstheme="minorHAnsi"/>
          <w:sz w:val="20"/>
          <w:szCs w:val="20"/>
        </w:rPr>
        <w:t xml:space="preserve"> represent application rates of 10 t/ha, whereas a black </w:t>
      </w:r>
      <w:proofErr w:type="spellStart"/>
      <w:r w:rsidR="0069101F" w:rsidRPr="00156ED1">
        <w:rPr>
          <w:rFonts w:cstheme="minorHAnsi"/>
          <w:sz w:val="20"/>
          <w:szCs w:val="20"/>
        </w:rPr>
        <w:t>geom</w:t>
      </w:r>
      <w:proofErr w:type="spellEnd"/>
      <w:r w:rsidR="0069101F" w:rsidRPr="00156ED1">
        <w:rPr>
          <w:rFonts w:cstheme="minorHAnsi"/>
          <w:sz w:val="20"/>
          <w:szCs w:val="20"/>
        </w:rPr>
        <w:t xml:space="preserve"> represents application rates of 20 t/ha</w:t>
      </w:r>
      <w:r w:rsidR="009F3403" w:rsidRPr="00156ED1">
        <w:rPr>
          <w:rFonts w:cstheme="minorHAnsi"/>
          <w:sz w:val="20"/>
          <w:szCs w:val="20"/>
        </w:rPr>
        <w:t>.</w:t>
      </w:r>
      <w:r w:rsidR="00126C21" w:rsidRPr="00156ED1">
        <w:rPr>
          <w:rFonts w:cstheme="minorHAnsi"/>
          <w:sz w:val="20"/>
          <w:szCs w:val="20"/>
        </w:rPr>
        <w:t xml:space="preserve"> Note the different y-scales. </w:t>
      </w:r>
      <w:r w:rsidR="00432D80" w:rsidRPr="00156ED1">
        <w:rPr>
          <w:rFonts w:cstheme="minorHAnsi"/>
          <w:sz w:val="28"/>
          <w:szCs w:val="28"/>
        </w:rPr>
        <w:br w:type="page"/>
      </w:r>
    </w:p>
    <w:p w14:paraId="29B36B09" w14:textId="6D52EA94" w:rsidR="004837FC" w:rsidRPr="00156ED1" w:rsidRDefault="00177945" w:rsidP="002D196A">
      <w:pPr>
        <w:pStyle w:val="Subtitle"/>
        <w:ind w:left="0" w:firstLine="0"/>
        <w:rPr>
          <w:rFonts w:asciiTheme="minorHAnsi" w:hAnsiTheme="minorHAnsi" w:cstheme="minorHAnsi"/>
          <w:sz w:val="28"/>
          <w:szCs w:val="28"/>
        </w:rPr>
      </w:pPr>
      <w:r w:rsidRPr="00156ED1">
        <w:rPr>
          <w:rFonts w:asciiTheme="minorHAnsi" w:hAnsiTheme="minorHAnsi" w:cstheme="minorHAnsi"/>
          <w:sz w:val="28"/>
          <w:szCs w:val="28"/>
        </w:rPr>
        <w:lastRenderedPageBreak/>
        <w:t xml:space="preserve">Supplementary Material </w:t>
      </w:r>
      <w:r w:rsidR="006A4F12" w:rsidRPr="00156ED1">
        <w:rPr>
          <w:rFonts w:asciiTheme="minorHAnsi" w:hAnsiTheme="minorHAnsi" w:cstheme="minorHAnsi"/>
          <w:sz w:val="28"/>
          <w:szCs w:val="28"/>
        </w:rPr>
        <w:t>1</w:t>
      </w:r>
      <w:r w:rsidR="0068768C">
        <w:rPr>
          <w:rFonts w:asciiTheme="minorHAnsi" w:hAnsiTheme="minorHAnsi" w:cstheme="minorHAnsi"/>
          <w:sz w:val="28"/>
          <w:szCs w:val="28"/>
        </w:rPr>
        <w:t>2</w:t>
      </w:r>
      <w:r w:rsidRPr="00156ED1">
        <w:rPr>
          <w:rFonts w:asciiTheme="minorHAnsi" w:hAnsiTheme="minorHAnsi" w:cstheme="minorHAnsi"/>
          <w:sz w:val="28"/>
          <w:szCs w:val="28"/>
        </w:rPr>
        <w:t xml:space="preserve"> (SM</w:t>
      </w:r>
      <w:r w:rsidR="006A4F12" w:rsidRPr="00156ED1">
        <w:rPr>
          <w:rFonts w:asciiTheme="minorHAnsi" w:hAnsiTheme="minorHAnsi" w:cstheme="minorHAnsi"/>
          <w:sz w:val="28"/>
          <w:szCs w:val="28"/>
        </w:rPr>
        <w:t>1</w:t>
      </w:r>
      <w:r w:rsidR="0068768C">
        <w:rPr>
          <w:rFonts w:asciiTheme="minorHAnsi" w:hAnsiTheme="minorHAnsi" w:cstheme="minorHAnsi"/>
          <w:sz w:val="28"/>
          <w:szCs w:val="28"/>
        </w:rPr>
        <w:t>2</w:t>
      </w:r>
      <w:r w:rsidRPr="00156ED1">
        <w:rPr>
          <w:rFonts w:asciiTheme="minorHAnsi" w:hAnsiTheme="minorHAnsi" w:cstheme="minorHAnsi"/>
          <w:sz w:val="28"/>
          <w:szCs w:val="28"/>
        </w:rPr>
        <w:t xml:space="preserve">) – </w:t>
      </w:r>
      <w:r w:rsidR="007C0257" w:rsidRPr="00156ED1">
        <w:rPr>
          <w:rFonts w:asciiTheme="minorHAnsi" w:hAnsiTheme="minorHAnsi" w:cstheme="minorHAnsi"/>
          <w:sz w:val="28"/>
          <w:szCs w:val="28"/>
        </w:rPr>
        <w:t>Water Withdrawals by Sector</w:t>
      </w:r>
    </w:p>
    <w:p w14:paraId="568D0EFF" w14:textId="4B9EF49B" w:rsidR="007C0257" w:rsidRPr="00156ED1" w:rsidRDefault="007C0257" w:rsidP="0015143A">
      <w:pPr>
        <w:tabs>
          <w:tab w:val="left" w:pos="12870"/>
        </w:tabs>
        <w:spacing w:before="120" w:after="120"/>
        <w:ind w:firstLine="720"/>
        <w:jc w:val="both"/>
        <w:rPr>
          <w:rFonts w:cstheme="minorHAnsi"/>
          <w:sz w:val="24"/>
          <w:szCs w:val="24"/>
        </w:rPr>
      </w:pPr>
      <w:r w:rsidRPr="00156ED1">
        <w:rPr>
          <w:rFonts w:cstheme="minorHAnsi"/>
          <w:sz w:val="24"/>
          <w:szCs w:val="24"/>
        </w:rPr>
        <w:t>Water withdrawals vary by sector, with reductions compared to the Reference case in water used for cattle and meat animal production, resource production and municipal water, and increases in water for crops and for electricity generation. Recall that biomass production grows significantly, product of high carbon prices</w:t>
      </w:r>
      <w:r w:rsidR="001711D2" w:rsidRPr="00156ED1">
        <w:rPr>
          <w:rFonts w:cstheme="minorHAnsi"/>
          <w:sz w:val="24"/>
          <w:szCs w:val="24"/>
        </w:rPr>
        <w:t xml:space="preserve"> (Fig. </w:t>
      </w:r>
      <w:r w:rsidR="00897BB0" w:rsidRPr="00156ED1">
        <w:rPr>
          <w:rFonts w:cstheme="minorHAnsi"/>
          <w:sz w:val="24"/>
          <w:szCs w:val="24"/>
        </w:rPr>
        <w:t>SM1</w:t>
      </w:r>
      <w:r w:rsidR="00EF5A76">
        <w:rPr>
          <w:rFonts w:cstheme="minorHAnsi"/>
          <w:sz w:val="24"/>
          <w:szCs w:val="24"/>
        </w:rPr>
        <w:t>3</w:t>
      </w:r>
      <w:r w:rsidR="00CA716C" w:rsidRPr="00156ED1">
        <w:rPr>
          <w:rFonts w:cstheme="minorHAnsi"/>
          <w:sz w:val="24"/>
          <w:szCs w:val="24"/>
        </w:rPr>
        <w:t>)</w:t>
      </w:r>
      <w:r w:rsidRPr="00156ED1">
        <w:rPr>
          <w:rFonts w:cstheme="minorHAnsi"/>
          <w:sz w:val="24"/>
          <w:szCs w:val="24"/>
        </w:rPr>
        <w:t>.</w:t>
      </w:r>
      <w:r w:rsidR="00ED20F5" w:rsidRPr="00156ED1">
        <w:rPr>
          <w:rFonts w:cstheme="minorHAnsi"/>
          <w:sz w:val="24"/>
          <w:szCs w:val="24"/>
        </w:rPr>
        <w:t xml:space="preserve"> </w:t>
      </w:r>
      <w:r w:rsidRPr="00156ED1">
        <w:rPr>
          <w:rFonts w:cstheme="minorHAnsi"/>
          <w:sz w:val="24"/>
          <w:szCs w:val="24"/>
        </w:rPr>
        <w:t>Restricting BECCS deployment reduces global water withdrawals even further, since there is less overall electricity generation, particularly from BECCS, which demands water for cooling</w:t>
      </w:r>
      <w:r w:rsidR="00ED20F5" w:rsidRPr="00156ED1">
        <w:rPr>
          <w:rFonts w:cstheme="minorHAnsi"/>
          <w:sz w:val="24"/>
          <w:szCs w:val="24"/>
        </w:rPr>
        <w:t xml:space="preserve"> (Fig. SM1</w:t>
      </w:r>
      <w:r w:rsidR="00EF5A76">
        <w:rPr>
          <w:rFonts w:cstheme="minorHAnsi"/>
          <w:sz w:val="24"/>
          <w:szCs w:val="24"/>
        </w:rPr>
        <w:t>3</w:t>
      </w:r>
      <w:r w:rsidR="00ED20F5" w:rsidRPr="00156ED1">
        <w:rPr>
          <w:rFonts w:cstheme="minorHAnsi"/>
          <w:sz w:val="24"/>
          <w:szCs w:val="24"/>
        </w:rPr>
        <w:t>c)</w:t>
      </w:r>
      <w:r w:rsidRPr="00156ED1">
        <w:rPr>
          <w:rFonts w:cstheme="minorHAnsi"/>
          <w:sz w:val="24"/>
          <w:szCs w:val="24"/>
        </w:rPr>
        <w:t>.</w:t>
      </w:r>
    </w:p>
    <w:p w14:paraId="2A1D6ABB" w14:textId="228D7EFB" w:rsidR="00FE2A65" w:rsidRPr="00156ED1" w:rsidRDefault="00FE2A65" w:rsidP="00FE2A65">
      <w:pPr>
        <w:tabs>
          <w:tab w:val="left" w:pos="12870"/>
        </w:tabs>
        <w:spacing w:before="120" w:after="120"/>
        <w:jc w:val="both"/>
        <w:rPr>
          <w:rFonts w:cstheme="minorHAnsi"/>
          <w:sz w:val="24"/>
          <w:szCs w:val="24"/>
        </w:rPr>
      </w:pPr>
    </w:p>
    <w:p w14:paraId="294D2FC3" w14:textId="77777777" w:rsidR="00315542" w:rsidRPr="00156ED1" w:rsidRDefault="00315542" w:rsidP="00FE2A65">
      <w:pPr>
        <w:tabs>
          <w:tab w:val="left" w:pos="12870"/>
        </w:tabs>
        <w:spacing w:before="120" w:after="120"/>
        <w:jc w:val="both"/>
        <w:rPr>
          <w:rFonts w:cstheme="minorHAnsi"/>
          <w:sz w:val="24"/>
          <w:szCs w:val="24"/>
        </w:rPr>
      </w:pPr>
    </w:p>
    <w:p w14:paraId="1263EF8D" w14:textId="5B1A1EF7" w:rsidR="00661D20" w:rsidRPr="00156ED1" w:rsidRDefault="00B0009E" w:rsidP="00FE2A65">
      <w:pPr>
        <w:jc w:val="center"/>
        <w:rPr>
          <w:rFonts w:cstheme="minorHAnsi"/>
        </w:rPr>
      </w:pPr>
      <w:r w:rsidRPr="00156ED1">
        <w:rPr>
          <w:rFonts w:cstheme="minorHAnsi"/>
          <w:noProof/>
        </w:rPr>
        <w:lastRenderedPageBreak/>
        <w:drawing>
          <wp:inline distT="0" distB="0" distL="0" distR="0" wp14:anchorId="1422C6F2" wp14:editId="46FBE66A">
            <wp:extent cx="5165554" cy="6941489"/>
            <wp:effectExtent l="0" t="0" r="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5204470" cy="6993785"/>
                    </a:xfrm>
                    <a:prstGeom prst="rect">
                      <a:avLst/>
                    </a:prstGeom>
                  </pic:spPr>
                </pic:pic>
              </a:graphicData>
            </a:graphic>
          </wp:inline>
        </w:drawing>
      </w:r>
    </w:p>
    <w:p w14:paraId="625956D6" w14:textId="4A4AC0D6" w:rsidR="007C0257" w:rsidRPr="00156ED1" w:rsidRDefault="00661D20" w:rsidP="00661D20">
      <w:pPr>
        <w:jc w:val="both"/>
        <w:rPr>
          <w:rFonts w:cstheme="minorHAnsi"/>
          <w:sz w:val="20"/>
          <w:szCs w:val="20"/>
        </w:rPr>
      </w:pPr>
      <w:r w:rsidRPr="00156ED1">
        <w:rPr>
          <w:rFonts w:cstheme="minorHAnsi"/>
          <w:b/>
          <w:bCs/>
          <w:sz w:val="20"/>
          <w:szCs w:val="20"/>
        </w:rPr>
        <w:t xml:space="preserve">Figure </w:t>
      </w:r>
      <w:r w:rsidR="003E515A" w:rsidRPr="00156ED1">
        <w:rPr>
          <w:rFonts w:cstheme="minorHAnsi"/>
          <w:b/>
          <w:bCs/>
          <w:sz w:val="20"/>
          <w:szCs w:val="20"/>
        </w:rPr>
        <w:t>SM</w:t>
      </w:r>
      <w:r w:rsidR="00AA4E98" w:rsidRPr="00156ED1">
        <w:rPr>
          <w:rFonts w:cstheme="minorHAnsi"/>
          <w:b/>
          <w:bCs/>
          <w:sz w:val="20"/>
          <w:szCs w:val="20"/>
        </w:rPr>
        <w:t>1</w:t>
      </w:r>
      <w:r w:rsidR="00EF5A76">
        <w:rPr>
          <w:rFonts w:cstheme="minorHAnsi"/>
          <w:b/>
          <w:bCs/>
          <w:sz w:val="20"/>
          <w:szCs w:val="20"/>
        </w:rPr>
        <w:t>3</w:t>
      </w:r>
      <w:r w:rsidR="003E515A" w:rsidRPr="00156ED1">
        <w:rPr>
          <w:rFonts w:cstheme="minorHAnsi"/>
          <w:b/>
          <w:bCs/>
          <w:sz w:val="20"/>
          <w:szCs w:val="20"/>
        </w:rPr>
        <w:t xml:space="preserve"> </w:t>
      </w:r>
      <w:r w:rsidRPr="00156ED1">
        <w:rPr>
          <w:rFonts w:cstheme="minorHAnsi"/>
          <w:b/>
          <w:bCs/>
          <w:sz w:val="20"/>
          <w:szCs w:val="20"/>
        </w:rPr>
        <w:t>|</w:t>
      </w:r>
      <w:r w:rsidRPr="00156ED1">
        <w:rPr>
          <w:rFonts w:cstheme="minorHAnsi"/>
          <w:sz w:val="20"/>
          <w:szCs w:val="20"/>
        </w:rPr>
        <w:t>Global water withdrawals by sector</w:t>
      </w:r>
      <w:r w:rsidR="006E49D5" w:rsidRPr="00156ED1">
        <w:rPr>
          <w:rFonts w:cstheme="minorHAnsi"/>
          <w:sz w:val="20"/>
          <w:szCs w:val="20"/>
        </w:rPr>
        <w:t>: (</w:t>
      </w:r>
      <w:r w:rsidR="006E49D5" w:rsidRPr="00156ED1">
        <w:rPr>
          <w:rFonts w:cstheme="minorHAnsi"/>
          <w:b/>
          <w:bCs/>
          <w:sz w:val="20"/>
          <w:szCs w:val="20"/>
        </w:rPr>
        <w:t>a</w:t>
      </w:r>
      <w:r w:rsidR="006E49D5" w:rsidRPr="00156ED1">
        <w:rPr>
          <w:rFonts w:cstheme="minorHAnsi"/>
          <w:sz w:val="20"/>
          <w:szCs w:val="20"/>
        </w:rPr>
        <w:t>) crops, (</w:t>
      </w:r>
      <w:r w:rsidR="006E49D5" w:rsidRPr="00156ED1">
        <w:rPr>
          <w:rFonts w:cstheme="minorHAnsi"/>
          <w:b/>
          <w:bCs/>
          <w:sz w:val="20"/>
          <w:szCs w:val="20"/>
        </w:rPr>
        <w:t>b</w:t>
      </w:r>
      <w:r w:rsidR="006E49D5" w:rsidRPr="00156ED1">
        <w:rPr>
          <w:rFonts w:cstheme="minorHAnsi"/>
          <w:sz w:val="20"/>
          <w:szCs w:val="20"/>
        </w:rPr>
        <w:t>) cattle, (</w:t>
      </w:r>
      <w:r w:rsidR="006E49D5" w:rsidRPr="00156ED1">
        <w:rPr>
          <w:rFonts w:cstheme="minorHAnsi"/>
          <w:b/>
          <w:bCs/>
          <w:sz w:val="20"/>
          <w:szCs w:val="20"/>
        </w:rPr>
        <w:t>c</w:t>
      </w:r>
      <w:r w:rsidR="006E49D5" w:rsidRPr="00156ED1">
        <w:rPr>
          <w:rFonts w:cstheme="minorHAnsi"/>
          <w:sz w:val="20"/>
          <w:szCs w:val="20"/>
        </w:rPr>
        <w:t>) electricity, (</w:t>
      </w:r>
      <w:r w:rsidR="006E49D5" w:rsidRPr="00156ED1">
        <w:rPr>
          <w:rFonts w:cstheme="minorHAnsi"/>
          <w:b/>
          <w:bCs/>
          <w:sz w:val="20"/>
          <w:szCs w:val="20"/>
        </w:rPr>
        <w:t>d</w:t>
      </w:r>
      <w:r w:rsidR="006E49D5" w:rsidRPr="00156ED1">
        <w:rPr>
          <w:rFonts w:cstheme="minorHAnsi"/>
          <w:sz w:val="20"/>
          <w:szCs w:val="20"/>
        </w:rPr>
        <w:t>) industry, (</w:t>
      </w:r>
      <w:r w:rsidR="006E49D5" w:rsidRPr="00156ED1">
        <w:rPr>
          <w:rFonts w:cstheme="minorHAnsi"/>
          <w:b/>
          <w:bCs/>
          <w:sz w:val="20"/>
          <w:szCs w:val="20"/>
        </w:rPr>
        <w:t>e</w:t>
      </w:r>
      <w:r w:rsidR="006E49D5" w:rsidRPr="00156ED1">
        <w:rPr>
          <w:rFonts w:cstheme="minorHAnsi"/>
          <w:sz w:val="20"/>
          <w:szCs w:val="20"/>
        </w:rPr>
        <w:t>) municipal water, and (</w:t>
      </w:r>
      <w:r w:rsidR="006E49D5" w:rsidRPr="00156ED1">
        <w:rPr>
          <w:rFonts w:cstheme="minorHAnsi"/>
          <w:b/>
          <w:bCs/>
          <w:sz w:val="20"/>
          <w:szCs w:val="20"/>
        </w:rPr>
        <w:t>f</w:t>
      </w:r>
      <w:r w:rsidR="006E49D5" w:rsidRPr="00156ED1">
        <w:rPr>
          <w:rFonts w:cstheme="minorHAnsi"/>
          <w:sz w:val="20"/>
          <w:szCs w:val="20"/>
        </w:rPr>
        <w:t>) resource extraction</w:t>
      </w:r>
      <w:r w:rsidRPr="00156ED1">
        <w:rPr>
          <w:rFonts w:cstheme="minorHAnsi"/>
          <w:sz w:val="20"/>
          <w:szCs w:val="20"/>
        </w:rPr>
        <w:t xml:space="preserve">. Each line represents one scenario, and each color represents one carbon price trajectory. A darker color represents a no-biochar case, and a lighter shade of the color represents scenarios with biochar. Solid lines represent scenarios where BECCS are available and dotted </w:t>
      </w:r>
      <w:r w:rsidR="00704E8C" w:rsidRPr="00156ED1">
        <w:rPr>
          <w:rFonts w:cstheme="minorHAnsi"/>
          <w:sz w:val="20"/>
          <w:szCs w:val="20"/>
        </w:rPr>
        <w:t xml:space="preserve">and shaded </w:t>
      </w:r>
      <w:r w:rsidRPr="00156ED1">
        <w:rPr>
          <w:rFonts w:cstheme="minorHAnsi"/>
          <w:sz w:val="20"/>
          <w:szCs w:val="20"/>
        </w:rPr>
        <w:t xml:space="preserve">lines those where BECCS is unavailable. A square </w:t>
      </w:r>
      <w:proofErr w:type="spellStart"/>
      <w:r w:rsidRPr="00156ED1">
        <w:rPr>
          <w:rFonts w:cstheme="minorHAnsi"/>
          <w:sz w:val="20"/>
          <w:szCs w:val="20"/>
        </w:rPr>
        <w:t>geom</w:t>
      </w:r>
      <w:proofErr w:type="spellEnd"/>
      <w:r w:rsidRPr="00156ED1">
        <w:rPr>
          <w:rFonts w:cstheme="minorHAnsi"/>
          <w:sz w:val="20"/>
          <w:szCs w:val="20"/>
        </w:rPr>
        <w:t xml:space="preserve"> represents default yields and 0 application rates, a circle represents default yields, and a triangle represents increased yields. The white circular and triangular </w:t>
      </w:r>
      <w:proofErr w:type="spellStart"/>
      <w:r w:rsidRPr="00156ED1">
        <w:rPr>
          <w:rFonts w:cstheme="minorHAnsi"/>
          <w:sz w:val="20"/>
          <w:szCs w:val="20"/>
        </w:rPr>
        <w:t>geoms</w:t>
      </w:r>
      <w:proofErr w:type="spellEnd"/>
      <w:r w:rsidRPr="00156ED1">
        <w:rPr>
          <w:rFonts w:cstheme="minorHAnsi"/>
          <w:sz w:val="20"/>
          <w:szCs w:val="20"/>
        </w:rPr>
        <w:t xml:space="preserve"> represent application rates of 10 t/ha, whereas a black </w:t>
      </w:r>
      <w:proofErr w:type="spellStart"/>
      <w:r w:rsidRPr="00156ED1">
        <w:rPr>
          <w:rFonts w:cstheme="minorHAnsi"/>
          <w:sz w:val="20"/>
          <w:szCs w:val="20"/>
        </w:rPr>
        <w:t>geom</w:t>
      </w:r>
      <w:proofErr w:type="spellEnd"/>
      <w:r w:rsidRPr="00156ED1">
        <w:rPr>
          <w:rFonts w:cstheme="minorHAnsi"/>
          <w:sz w:val="20"/>
          <w:szCs w:val="20"/>
        </w:rPr>
        <w:t xml:space="preserve"> represents application rates of 20 t/ha. Note different scales on y-axes.</w:t>
      </w:r>
    </w:p>
    <w:p w14:paraId="21560D55" w14:textId="3FFC3FBB" w:rsidR="0068768C" w:rsidRDefault="0068768C" w:rsidP="0068768C">
      <w:pPr>
        <w:pStyle w:val="Subtitle"/>
        <w:ind w:left="0" w:firstLine="0"/>
        <w:rPr>
          <w:rFonts w:asciiTheme="minorHAnsi" w:hAnsiTheme="minorHAnsi" w:cstheme="minorHAnsi"/>
          <w:sz w:val="28"/>
          <w:szCs w:val="28"/>
        </w:rPr>
      </w:pPr>
      <w:r w:rsidRPr="00E509CE">
        <w:rPr>
          <w:rFonts w:asciiTheme="minorHAnsi" w:hAnsiTheme="minorHAnsi" w:cstheme="minorHAnsi"/>
          <w:sz w:val="28"/>
          <w:szCs w:val="28"/>
        </w:rPr>
        <w:lastRenderedPageBreak/>
        <w:t xml:space="preserve">Supplementary Material 13 (SM13) – Regional </w:t>
      </w:r>
      <w:r w:rsidR="003B41B1" w:rsidRPr="00E509CE">
        <w:rPr>
          <w:rFonts w:asciiTheme="minorHAnsi" w:hAnsiTheme="minorHAnsi" w:cstheme="minorHAnsi"/>
          <w:sz w:val="28"/>
          <w:szCs w:val="28"/>
        </w:rPr>
        <w:t>W</w:t>
      </w:r>
      <w:r w:rsidRPr="00E509CE">
        <w:rPr>
          <w:rFonts w:asciiTheme="minorHAnsi" w:hAnsiTheme="minorHAnsi" w:cstheme="minorHAnsi"/>
          <w:sz w:val="28"/>
          <w:szCs w:val="28"/>
        </w:rPr>
        <w:t xml:space="preserve">ater </w:t>
      </w:r>
      <w:r w:rsidR="003B41B1" w:rsidRPr="00E509CE">
        <w:rPr>
          <w:rFonts w:asciiTheme="minorHAnsi" w:hAnsiTheme="minorHAnsi" w:cstheme="minorHAnsi"/>
          <w:sz w:val="28"/>
          <w:szCs w:val="28"/>
        </w:rPr>
        <w:t>W</w:t>
      </w:r>
      <w:r w:rsidRPr="00E509CE">
        <w:rPr>
          <w:rFonts w:asciiTheme="minorHAnsi" w:hAnsiTheme="minorHAnsi" w:cstheme="minorHAnsi"/>
          <w:sz w:val="28"/>
          <w:szCs w:val="28"/>
        </w:rPr>
        <w:t xml:space="preserve">ithdrawals for </w:t>
      </w:r>
      <w:r w:rsidR="003B41B1" w:rsidRPr="00E509CE">
        <w:rPr>
          <w:rFonts w:asciiTheme="minorHAnsi" w:hAnsiTheme="minorHAnsi" w:cstheme="minorHAnsi"/>
          <w:sz w:val="28"/>
          <w:szCs w:val="28"/>
        </w:rPr>
        <w:t>C</w:t>
      </w:r>
      <w:r w:rsidRPr="00E509CE">
        <w:rPr>
          <w:rFonts w:asciiTheme="minorHAnsi" w:hAnsiTheme="minorHAnsi" w:cstheme="minorHAnsi"/>
          <w:sz w:val="28"/>
          <w:szCs w:val="28"/>
        </w:rPr>
        <w:t>rops</w:t>
      </w:r>
    </w:p>
    <w:p w14:paraId="172AF194" w14:textId="66F9DFEF" w:rsidR="00B823E1" w:rsidRPr="00E509CE" w:rsidRDefault="00B823E1" w:rsidP="00D630B9">
      <w:pPr>
        <w:jc w:val="both"/>
        <w:rPr>
          <w:rFonts w:cstheme="minorHAnsi"/>
          <w:sz w:val="24"/>
          <w:szCs w:val="24"/>
        </w:rPr>
      </w:pPr>
      <w:r>
        <w:rPr>
          <w:rFonts w:cstheme="minorHAnsi"/>
          <w:sz w:val="24"/>
          <w:szCs w:val="24"/>
        </w:rPr>
        <w:tab/>
        <w:t xml:space="preserve">By midcentury, regional water withdrawals for crops </w:t>
      </w:r>
      <w:r w:rsidR="00E06F7E">
        <w:rPr>
          <w:rFonts w:cstheme="minorHAnsi"/>
          <w:sz w:val="24"/>
          <w:szCs w:val="24"/>
        </w:rPr>
        <w:t xml:space="preserve">varies by region, but is overall consistent by scenario </w:t>
      </w:r>
      <w:r>
        <w:rPr>
          <w:rFonts w:cstheme="minorHAnsi"/>
          <w:sz w:val="24"/>
          <w:szCs w:val="24"/>
        </w:rPr>
        <w:t>(Fig. SM</w:t>
      </w:r>
      <w:r w:rsidR="00E06F7E">
        <w:rPr>
          <w:rFonts w:cstheme="minorHAnsi"/>
          <w:sz w:val="24"/>
          <w:szCs w:val="24"/>
        </w:rPr>
        <w:t>1</w:t>
      </w:r>
      <w:r w:rsidR="00EF5A76">
        <w:rPr>
          <w:rFonts w:cstheme="minorHAnsi"/>
          <w:sz w:val="24"/>
          <w:szCs w:val="24"/>
        </w:rPr>
        <w:t>4</w:t>
      </w:r>
      <w:r>
        <w:rPr>
          <w:rFonts w:cstheme="minorHAnsi"/>
          <w:sz w:val="24"/>
          <w:szCs w:val="24"/>
        </w:rPr>
        <w:t>a).</w:t>
      </w:r>
      <w:r w:rsidR="00E06F7E">
        <w:rPr>
          <w:rFonts w:cstheme="minorHAnsi"/>
          <w:sz w:val="24"/>
          <w:szCs w:val="24"/>
        </w:rPr>
        <w:t xml:space="preserve"> </w:t>
      </w:r>
      <w:r>
        <w:rPr>
          <w:rFonts w:cstheme="minorHAnsi"/>
          <w:sz w:val="24"/>
          <w:szCs w:val="24"/>
        </w:rPr>
        <w:t>By 2100, (Fig. SM</w:t>
      </w:r>
      <w:r w:rsidR="00E06F7E">
        <w:rPr>
          <w:rFonts w:cstheme="minorHAnsi"/>
          <w:sz w:val="24"/>
          <w:szCs w:val="24"/>
        </w:rPr>
        <w:t>1</w:t>
      </w:r>
      <w:r w:rsidR="00EF5A76">
        <w:rPr>
          <w:rFonts w:cstheme="minorHAnsi"/>
          <w:sz w:val="24"/>
          <w:szCs w:val="24"/>
        </w:rPr>
        <w:t>4</w:t>
      </w:r>
      <w:r>
        <w:rPr>
          <w:rFonts w:cstheme="minorHAnsi"/>
          <w:sz w:val="24"/>
          <w:szCs w:val="24"/>
        </w:rPr>
        <w:t xml:space="preserve">b) </w:t>
      </w:r>
      <w:r w:rsidR="00E06F7E">
        <w:rPr>
          <w:rFonts w:cstheme="minorHAnsi"/>
          <w:sz w:val="24"/>
          <w:szCs w:val="24"/>
        </w:rPr>
        <w:t>water withdrawal is still largely consistent between scenarios, but the regional withdrawals have changed with some regions using more water than they were in 2050, while others are using less. This is particularly obvious in India and the Middle East, with both regions’ water withdrawals for crops decreasing from 2050 to 2100. Most other regions that show a visual change exhibit the opposite trend, with water withdrawal for crops increasing from 2050 to 2100. Still, the regions withdrawing the most water for crops remain India</w:t>
      </w:r>
      <w:r w:rsidR="00213B57">
        <w:rPr>
          <w:rFonts w:cstheme="minorHAnsi"/>
          <w:sz w:val="24"/>
          <w:szCs w:val="24"/>
        </w:rPr>
        <w:t xml:space="preserve"> and the Middle East across both periods, and in all scenarios.</w:t>
      </w:r>
    </w:p>
    <w:p w14:paraId="743E5AB6" w14:textId="77777777" w:rsidR="00B823E1" w:rsidRPr="00B823E1" w:rsidRDefault="00B823E1" w:rsidP="00B823E1">
      <w:pPr>
        <w:rPr>
          <w:lang w:val="en"/>
        </w:rPr>
      </w:pPr>
    </w:p>
    <w:p w14:paraId="123137E0" w14:textId="50CE8A12" w:rsidR="0068768C" w:rsidRDefault="00996FFE" w:rsidP="007B5DE9">
      <w:pPr>
        <w:pStyle w:val="Subtitle"/>
        <w:ind w:left="0" w:firstLine="0"/>
        <w:rPr>
          <w:rFonts w:asciiTheme="minorHAnsi" w:hAnsiTheme="minorHAnsi" w:cstheme="minorHAnsi"/>
          <w:sz w:val="28"/>
          <w:szCs w:val="28"/>
        </w:rPr>
      </w:pPr>
      <w:r>
        <w:rPr>
          <w:rFonts w:asciiTheme="minorHAnsi" w:hAnsiTheme="minorHAnsi" w:cstheme="minorHAnsi"/>
          <w:noProof/>
          <w:sz w:val="28"/>
          <w:szCs w:val="28"/>
        </w:rPr>
        <w:lastRenderedPageBreak/>
        <w:drawing>
          <wp:inline distT="0" distB="0" distL="0" distR="0" wp14:anchorId="6A34041F" wp14:editId="11603DBB">
            <wp:extent cx="5943600" cy="5225415"/>
            <wp:effectExtent l="0" t="0" r="0" b="0"/>
            <wp:docPr id="16" name="Picture 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5225415"/>
                    </a:xfrm>
                    <a:prstGeom prst="rect">
                      <a:avLst/>
                    </a:prstGeom>
                  </pic:spPr>
                </pic:pic>
              </a:graphicData>
            </a:graphic>
          </wp:inline>
        </w:drawing>
      </w:r>
      <w:r>
        <w:rPr>
          <w:rFonts w:asciiTheme="minorHAnsi" w:hAnsiTheme="minorHAnsi" w:cstheme="minorHAnsi"/>
          <w:noProof/>
          <w:sz w:val="28"/>
          <w:szCs w:val="28"/>
        </w:rPr>
        <w:lastRenderedPageBreak/>
        <w:drawing>
          <wp:inline distT="0" distB="0" distL="0" distR="0" wp14:anchorId="1E93BB58" wp14:editId="67384048">
            <wp:extent cx="5943600" cy="5225415"/>
            <wp:effectExtent l="0" t="0" r="0" b="0"/>
            <wp:docPr id="18" name="Picture 1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5225415"/>
                    </a:xfrm>
                    <a:prstGeom prst="rect">
                      <a:avLst/>
                    </a:prstGeom>
                  </pic:spPr>
                </pic:pic>
              </a:graphicData>
            </a:graphic>
          </wp:inline>
        </w:drawing>
      </w:r>
    </w:p>
    <w:p w14:paraId="7EAFB2BF" w14:textId="2DBA3BD1" w:rsidR="0068768C" w:rsidRPr="00A37D36" w:rsidRDefault="00A37D36" w:rsidP="007B5DE9">
      <w:pPr>
        <w:pStyle w:val="Subtitle"/>
        <w:ind w:left="0" w:firstLine="0"/>
        <w:rPr>
          <w:rFonts w:asciiTheme="minorHAnsi" w:hAnsiTheme="minorHAnsi" w:cstheme="minorHAnsi"/>
          <w:color w:val="auto"/>
          <w:sz w:val="28"/>
          <w:szCs w:val="28"/>
        </w:rPr>
      </w:pPr>
      <w:r w:rsidRPr="00A37D36">
        <w:rPr>
          <w:rFonts w:asciiTheme="minorHAnsi" w:hAnsiTheme="minorHAnsi" w:cstheme="minorHAnsi"/>
          <w:bCs/>
          <w:color w:val="auto"/>
          <w:sz w:val="20"/>
          <w:szCs w:val="20"/>
        </w:rPr>
        <w:t>Figure SM</w:t>
      </w:r>
      <w:r>
        <w:rPr>
          <w:rFonts w:asciiTheme="minorHAnsi" w:hAnsiTheme="minorHAnsi" w:cstheme="minorHAnsi"/>
          <w:bCs/>
          <w:color w:val="auto"/>
          <w:sz w:val="20"/>
          <w:szCs w:val="20"/>
        </w:rPr>
        <w:t>1</w:t>
      </w:r>
      <w:r w:rsidR="00EF5A76">
        <w:rPr>
          <w:rFonts w:asciiTheme="minorHAnsi" w:hAnsiTheme="minorHAnsi" w:cstheme="minorHAnsi"/>
          <w:bCs/>
          <w:color w:val="auto"/>
          <w:sz w:val="20"/>
          <w:szCs w:val="20"/>
        </w:rPr>
        <w:t>4</w:t>
      </w:r>
      <w:r w:rsidRPr="00A37D36">
        <w:rPr>
          <w:rFonts w:asciiTheme="minorHAnsi" w:hAnsiTheme="minorHAnsi" w:cstheme="minorHAnsi"/>
          <w:bCs/>
          <w:color w:val="auto"/>
          <w:sz w:val="20"/>
          <w:szCs w:val="20"/>
        </w:rPr>
        <w:t xml:space="preserve"> |</w:t>
      </w:r>
      <w:r w:rsidR="00996FFE" w:rsidRPr="00996FFE">
        <w:t xml:space="preserve"> </w:t>
      </w:r>
      <w:r w:rsidR="00996FFE" w:rsidRPr="002E66CC">
        <w:rPr>
          <w:rFonts w:asciiTheme="minorHAnsi" w:hAnsiTheme="minorHAnsi" w:cstheme="minorHAnsi"/>
          <w:b w:val="0"/>
          <w:color w:val="auto"/>
          <w:sz w:val="20"/>
          <w:szCs w:val="20"/>
        </w:rPr>
        <w:t>Regional water withdrawal for crops in (</w:t>
      </w:r>
      <w:r w:rsidR="00996FFE" w:rsidRPr="00EF5A76">
        <w:rPr>
          <w:rFonts w:asciiTheme="minorHAnsi" w:hAnsiTheme="minorHAnsi" w:cstheme="minorHAnsi"/>
          <w:bCs/>
          <w:color w:val="auto"/>
          <w:sz w:val="20"/>
          <w:szCs w:val="20"/>
        </w:rPr>
        <w:t>a</w:t>
      </w:r>
      <w:r w:rsidR="00996FFE" w:rsidRPr="002E66CC">
        <w:rPr>
          <w:rFonts w:asciiTheme="minorHAnsi" w:hAnsiTheme="minorHAnsi" w:cstheme="minorHAnsi"/>
          <w:b w:val="0"/>
          <w:color w:val="auto"/>
          <w:sz w:val="20"/>
          <w:szCs w:val="20"/>
        </w:rPr>
        <w:t>) 2050 and (</w:t>
      </w:r>
      <w:r w:rsidR="00996FFE" w:rsidRPr="00EF5A76">
        <w:rPr>
          <w:rFonts w:asciiTheme="minorHAnsi" w:hAnsiTheme="minorHAnsi" w:cstheme="minorHAnsi"/>
          <w:bCs/>
          <w:color w:val="auto"/>
          <w:sz w:val="20"/>
          <w:szCs w:val="20"/>
        </w:rPr>
        <w:t>b</w:t>
      </w:r>
      <w:r w:rsidR="00996FFE" w:rsidRPr="002E66CC">
        <w:rPr>
          <w:rFonts w:asciiTheme="minorHAnsi" w:hAnsiTheme="minorHAnsi" w:cstheme="minorHAnsi"/>
          <w:b w:val="0"/>
          <w:color w:val="auto"/>
          <w:sz w:val="20"/>
          <w:szCs w:val="20"/>
        </w:rPr>
        <w:t>) 2100. Each facet represents one scenario, each column represents a combination of the application rate and yield improvements (</w:t>
      </w:r>
      <w:proofErr w:type="gramStart"/>
      <w:r w:rsidR="00996FFE" w:rsidRPr="002E66CC">
        <w:rPr>
          <w:rFonts w:asciiTheme="minorHAnsi" w:hAnsiTheme="minorHAnsi" w:cstheme="minorHAnsi"/>
          <w:b w:val="0"/>
          <w:color w:val="auto"/>
          <w:sz w:val="20"/>
          <w:szCs w:val="20"/>
        </w:rPr>
        <w:t>e.g.</w:t>
      </w:r>
      <w:proofErr w:type="gramEnd"/>
      <w:r w:rsidR="00996FFE" w:rsidRPr="002E66CC">
        <w:rPr>
          <w:rFonts w:asciiTheme="minorHAnsi" w:hAnsiTheme="minorHAnsi" w:cstheme="minorHAnsi"/>
          <w:b w:val="0"/>
          <w:color w:val="auto"/>
          <w:sz w:val="20"/>
          <w:szCs w:val="20"/>
        </w:rPr>
        <w:t xml:space="preserve"> “10 </w:t>
      </w:r>
      <w:r w:rsidR="00EF5A76">
        <w:rPr>
          <w:rFonts w:asciiTheme="minorHAnsi" w:hAnsiTheme="minorHAnsi" w:cstheme="minorHAnsi"/>
          <w:b w:val="0"/>
          <w:color w:val="auto"/>
          <w:sz w:val="20"/>
          <w:szCs w:val="20"/>
        </w:rPr>
        <w:t>t/ha &amp;</w:t>
      </w:r>
      <w:r w:rsidR="00454BC1">
        <w:rPr>
          <w:rFonts w:asciiTheme="minorHAnsi" w:hAnsiTheme="minorHAnsi" w:cstheme="minorHAnsi"/>
          <w:b w:val="0"/>
          <w:color w:val="auto"/>
          <w:sz w:val="20"/>
          <w:szCs w:val="20"/>
        </w:rPr>
        <w:t xml:space="preserve"> </w:t>
      </w:r>
      <w:r w:rsidR="00996FFE" w:rsidRPr="002E66CC">
        <w:rPr>
          <w:rFonts w:asciiTheme="minorHAnsi" w:hAnsiTheme="minorHAnsi" w:cstheme="minorHAnsi"/>
          <w:b w:val="0"/>
          <w:color w:val="auto"/>
          <w:sz w:val="20"/>
          <w:szCs w:val="20"/>
        </w:rPr>
        <w:t>Default Yield</w:t>
      </w:r>
      <w:r w:rsidR="00454BC1">
        <w:rPr>
          <w:rFonts w:asciiTheme="minorHAnsi" w:hAnsiTheme="minorHAnsi" w:cstheme="minorHAnsi"/>
          <w:b w:val="0"/>
          <w:color w:val="auto"/>
          <w:sz w:val="20"/>
          <w:szCs w:val="20"/>
        </w:rPr>
        <w:t>s</w:t>
      </w:r>
      <w:r w:rsidR="00996FFE" w:rsidRPr="002E66CC">
        <w:rPr>
          <w:rFonts w:asciiTheme="minorHAnsi" w:hAnsiTheme="minorHAnsi" w:cstheme="minorHAnsi"/>
          <w:b w:val="0"/>
          <w:color w:val="auto"/>
          <w:sz w:val="20"/>
          <w:szCs w:val="20"/>
        </w:rPr>
        <w:t>”), and each row represents a combination of carbon price and BECCS availability (e.g. “REF</w:t>
      </w:r>
      <w:r w:rsidR="00EF5A76">
        <w:rPr>
          <w:rFonts w:asciiTheme="minorHAnsi" w:hAnsiTheme="minorHAnsi" w:cstheme="minorHAnsi"/>
          <w:b w:val="0"/>
          <w:color w:val="auto"/>
          <w:sz w:val="20"/>
          <w:szCs w:val="20"/>
        </w:rPr>
        <w:t xml:space="preserve"> &amp; BECCS</w:t>
      </w:r>
      <w:r w:rsidR="00996FFE" w:rsidRPr="002E66CC">
        <w:rPr>
          <w:rFonts w:asciiTheme="minorHAnsi" w:hAnsiTheme="minorHAnsi" w:cstheme="minorHAnsi"/>
          <w:b w:val="0"/>
          <w:color w:val="auto"/>
          <w:sz w:val="20"/>
          <w:szCs w:val="20"/>
        </w:rPr>
        <w:t>”). Note that there are 32 scenarios out of 36, since the remaining 4 scenarios do not have biochar deployment.</w:t>
      </w:r>
    </w:p>
    <w:p w14:paraId="166BD4C0" w14:textId="77777777" w:rsidR="00461F8E" w:rsidRDefault="00461F8E">
      <w:pPr>
        <w:rPr>
          <w:rFonts w:eastAsia="Arial" w:cstheme="minorHAnsi"/>
          <w:b/>
          <w:color w:val="666666"/>
          <w:sz w:val="28"/>
          <w:szCs w:val="28"/>
          <w:lang w:val="en"/>
        </w:rPr>
      </w:pPr>
      <w:r>
        <w:rPr>
          <w:rFonts w:cstheme="minorHAnsi"/>
          <w:sz w:val="28"/>
          <w:szCs w:val="28"/>
        </w:rPr>
        <w:br w:type="page"/>
      </w:r>
    </w:p>
    <w:p w14:paraId="05CBC04E" w14:textId="401F9389" w:rsidR="0031680F" w:rsidRPr="00156ED1" w:rsidRDefault="007B5DE9" w:rsidP="007B5DE9">
      <w:pPr>
        <w:pStyle w:val="Subtitle"/>
        <w:ind w:left="0" w:firstLine="0"/>
        <w:rPr>
          <w:rFonts w:asciiTheme="minorHAnsi" w:hAnsiTheme="minorHAnsi" w:cstheme="minorHAnsi"/>
          <w:sz w:val="28"/>
          <w:szCs w:val="28"/>
        </w:rPr>
      </w:pPr>
      <w:r w:rsidRPr="00156ED1">
        <w:rPr>
          <w:rFonts w:asciiTheme="minorHAnsi" w:hAnsiTheme="minorHAnsi" w:cstheme="minorHAnsi"/>
          <w:sz w:val="28"/>
          <w:szCs w:val="28"/>
        </w:rPr>
        <w:lastRenderedPageBreak/>
        <w:t xml:space="preserve">Supplementary Material </w:t>
      </w:r>
      <w:r w:rsidR="00DA110B" w:rsidRPr="00156ED1">
        <w:rPr>
          <w:rFonts w:asciiTheme="minorHAnsi" w:hAnsiTheme="minorHAnsi" w:cstheme="minorHAnsi"/>
          <w:sz w:val="28"/>
          <w:szCs w:val="28"/>
        </w:rPr>
        <w:t>1</w:t>
      </w:r>
      <w:r w:rsidR="00461F8E">
        <w:rPr>
          <w:rFonts w:asciiTheme="minorHAnsi" w:hAnsiTheme="minorHAnsi" w:cstheme="minorHAnsi"/>
          <w:sz w:val="28"/>
          <w:szCs w:val="28"/>
        </w:rPr>
        <w:t>4</w:t>
      </w:r>
      <w:r w:rsidRPr="00156ED1">
        <w:rPr>
          <w:rFonts w:asciiTheme="minorHAnsi" w:hAnsiTheme="minorHAnsi" w:cstheme="minorHAnsi"/>
          <w:sz w:val="28"/>
          <w:szCs w:val="28"/>
        </w:rPr>
        <w:t xml:space="preserve"> (SM</w:t>
      </w:r>
      <w:r w:rsidR="00DA110B" w:rsidRPr="00156ED1">
        <w:rPr>
          <w:rFonts w:asciiTheme="minorHAnsi" w:hAnsiTheme="minorHAnsi" w:cstheme="minorHAnsi"/>
          <w:sz w:val="28"/>
          <w:szCs w:val="28"/>
        </w:rPr>
        <w:t>1</w:t>
      </w:r>
      <w:r w:rsidR="00461F8E">
        <w:rPr>
          <w:rFonts w:asciiTheme="minorHAnsi" w:hAnsiTheme="minorHAnsi" w:cstheme="minorHAnsi"/>
          <w:sz w:val="28"/>
          <w:szCs w:val="28"/>
        </w:rPr>
        <w:t>4</w:t>
      </w:r>
      <w:r w:rsidRPr="00156ED1">
        <w:rPr>
          <w:rFonts w:asciiTheme="minorHAnsi" w:hAnsiTheme="minorHAnsi" w:cstheme="minorHAnsi"/>
          <w:sz w:val="28"/>
          <w:szCs w:val="28"/>
        </w:rPr>
        <w:t xml:space="preserve">) – </w:t>
      </w:r>
      <w:r w:rsidR="0031680F" w:rsidRPr="00156ED1">
        <w:rPr>
          <w:rFonts w:asciiTheme="minorHAnsi" w:hAnsiTheme="minorHAnsi" w:cstheme="minorHAnsi"/>
          <w:sz w:val="28"/>
          <w:szCs w:val="28"/>
        </w:rPr>
        <w:t>Electricity Generation</w:t>
      </w:r>
    </w:p>
    <w:p w14:paraId="749D21DC" w14:textId="271A6AC8" w:rsidR="0031680F" w:rsidRPr="00156ED1" w:rsidRDefault="00E86A87" w:rsidP="001A0A23">
      <w:pPr>
        <w:tabs>
          <w:tab w:val="left" w:pos="12870"/>
        </w:tabs>
        <w:spacing w:before="120" w:after="120"/>
        <w:ind w:firstLine="720"/>
        <w:jc w:val="both"/>
        <w:rPr>
          <w:rFonts w:cstheme="minorHAnsi"/>
          <w:sz w:val="24"/>
          <w:szCs w:val="24"/>
        </w:rPr>
      </w:pPr>
      <w:r w:rsidRPr="00156ED1">
        <w:rPr>
          <w:rFonts w:cstheme="minorHAnsi"/>
          <w:sz w:val="24"/>
          <w:szCs w:val="24"/>
        </w:rPr>
        <w:t>Whereas refined liquid fuel production decreases with carbon prices,</w:t>
      </w:r>
      <w:r w:rsidR="00F369AA">
        <w:rPr>
          <w:rFonts w:cstheme="minorHAnsi"/>
          <w:sz w:val="24"/>
          <w:szCs w:val="24"/>
        </w:rPr>
        <w:t xml:space="preserve"> (SM11)</w:t>
      </w:r>
      <w:r w:rsidRPr="00156ED1">
        <w:rPr>
          <w:rFonts w:cstheme="minorHAnsi"/>
          <w:sz w:val="24"/>
          <w:szCs w:val="24"/>
        </w:rPr>
        <w:t xml:space="preserve"> electricity generation increases. </w:t>
      </w:r>
      <w:r w:rsidR="0031680F" w:rsidRPr="00156ED1">
        <w:rPr>
          <w:rFonts w:cstheme="minorHAnsi"/>
          <w:sz w:val="24"/>
          <w:szCs w:val="24"/>
        </w:rPr>
        <w:t>Global electricity generation in 2015 is about 87 EJ, which increases to about 311 EJ at the end of the century in a Reference case, product of growing GDP and population. By 2100, total global electricity generation increases in all scenarios compared to Reference, with higher carbon prices deriving in higher electricity generation (Fig</w:t>
      </w:r>
      <w:r w:rsidRPr="00156ED1">
        <w:rPr>
          <w:rFonts w:cstheme="minorHAnsi"/>
          <w:sz w:val="24"/>
          <w:szCs w:val="24"/>
        </w:rPr>
        <w:t>. SM1</w:t>
      </w:r>
      <w:r w:rsidR="00476E40">
        <w:rPr>
          <w:rFonts w:cstheme="minorHAnsi"/>
          <w:sz w:val="24"/>
          <w:szCs w:val="24"/>
        </w:rPr>
        <w:t>5</w:t>
      </w:r>
      <w:r w:rsidR="00697B05" w:rsidRPr="00156ED1">
        <w:rPr>
          <w:rFonts w:cstheme="minorHAnsi"/>
          <w:sz w:val="24"/>
          <w:szCs w:val="24"/>
        </w:rPr>
        <w:t>a</w:t>
      </w:r>
      <w:r w:rsidR="0031680F" w:rsidRPr="00156ED1">
        <w:rPr>
          <w:rFonts w:cstheme="minorHAnsi"/>
          <w:sz w:val="24"/>
          <w:szCs w:val="24"/>
        </w:rPr>
        <w:t xml:space="preserve">). Higher carbon prices also drive a decarbonization of the electricity matrix, with decreases of fossil fuels without CCS (coal, </w:t>
      </w:r>
      <w:r w:rsidR="0073257A" w:rsidRPr="00156ED1">
        <w:rPr>
          <w:rFonts w:cstheme="minorHAnsi"/>
          <w:sz w:val="24"/>
          <w:szCs w:val="24"/>
        </w:rPr>
        <w:t>oil,</w:t>
      </w:r>
      <w:r w:rsidR="0031680F" w:rsidRPr="00156ED1">
        <w:rPr>
          <w:rFonts w:cstheme="minorHAnsi"/>
          <w:sz w:val="24"/>
          <w:szCs w:val="24"/>
        </w:rPr>
        <w:t xml:space="preserve"> and natural gas), and increases on renewable energies (biomass, nuclear, solar and wind) and fossil fuels with CCS (</w:t>
      </w:r>
      <w:r w:rsidR="00697B05" w:rsidRPr="00156ED1">
        <w:rPr>
          <w:rFonts w:cstheme="minorHAnsi"/>
          <w:sz w:val="24"/>
          <w:szCs w:val="24"/>
        </w:rPr>
        <w:t>Fig. SM1</w:t>
      </w:r>
      <w:r w:rsidR="00476E40">
        <w:rPr>
          <w:rFonts w:cstheme="minorHAnsi"/>
          <w:sz w:val="24"/>
          <w:szCs w:val="24"/>
        </w:rPr>
        <w:t>5</w:t>
      </w:r>
      <w:r w:rsidR="00697B05" w:rsidRPr="00156ED1">
        <w:rPr>
          <w:rFonts w:cstheme="minorHAnsi"/>
          <w:sz w:val="24"/>
          <w:szCs w:val="24"/>
        </w:rPr>
        <w:t>b</w:t>
      </w:r>
      <w:r w:rsidR="0031680F" w:rsidRPr="00156ED1">
        <w:rPr>
          <w:rFonts w:cstheme="minorHAnsi"/>
          <w:sz w:val="24"/>
          <w:szCs w:val="24"/>
        </w:rPr>
        <w:t>).</w:t>
      </w:r>
    </w:p>
    <w:p w14:paraId="4B28F799" w14:textId="19BA98C9" w:rsidR="0031680F" w:rsidRPr="00156ED1" w:rsidRDefault="0031680F" w:rsidP="001A0A23">
      <w:pPr>
        <w:tabs>
          <w:tab w:val="left" w:pos="12870"/>
        </w:tabs>
        <w:spacing w:before="120" w:after="120"/>
        <w:ind w:firstLine="720"/>
        <w:jc w:val="both"/>
        <w:rPr>
          <w:rFonts w:cstheme="minorHAnsi"/>
          <w:sz w:val="24"/>
          <w:szCs w:val="24"/>
        </w:rPr>
      </w:pPr>
      <w:r w:rsidRPr="00156ED1">
        <w:rPr>
          <w:rFonts w:cstheme="minorHAnsi"/>
          <w:sz w:val="24"/>
          <w:szCs w:val="24"/>
        </w:rPr>
        <w:t>Including biochar into GCAM has no effect on total electricity generation nor its composition. As a corollary to this, nor do application rates and yield improvements. Eliminating BECCS deployment, however, does play a</w:t>
      </w:r>
      <w:r w:rsidR="00697B05" w:rsidRPr="00156ED1">
        <w:rPr>
          <w:rFonts w:cstheme="minorHAnsi"/>
          <w:sz w:val="24"/>
          <w:szCs w:val="24"/>
        </w:rPr>
        <w:t xml:space="preserve"> </w:t>
      </w:r>
      <w:r w:rsidRPr="00156ED1">
        <w:rPr>
          <w:rFonts w:cstheme="minorHAnsi"/>
          <w:sz w:val="24"/>
          <w:szCs w:val="24"/>
        </w:rPr>
        <w:t>role in terms of both total electricity generation and its composition.</w:t>
      </w:r>
      <w:r w:rsidR="00697B05" w:rsidRPr="00156ED1">
        <w:rPr>
          <w:rFonts w:cstheme="minorHAnsi"/>
          <w:sz w:val="24"/>
          <w:szCs w:val="24"/>
        </w:rPr>
        <w:t xml:space="preserve"> Electricity generation</w:t>
      </w:r>
      <w:r w:rsidRPr="00156ED1">
        <w:rPr>
          <w:rFonts w:cstheme="minorHAnsi"/>
          <w:sz w:val="24"/>
          <w:szCs w:val="24"/>
        </w:rPr>
        <w:t xml:space="preserve"> decreases in all scenarios by 2100 when BECCS are unavailable</w:t>
      </w:r>
      <w:r w:rsidR="00697B05" w:rsidRPr="00156ED1">
        <w:rPr>
          <w:rFonts w:cstheme="minorHAnsi"/>
          <w:sz w:val="24"/>
          <w:szCs w:val="24"/>
        </w:rPr>
        <w:t xml:space="preserve"> compared to scenarios where BECCS is available</w:t>
      </w:r>
      <w:r w:rsidRPr="00156ED1">
        <w:rPr>
          <w:rFonts w:cstheme="minorHAnsi"/>
          <w:sz w:val="24"/>
          <w:szCs w:val="24"/>
        </w:rPr>
        <w:t xml:space="preserve">, although the decrease is rather small; the larger impact of eliminating BECCS is fuel-switching. Since </w:t>
      </w:r>
      <w:r w:rsidR="00697B05" w:rsidRPr="00156ED1">
        <w:rPr>
          <w:rFonts w:cstheme="minorHAnsi"/>
          <w:sz w:val="24"/>
          <w:szCs w:val="24"/>
        </w:rPr>
        <w:t>there is no</w:t>
      </w:r>
      <w:r w:rsidRPr="00156ED1">
        <w:rPr>
          <w:rFonts w:cstheme="minorHAnsi"/>
          <w:sz w:val="24"/>
          <w:szCs w:val="24"/>
        </w:rPr>
        <w:t xml:space="preserve"> BECCS for electricity generation, there is an increase in biomass, nuclear, solar and wind technologies, as well as some fossil fuel electricity generation with CCS (coal, </w:t>
      </w:r>
      <w:r w:rsidR="0073257A" w:rsidRPr="00156ED1">
        <w:rPr>
          <w:rFonts w:cstheme="minorHAnsi"/>
          <w:sz w:val="24"/>
          <w:szCs w:val="24"/>
        </w:rPr>
        <w:t>gas,</w:t>
      </w:r>
      <w:r w:rsidRPr="00156ED1">
        <w:rPr>
          <w:rFonts w:cstheme="minorHAnsi"/>
          <w:sz w:val="24"/>
          <w:szCs w:val="24"/>
        </w:rPr>
        <w:t xml:space="preserve"> and oil)</w:t>
      </w:r>
      <w:r w:rsidR="00697B05" w:rsidRPr="00156ED1">
        <w:rPr>
          <w:rFonts w:cstheme="minorHAnsi"/>
          <w:sz w:val="24"/>
          <w:szCs w:val="24"/>
        </w:rPr>
        <w:t xml:space="preserve"> (Fig. SM</w:t>
      </w:r>
      <w:r w:rsidR="00F369AA">
        <w:rPr>
          <w:rFonts w:cstheme="minorHAnsi"/>
          <w:sz w:val="24"/>
          <w:szCs w:val="24"/>
        </w:rPr>
        <w:t>1</w:t>
      </w:r>
      <w:r w:rsidR="00476E40">
        <w:rPr>
          <w:rFonts w:cstheme="minorHAnsi"/>
          <w:sz w:val="24"/>
          <w:szCs w:val="24"/>
        </w:rPr>
        <w:t>6</w:t>
      </w:r>
      <w:r w:rsidR="00697B05" w:rsidRPr="00156ED1">
        <w:rPr>
          <w:rFonts w:cstheme="minorHAnsi"/>
          <w:sz w:val="24"/>
          <w:szCs w:val="24"/>
        </w:rPr>
        <w:t>)</w:t>
      </w:r>
      <w:r w:rsidRPr="00156ED1">
        <w:rPr>
          <w:rFonts w:cstheme="minorHAnsi"/>
          <w:sz w:val="24"/>
          <w:szCs w:val="24"/>
        </w:rPr>
        <w:t>.</w:t>
      </w:r>
    </w:p>
    <w:p w14:paraId="3C775160" w14:textId="48D46294" w:rsidR="0031680F" w:rsidRPr="00156ED1" w:rsidRDefault="0031680F" w:rsidP="00AA4E98">
      <w:pPr>
        <w:tabs>
          <w:tab w:val="left" w:pos="12870"/>
        </w:tabs>
        <w:rPr>
          <w:rFonts w:cstheme="minorHAnsi"/>
        </w:rPr>
      </w:pPr>
    </w:p>
    <w:p w14:paraId="0493F1D8" w14:textId="77777777" w:rsidR="00A50D61" w:rsidRPr="00156ED1" w:rsidRDefault="00AA4E98" w:rsidP="0099086B">
      <w:pPr>
        <w:tabs>
          <w:tab w:val="left" w:pos="12870"/>
        </w:tabs>
        <w:jc w:val="center"/>
        <w:rPr>
          <w:rFonts w:cstheme="minorHAnsi"/>
          <w:b/>
          <w:bCs/>
          <w:sz w:val="20"/>
          <w:szCs w:val="20"/>
        </w:rPr>
      </w:pPr>
      <w:r w:rsidRPr="00156ED1">
        <w:rPr>
          <w:rFonts w:cstheme="minorHAnsi"/>
          <w:noProof/>
        </w:rPr>
        <w:lastRenderedPageBreak/>
        <w:drawing>
          <wp:inline distT="0" distB="0" distL="0" distR="0" wp14:anchorId="7358E41F" wp14:editId="0ABE77D0">
            <wp:extent cx="4729732" cy="6414448"/>
            <wp:effectExtent l="0" t="0" r="0" b="5715"/>
            <wp:docPr id="17" name="Picture 1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4743112" cy="6432594"/>
                    </a:xfrm>
                    <a:prstGeom prst="rect">
                      <a:avLst/>
                    </a:prstGeom>
                  </pic:spPr>
                </pic:pic>
              </a:graphicData>
            </a:graphic>
          </wp:inline>
        </w:drawing>
      </w:r>
    </w:p>
    <w:p w14:paraId="4DBF6AE0" w14:textId="1B8341E3" w:rsidR="00FE2A65" w:rsidRPr="00156ED1" w:rsidRDefault="00AA4E98" w:rsidP="00B423D6">
      <w:pPr>
        <w:tabs>
          <w:tab w:val="left" w:pos="12870"/>
        </w:tabs>
        <w:jc w:val="both"/>
        <w:rPr>
          <w:rFonts w:cstheme="minorHAnsi"/>
        </w:rPr>
      </w:pPr>
      <w:r w:rsidRPr="00156ED1">
        <w:rPr>
          <w:rFonts w:cstheme="minorHAnsi"/>
          <w:b/>
          <w:bCs/>
          <w:sz w:val="20"/>
          <w:szCs w:val="20"/>
        </w:rPr>
        <w:t>Figure SM</w:t>
      </w:r>
      <w:r w:rsidR="009D276C" w:rsidRPr="00156ED1">
        <w:rPr>
          <w:rFonts w:cstheme="minorHAnsi"/>
          <w:b/>
          <w:bCs/>
          <w:sz w:val="20"/>
          <w:szCs w:val="20"/>
        </w:rPr>
        <w:t>1</w:t>
      </w:r>
      <w:r w:rsidR="00476E40">
        <w:rPr>
          <w:rFonts w:cstheme="minorHAnsi"/>
          <w:b/>
          <w:bCs/>
          <w:sz w:val="20"/>
          <w:szCs w:val="20"/>
        </w:rPr>
        <w:t>5</w:t>
      </w:r>
      <w:r w:rsidR="009D276C" w:rsidRPr="00156ED1">
        <w:rPr>
          <w:rFonts w:cstheme="minorHAnsi"/>
          <w:b/>
          <w:bCs/>
          <w:sz w:val="20"/>
          <w:szCs w:val="20"/>
        </w:rPr>
        <w:t xml:space="preserve"> |</w:t>
      </w:r>
      <w:r w:rsidRPr="00156ED1">
        <w:rPr>
          <w:rFonts w:cstheme="minorHAnsi"/>
          <w:sz w:val="20"/>
          <w:szCs w:val="20"/>
        </w:rPr>
        <w:t xml:space="preserve"> Total global electricity generation (</w:t>
      </w:r>
      <w:r w:rsidR="009D276C" w:rsidRPr="00156ED1">
        <w:rPr>
          <w:rFonts w:cstheme="minorHAnsi"/>
          <w:b/>
          <w:bCs/>
          <w:sz w:val="20"/>
          <w:szCs w:val="20"/>
        </w:rPr>
        <w:t>a</w:t>
      </w:r>
      <w:r w:rsidRPr="00156ED1">
        <w:rPr>
          <w:rFonts w:cstheme="minorHAnsi"/>
          <w:sz w:val="20"/>
          <w:szCs w:val="20"/>
        </w:rPr>
        <w:t>) and electricity generation by technology (</w:t>
      </w:r>
      <w:r w:rsidR="009D276C" w:rsidRPr="00156ED1">
        <w:rPr>
          <w:rFonts w:cstheme="minorHAnsi"/>
          <w:b/>
          <w:bCs/>
          <w:sz w:val="20"/>
          <w:szCs w:val="20"/>
        </w:rPr>
        <w:t>b</w:t>
      </w:r>
      <w:r w:rsidRPr="00156ED1">
        <w:rPr>
          <w:rFonts w:cstheme="minorHAnsi"/>
          <w:sz w:val="20"/>
          <w:szCs w:val="20"/>
        </w:rPr>
        <w:t xml:space="preserve">). In </w:t>
      </w:r>
      <w:r w:rsidR="00A50D61" w:rsidRPr="00156ED1">
        <w:rPr>
          <w:rFonts w:cstheme="minorHAnsi"/>
          <w:sz w:val="20"/>
          <w:szCs w:val="20"/>
        </w:rPr>
        <w:t>(</w:t>
      </w:r>
      <w:r w:rsidR="00A50D61" w:rsidRPr="00156ED1">
        <w:rPr>
          <w:rFonts w:cstheme="minorHAnsi"/>
          <w:b/>
          <w:bCs/>
          <w:sz w:val="20"/>
          <w:szCs w:val="20"/>
        </w:rPr>
        <w:t>a</w:t>
      </w:r>
      <w:r w:rsidR="00A50D61" w:rsidRPr="00156ED1">
        <w:rPr>
          <w:rFonts w:cstheme="minorHAnsi"/>
          <w:sz w:val="20"/>
          <w:szCs w:val="20"/>
        </w:rPr>
        <w:t xml:space="preserve">) </w:t>
      </w:r>
      <w:r w:rsidRPr="00156ED1">
        <w:rPr>
          <w:rFonts w:cstheme="minorHAnsi"/>
          <w:sz w:val="20"/>
          <w:szCs w:val="20"/>
        </w:rPr>
        <w:t xml:space="preserve">each line represents one </w:t>
      </w:r>
      <w:r w:rsidR="00A50D61" w:rsidRPr="00156ED1">
        <w:rPr>
          <w:rFonts w:cstheme="minorHAnsi"/>
          <w:sz w:val="20"/>
          <w:szCs w:val="20"/>
        </w:rPr>
        <w:t>scenario,</w:t>
      </w:r>
      <w:r w:rsidRPr="00156ED1">
        <w:rPr>
          <w:rFonts w:cstheme="minorHAnsi"/>
          <w:sz w:val="20"/>
          <w:szCs w:val="20"/>
        </w:rPr>
        <w:t xml:space="preserve"> and each color represents one carbon price trajectory. A darker color represents a no-biochar case, and a lighter shade of the color represents scenarios with biochar. Solid lines represent scenarios where BECCS are available and dotted </w:t>
      </w:r>
      <w:r w:rsidR="00A50D61" w:rsidRPr="00156ED1">
        <w:rPr>
          <w:rFonts w:cstheme="minorHAnsi"/>
          <w:sz w:val="20"/>
          <w:szCs w:val="20"/>
        </w:rPr>
        <w:t xml:space="preserve">and shaded </w:t>
      </w:r>
      <w:r w:rsidRPr="00156ED1">
        <w:rPr>
          <w:rFonts w:cstheme="minorHAnsi"/>
          <w:sz w:val="20"/>
          <w:szCs w:val="20"/>
        </w:rPr>
        <w:t xml:space="preserve">lines those where BECCS is unavailable. A square </w:t>
      </w:r>
      <w:proofErr w:type="spellStart"/>
      <w:r w:rsidRPr="00156ED1">
        <w:rPr>
          <w:rFonts w:cstheme="minorHAnsi"/>
          <w:sz w:val="20"/>
          <w:szCs w:val="20"/>
        </w:rPr>
        <w:t>geom</w:t>
      </w:r>
      <w:proofErr w:type="spellEnd"/>
      <w:r w:rsidRPr="00156ED1">
        <w:rPr>
          <w:rFonts w:cstheme="minorHAnsi"/>
          <w:sz w:val="20"/>
          <w:szCs w:val="20"/>
        </w:rPr>
        <w:t xml:space="preserve"> represents default yields and 0 application rates, a circle represents default yields, and a triangle represents increased yields. The white circular and triangular </w:t>
      </w:r>
      <w:proofErr w:type="spellStart"/>
      <w:r w:rsidRPr="00156ED1">
        <w:rPr>
          <w:rFonts w:cstheme="minorHAnsi"/>
          <w:sz w:val="20"/>
          <w:szCs w:val="20"/>
        </w:rPr>
        <w:t>geoms</w:t>
      </w:r>
      <w:proofErr w:type="spellEnd"/>
      <w:r w:rsidRPr="00156ED1">
        <w:rPr>
          <w:rFonts w:cstheme="minorHAnsi"/>
          <w:sz w:val="20"/>
          <w:szCs w:val="20"/>
        </w:rPr>
        <w:t xml:space="preserve"> represent application rates of 10 t/ha, whereas a black </w:t>
      </w:r>
      <w:proofErr w:type="spellStart"/>
      <w:r w:rsidRPr="00156ED1">
        <w:rPr>
          <w:rFonts w:cstheme="minorHAnsi"/>
          <w:sz w:val="20"/>
          <w:szCs w:val="20"/>
        </w:rPr>
        <w:t>geom</w:t>
      </w:r>
      <w:proofErr w:type="spellEnd"/>
      <w:r w:rsidRPr="00156ED1">
        <w:rPr>
          <w:rFonts w:cstheme="minorHAnsi"/>
          <w:sz w:val="20"/>
          <w:szCs w:val="20"/>
        </w:rPr>
        <w:t xml:space="preserve"> represents application rates of 20 t/ha. In </w:t>
      </w:r>
      <w:r w:rsidR="00A50D61" w:rsidRPr="00156ED1">
        <w:rPr>
          <w:rFonts w:cstheme="minorHAnsi"/>
          <w:sz w:val="20"/>
          <w:szCs w:val="20"/>
        </w:rPr>
        <w:t>(</w:t>
      </w:r>
      <w:r w:rsidR="00A50D61" w:rsidRPr="00156ED1">
        <w:rPr>
          <w:rFonts w:cstheme="minorHAnsi"/>
          <w:b/>
          <w:bCs/>
          <w:sz w:val="20"/>
          <w:szCs w:val="20"/>
        </w:rPr>
        <w:t>b</w:t>
      </w:r>
      <w:r w:rsidR="00A50D61" w:rsidRPr="00156ED1">
        <w:rPr>
          <w:rFonts w:cstheme="minorHAnsi"/>
          <w:sz w:val="20"/>
          <w:szCs w:val="20"/>
        </w:rPr>
        <w:t>)</w:t>
      </w:r>
      <w:r w:rsidRPr="00156ED1">
        <w:rPr>
          <w:rFonts w:cstheme="minorHAnsi"/>
          <w:sz w:val="20"/>
          <w:szCs w:val="20"/>
        </w:rPr>
        <w:t xml:space="preserve"> each facet represents one scenario, each column represents a combination of carbon price and BECCS availability (</w:t>
      </w:r>
      <w:r w:rsidR="0073257A" w:rsidRPr="00156ED1">
        <w:rPr>
          <w:rFonts w:cstheme="minorHAnsi"/>
          <w:sz w:val="20"/>
          <w:szCs w:val="20"/>
        </w:rPr>
        <w:t>e.g.,</w:t>
      </w:r>
      <w:r w:rsidRPr="00156ED1">
        <w:rPr>
          <w:rFonts w:cstheme="minorHAnsi"/>
          <w:sz w:val="20"/>
          <w:szCs w:val="20"/>
        </w:rPr>
        <w:t xml:space="preserve"> “REF</w:t>
      </w:r>
      <w:r w:rsidR="002221DF" w:rsidRPr="00156ED1">
        <w:rPr>
          <w:rFonts w:cstheme="minorHAnsi"/>
          <w:sz w:val="20"/>
          <w:szCs w:val="20"/>
        </w:rPr>
        <w:t xml:space="preserve"> &amp; BECCS</w:t>
      </w:r>
      <w:r w:rsidRPr="00156ED1">
        <w:rPr>
          <w:rFonts w:cstheme="minorHAnsi"/>
          <w:sz w:val="20"/>
          <w:szCs w:val="20"/>
        </w:rPr>
        <w:t>”), and each row represents a combination of the application rate and yield consideration (</w:t>
      </w:r>
      <w:r w:rsidR="0073257A" w:rsidRPr="00156ED1">
        <w:rPr>
          <w:rFonts w:cstheme="minorHAnsi"/>
          <w:sz w:val="20"/>
          <w:szCs w:val="20"/>
        </w:rPr>
        <w:t>e.g.,</w:t>
      </w:r>
      <w:r w:rsidRPr="00156ED1">
        <w:rPr>
          <w:rFonts w:cstheme="minorHAnsi"/>
          <w:sz w:val="20"/>
          <w:szCs w:val="20"/>
        </w:rPr>
        <w:t xml:space="preserve"> “10</w:t>
      </w:r>
      <w:r w:rsidR="002221DF" w:rsidRPr="00156ED1">
        <w:rPr>
          <w:rFonts w:cstheme="minorHAnsi"/>
          <w:sz w:val="20"/>
          <w:szCs w:val="20"/>
        </w:rPr>
        <w:t xml:space="preserve"> t/ha &amp; </w:t>
      </w:r>
      <w:r w:rsidRPr="00156ED1">
        <w:rPr>
          <w:rFonts w:cstheme="minorHAnsi"/>
          <w:sz w:val="20"/>
          <w:szCs w:val="20"/>
        </w:rPr>
        <w:t>Default Yield</w:t>
      </w:r>
      <w:r w:rsidR="002221DF" w:rsidRPr="00156ED1">
        <w:rPr>
          <w:rFonts w:cstheme="minorHAnsi"/>
          <w:sz w:val="20"/>
          <w:szCs w:val="20"/>
        </w:rPr>
        <w:t>s</w:t>
      </w:r>
      <w:r w:rsidRPr="00156ED1">
        <w:rPr>
          <w:rFonts w:cstheme="minorHAnsi"/>
          <w:sz w:val="20"/>
          <w:szCs w:val="20"/>
        </w:rPr>
        <w:t>”).</w:t>
      </w:r>
      <w:r w:rsidR="00FE2A65" w:rsidRPr="00156ED1">
        <w:rPr>
          <w:rFonts w:cstheme="minorHAnsi"/>
        </w:rPr>
        <w:br w:type="page"/>
      </w:r>
    </w:p>
    <w:p w14:paraId="4CA7F0E1" w14:textId="5C6227C0" w:rsidR="00315542" w:rsidRPr="00156ED1" w:rsidRDefault="00315542" w:rsidP="00B423D6">
      <w:pPr>
        <w:tabs>
          <w:tab w:val="left" w:pos="12870"/>
        </w:tabs>
        <w:jc w:val="both"/>
        <w:rPr>
          <w:rFonts w:cstheme="minorHAnsi"/>
        </w:rPr>
      </w:pPr>
      <w:r w:rsidRPr="00156ED1">
        <w:rPr>
          <w:rFonts w:cstheme="minorHAnsi"/>
          <w:noProof/>
        </w:rPr>
        <w:lastRenderedPageBreak/>
        <w:drawing>
          <wp:inline distT="0" distB="0" distL="0" distR="0" wp14:anchorId="09713CA8" wp14:editId="0E0FDDF1">
            <wp:extent cx="5943600" cy="5403850"/>
            <wp:effectExtent l="0" t="0" r="0" b="6350"/>
            <wp:docPr id="47" name="Picture 4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Chart&#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3600" cy="5403850"/>
                    </a:xfrm>
                    <a:prstGeom prst="rect">
                      <a:avLst/>
                    </a:prstGeom>
                  </pic:spPr>
                </pic:pic>
              </a:graphicData>
            </a:graphic>
          </wp:inline>
        </w:drawing>
      </w:r>
    </w:p>
    <w:p w14:paraId="3C9BDF45" w14:textId="326B3D9F" w:rsidR="00315542" w:rsidRPr="00156ED1" w:rsidRDefault="00315542" w:rsidP="00B423D6">
      <w:pPr>
        <w:tabs>
          <w:tab w:val="left" w:pos="12870"/>
        </w:tabs>
        <w:jc w:val="both"/>
        <w:rPr>
          <w:rFonts w:cstheme="minorHAnsi"/>
          <w:sz w:val="20"/>
          <w:szCs w:val="20"/>
        </w:rPr>
      </w:pPr>
      <w:r w:rsidRPr="00156ED1">
        <w:rPr>
          <w:rFonts w:cstheme="minorHAnsi"/>
          <w:b/>
          <w:bCs/>
          <w:sz w:val="20"/>
          <w:szCs w:val="20"/>
        </w:rPr>
        <w:t>Figure SM1</w:t>
      </w:r>
      <w:r w:rsidR="00476E40">
        <w:rPr>
          <w:rFonts w:cstheme="minorHAnsi"/>
          <w:b/>
          <w:bCs/>
          <w:sz w:val="20"/>
          <w:szCs w:val="20"/>
        </w:rPr>
        <w:t>6</w:t>
      </w:r>
      <w:r w:rsidRPr="00156ED1">
        <w:rPr>
          <w:rFonts w:cstheme="minorHAnsi"/>
          <w:b/>
          <w:bCs/>
          <w:sz w:val="20"/>
          <w:szCs w:val="20"/>
        </w:rPr>
        <w:t xml:space="preserve"> |</w:t>
      </w:r>
      <w:r w:rsidRPr="00156ED1">
        <w:rPr>
          <w:rFonts w:cstheme="minorHAnsi"/>
          <w:sz w:val="20"/>
          <w:szCs w:val="20"/>
        </w:rPr>
        <w:t xml:space="preserve"> Total global electricity </w:t>
      </w:r>
      <w:r w:rsidR="002923BF" w:rsidRPr="00156ED1">
        <w:rPr>
          <w:rFonts w:cstheme="minorHAnsi"/>
          <w:sz w:val="20"/>
          <w:szCs w:val="20"/>
        </w:rPr>
        <w:t>generation by</w:t>
      </w:r>
      <w:r w:rsidRPr="00156ED1">
        <w:rPr>
          <w:rFonts w:cstheme="minorHAnsi"/>
          <w:sz w:val="20"/>
          <w:szCs w:val="20"/>
        </w:rPr>
        <w:t xml:space="preserve"> sector. Each line represents one scenario, and each color represents one carbon price trajectory. A darker color represents a no-biochar case, and a lighter shade of the color represents scenarios with biochar. Solid lines represent scenarios where BECCS are available and dotted and shaded lines those where BECCS is unavailable. A square </w:t>
      </w:r>
      <w:proofErr w:type="spellStart"/>
      <w:r w:rsidRPr="00156ED1">
        <w:rPr>
          <w:rFonts w:cstheme="minorHAnsi"/>
          <w:sz w:val="20"/>
          <w:szCs w:val="20"/>
        </w:rPr>
        <w:t>geom</w:t>
      </w:r>
      <w:proofErr w:type="spellEnd"/>
      <w:r w:rsidRPr="00156ED1">
        <w:rPr>
          <w:rFonts w:cstheme="minorHAnsi"/>
          <w:sz w:val="20"/>
          <w:szCs w:val="20"/>
        </w:rPr>
        <w:t xml:space="preserve"> represents default yields and 0 application rates, a circle represents default yields, and a triangle represents increased yields. The white circular and triangular </w:t>
      </w:r>
      <w:proofErr w:type="spellStart"/>
      <w:r w:rsidRPr="00156ED1">
        <w:rPr>
          <w:rFonts w:cstheme="minorHAnsi"/>
          <w:sz w:val="20"/>
          <w:szCs w:val="20"/>
        </w:rPr>
        <w:t>geoms</w:t>
      </w:r>
      <w:proofErr w:type="spellEnd"/>
      <w:r w:rsidRPr="00156ED1">
        <w:rPr>
          <w:rFonts w:cstheme="minorHAnsi"/>
          <w:sz w:val="20"/>
          <w:szCs w:val="20"/>
        </w:rPr>
        <w:t xml:space="preserve"> represent application rates of 10 t/ha, whereas a black </w:t>
      </w:r>
      <w:proofErr w:type="spellStart"/>
      <w:r w:rsidRPr="00156ED1">
        <w:rPr>
          <w:rFonts w:cstheme="minorHAnsi"/>
          <w:sz w:val="20"/>
          <w:szCs w:val="20"/>
        </w:rPr>
        <w:t>geom</w:t>
      </w:r>
      <w:proofErr w:type="spellEnd"/>
      <w:r w:rsidRPr="00156ED1">
        <w:rPr>
          <w:rFonts w:cstheme="minorHAnsi"/>
          <w:sz w:val="20"/>
          <w:szCs w:val="20"/>
        </w:rPr>
        <w:t xml:space="preserve"> represents application rates of 20 t/ha. Note that GCAM v5.3 has endogenous hydropower. Note the different y-axis scales.</w:t>
      </w:r>
    </w:p>
    <w:p w14:paraId="7C0EEE83" w14:textId="77777777" w:rsidR="00315542" w:rsidRPr="00156ED1" w:rsidRDefault="00315542" w:rsidP="00B423D6">
      <w:pPr>
        <w:tabs>
          <w:tab w:val="left" w:pos="12870"/>
        </w:tabs>
        <w:jc w:val="both"/>
        <w:rPr>
          <w:rFonts w:cstheme="minorHAnsi"/>
        </w:rPr>
      </w:pPr>
    </w:p>
    <w:p w14:paraId="4F600137" w14:textId="77777777" w:rsidR="00315542" w:rsidRPr="00156ED1" w:rsidRDefault="00315542">
      <w:pPr>
        <w:rPr>
          <w:rFonts w:eastAsia="Arial" w:cstheme="minorHAnsi"/>
          <w:color w:val="666666"/>
          <w:sz w:val="28"/>
          <w:szCs w:val="28"/>
          <w:lang w:val="en"/>
        </w:rPr>
      </w:pPr>
      <w:r w:rsidRPr="00156ED1">
        <w:rPr>
          <w:rFonts w:eastAsia="Arial" w:cstheme="minorHAnsi"/>
          <w:color w:val="666666"/>
          <w:sz w:val="28"/>
          <w:szCs w:val="28"/>
          <w:lang w:val="en"/>
        </w:rPr>
        <w:br w:type="page"/>
      </w:r>
    </w:p>
    <w:p w14:paraId="79A104EA" w14:textId="3546BBE4" w:rsidR="009164D4" w:rsidRPr="00156ED1" w:rsidRDefault="00FE2A65">
      <w:pPr>
        <w:rPr>
          <w:rFonts w:eastAsia="Arial" w:cstheme="minorHAnsi"/>
          <w:b/>
          <w:bCs/>
          <w:color w:val="666666"/>
          <w:sz w:val="28"/>
          <w:szCs w:val="28"/>
          <w:lang w:val="en"/>
        </w:rPr>
      </w:pPr>
      <w:r w:rsidRPr="00156ED1">
        <w:rPr>
          <w:rFonts w:eastAsia="Arial" w:cstheme="minorHAnsi"/>
          <w:b/>
          <w:bCs/>
          <w:color w:val="666666"/>
          <w:sz w:val="28"/>
          <w:szCs w:val="28"/>
          <w:lang w:val="en"/>
        </w:rPr>
        <w:lastRenderedPageBreak/>
        <w:t>Supplementary Material 1</w:t>
      </w:r>
      <w:r w:rsidR="00461F8E">
        <w:rPr>
          <w:rFonts w:eastAsia="Arial" w:cstheme="minorHAnsi"/>
          <w:b/>
          <w:bCs/>
          <w:color w:val="666666"/>
          <w:sz w:val="28"/>
          <w:szCs w:val="28"/>
          <w:lang w:val="en"/>
        </w:rPr>
        <w:t>5</w:t>
      </w:r>
      <w:r w:rsidRPr="00156ED1">
        <w:rPr>
          <w:rFonts w:eastAsia="Arial" w:cstheme="minorHAnsi"/>
          <w:b/>
          <w:bCs/>
          <w:color w:val="666666"/>
          <w:sz w:val="28"/>
          <w:szCs w:val="28"/>
          <w:lang w:val="en"/>
        </w:rPr>
        <w:t xml:space="preserve"> (SM1</w:t>
      </w:r>
      <w:r w:rsidR="00461F8E">
        <w:rPr>
          <w:rFonts w:eastAsia="Arial" w:cstheme="minorHAnsi"/>
          <w:b/>
          <w:bCs/>
          <w:color w:val="666666"/>
          <w:sz w:val="28"/>
          <w:szCs w:val="28"/>
          <w:lang w:val="en"/>
        </w:rPr>
        <w:t>5</w:t>
      </w:r>
      <w:r w:rsidRPr="00156ED1">
        <w:rPr>
          <w:rFonts w:eastAsia="Arial" w:cstheme="minorHAnsi"/>
          <w:b/>
          <w:bCs/>
          <w:color w:val="666666"/>
          <w:sz w:val="28"/>
          <w:szCs w:val="28"/>
          <w:lang w:val="en"/>
        </w:rPr>
        <w:t xml:space="preserve">) – </w:t>
      </w:r>
      <w:r w:rsidR="009164D4" w:rsidRPr="00156ED1">
        <w:rPr>
          <w:rFonts w:eastAsia="Arial" w:cstheme="minorHAnsi"/>
          <w:b/>
          <w:bCs/>
          <w:color w:val="666666"/>
          <w:sz w:val="28"/>
          <w:szCs w:val="28"/>
          <w:lang w:val="en"/>
        </w:rPr>
        <w:t xml:space="preserve">Yield </w:t>
      </w:r>
      <w:r w:rsidR="007330D4" w:rsidRPr="00156ED1">
        <w:rPr>
          <w:rFonts w:eastAsia="Arial" w:cstheme="minorHAnsi"/>
          <w:b/>
          <w:bCs/>
          <w:color w:val="666666"/>
          <w:sz w:val="28"/>
          <w:szCs w:val="28"/>
          <w:lang w:val="en"/>
        </w:rPr>
        <w:t>Improvement</w:t>
      </w:r>
      <w:r w:rsidR="009164D4" w:rsidRPr="00156ED1">
        <w:rPr>
          <w:rFonts w:eastAsia="Arial" w:cstheme="minorHAnsi"/>
          <w:b/>
          <w:bCs/>
          <w:color w:val="666666"/>
          <w:sz w:val="28"/>
          <w:szCs w:val="28"/>
          <w:lang w:val="en"/>
        </w:rPr>
        <w:t xml:space="preserve"> Research</w:t>
      </w:r>
    </w:p>
    <w:p w14:paraId="33E13B41" w14:textId="2E291C0F" w:rsidR="00DF16B5" w:rsidRDefault="00DF16B5" w:rsidP="00520445">
      <w:pPr>
        <w:jc w:val="both"/>
        <w:rPr>
          <w:rFonts w:cstheme="minorHAnsi"/>
        </w:rPr>
      </w:pPr>
      <w:r w:rsidRPr="00156ED1">
        <w:rPr>
          <w:rFonts w:cstheme="minorHAnsi"/>
        </w:rPr>
        <w:t xml:space="preserve">Scopus database was used to do the literature search of biochar effects on yield for different cropping systems. Key words “biochar”, “yield”, and crop name in the GCAM crop library were used during the search, for example: biochar-corn-yield. There are 15 different crop types in GCAM, with some </w:t>
      </w:r>
      <w:r w:rsidR="002923BF" w:rsidRPr="00156ED1">
        <w:rPr>
          <w:rFonts w:cstheme="minorHAnsi"/>
        </w:rPr>
        <w:t>specific</w:t>
      </w:r>
      <w:r w:rsidRPr="00156ED1">
        <w:rPr>
          <w:rFonts w:cstheme="minorHAnsi"/>
        </w:rPr>
        <w:t xml:space="preserve"> crop names such as corn, wheat, and rice, while the remaining indicating certain crop types such as sugar crops, root tuber</w:t>
      </w:r>
      <w:r w:rsidR="002923BF" w:rsidRPr="00156ED1">
        <w:rPr>
          <w:rFonts w:cstheme="minorHAnsi"/>
        </w:rPr>
        <w:t>, and others</w:t>
      </w:r>
      <w:r w:rsidRPr="00156ED1">
        <w:rPr>
          <w:rFonts w:cstheme="minorHAnsi"/>
        </w:rPr>
        <w:t xml:space="preserve">. For the crop types without specifying crop names, representative crops in those types were selected (Table </w:t>
      </w:r>
      <w:r w:rsidR="00E15E24" w:rsidRPr="00156ED1">
        <w:rPr>
          <w:rFonts w:cstheme="minorHAnsi"/>
        </w:rPr>
        <w:t>SM2</w:t>
      </w:r>
      <w:r w:rsidRPr="00156ED1">
        <w:rPr>
          <w:rFonts w:cstheme="minorHAnsi"/>
        </w:rPr>
        <w:t xml:space="preserve">). After literature search and screening, 145 publications were used to calculate the biochar effects on yield. An average yield change was calculated for each publication, regardless </w:t>
      </w:r>
      <w:r w:rsidR="002923BF" w:rsidRPr="00156ED1">
        <w:rPr>
          <w:rFonts w:cstheme="minorHAnsi"/>
        </w:rPr>
        <w:t xml:space="preserve">of the </w:t>
      </w:r>
      <w:r w:rsidRPr="00156ED1">
        <w:rPr>
          <w:rFonts w:cstheme="minorHAnsi"/>
        </w:rPr>
        <w:t xml:space="preserve">numbers of cropping systems, biochar application rates, field trial sites and durations involved in the publication. The yield changes were then categorized into one of the four climatic zone </w:t>
      </w:r>
      <w:r w:rsidR="002923BF" w:rsidRPr="00156ED1">
        <w:rPr>
          <w:rFonts w:cstheme="minorHAnsi"/>
        </w:rPr>
        <w:t>(temperate or tropical) and</w:t>
      </w:r>
      <w:r w:rsidRPr="00156ED1">
        <w:rPr>
          <w:rFonts w:cstheme="minorHAnsi"/>
        </w:rPr>
        <w:t xml:space="preserve"> irrigation strategy scenarios</w:t>
      </w:r>
      <w:r w:rsidR="002923BF" w:rsidRPr="00156ED1">
        <w:rPr>
          <w:rFonts w:cstheme="minorHAnsi"/>
        </w:rPr>
        <w:t xml:space="preserve"> (irrigated or rainfed)</w:t>
      </w:r>
      <w:r w:rsidRPr="00156ED1">
        <w:rPr>
          <w:rFonts w:cstheme="minorHAnsi"/>
        </w:rPr>
        <w:t xml:space="preserve">. The yield changes were averaged in each scenario to indicate the biochar effects on yield in that climatic zone </w:t>
      </w:r>
      <w:r w:rsidR="002923BF" w:rsidRPr="00156ED1">
        <w:rPr>
          <w:rFonts w:cstheme="minorHAnsi"/>
        </w:rPr>
        <w:t>and</w:t>
      </w:r>
      <w:r w:rsidRPr="00156ED1">
        <w:rPr>
          <w:rFonts w:cstheme="minorHAnsi"/>
        </w:rPr>
        <w:t xml:space="preserve"> irrigation strategy scenario.</w:t>
      </w:r>
    </w:p>
    <w:p w14:paraId="7A263DB8" w14:textId="77777777" w:rsidR="00D71E63" w:rsidRPr="00156ED1" w:rsidRDefault="00D71E63" w:rsidP="00520445">
      <w:pPr>
        <w:jc w:val="both"/>
        <w:rPr>
          <w:rFonts w:cstheme="minorHAnsi"/>
        </w:rPr>
      </w:pPr>
    </w:p>
    <w:p w14:paraId="51E7B291" w14:textId="281AA69E" w:rsidR="00DF16B5" w:rsidRPr="00156ED1" w:rsidRDefault="00D71E63" w:rsidP="00DF16B5">
      <w:pPr>
        <w:rPr>
          <w:rFonts w:cstheme="minorHAnsi"/>
        </w:rPr>
      </w:pPr>
      <w:r w:rsidRPr="00156ED1">
        <w:rPr>
          <w:rFonts w:cstheme="minorHAnsi"/>
          <w:b/>
          <w:bCs/>
        </w:rPr>
        <w:t>Table SM2 |</w:t>
      </w:r>
      <w:r w:rsidRPr="00156ED1">
        <w:rPr>
          <w:rFonts w:cstheme="minorHAnsi"/>
        </w:rPr>
        <w:t xml:space="preserve"> Crop library in GCAM and representative crops for crop types without specifying crop names in GCAM crop library</w:t>
      </w:r>
    </w:p>
    <w:tbl>
      <w:tblPr>
        <w:tblW w:w="9375" w:type="dxa"/>
        <w:tblInd w:w="-118" w:type="dxa"/>
        <w:tblLayout w:type="fixed"/>
        <w:tblLook w:val="04A0" w:firstRow="1" w:lastRow="0" w:firstColumn="1" w:lastColumn="0" w:noHBand="0" w:noVBand="1"/>
      </w:tblPr>
      <w:tblGrid>
        <w:gridCol w:w="1818"/>
        <w:gridCol w:w="2739"/>
        <w:gridCol w:w="4818"/>
      </w:tblGrid>
      <w:tr w:rsidR="00DF16B5" w:rsidRPr="00156ED1" w14:paraId="06AD96AC" w14:textId="77777777" w:rsidTr="00072435">
        <w:tc>
          <w:tcPr>
            <w:tcW w:w="1818" w:type="dxa"/>
            <w:tcBorders>
              <w:top w:val="single" w:sz="8" w:space="0" w:color="FFFFFF"/>
              <w:left w:val="single" w:sz="8" w:space="0" w:color="FFFFFF"/>
              <w:bottom w:val="single" w:sz="36" w:space="0" w:color="FFFFFF"/>
              <w:right w:val="single" w:sz="8" w:space="0" w:color="FFFFFF"/>
            </w:tcBorders>
            <w:shd w:val="clear" w:color="auto" w:fill="355BB7"/>
            <w:hideMark/>
          </w:tcPr>
          <w:p w14:paraId="40BA512C"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Crop name or type in GCAM</w:t>
            </w:r>
          </w:p>
        </w:tc>
        <w:tc>
          <w:tcPr>
            <w:tcW w:w="2739" w:type="dxa"/>
            <w:tcBorders>
              <w:top w:val="single" w:sz="8" w:space="0" w:color="FFFFFF"/>
              <w:left w:val="single" w:sz="8" w:space="0" w:color="FFFFFF"/>
              <w:bottom w:val="single" w:sz="36" w:space="0" w:color="FFFFFF"/>
              <w:right w:val="single" w:sz="8" w:space="0" w:color="FFFFFF"/>
            </w:tcBorders>
            <w:shd w:val="clear" w:color="auto" w:fill="355BB7"/>
            <w:hideMark/>
          </w:tcPr>
          <w:p w14:paraId="46C8DF6C"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Representative crops for crop types</w:t>
            </w:r>
          </w:p>
        </w:tc>
        <w:tc>
          <w:tcPr>
            <w:tcW w:w="4818" w:type="dxa"/>
            <w:tcBorders>
              <w:top w:val="single" w:sz="8" w:space="0" w:color="FFFFFF"/>
              <w:left w:val="single" w:sz="8" w:space="0" w:color="FFFFFF"/>
              <w:bottom w:val="single" w:sz="36" w:space="0" w:color="FFFFFF"/>
              <w:right w:val="single" w:sz="8" w:space="0" w:color="FFFFFF"/>
            </w:tcBorders>
            <w:shd w:val="clear" w:color="auto" w:fill="355BB7"/>
            <w:hideMark/>
          </w:tcPr>
          <w:p w14:paraId="2330154B"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Source</w:t>
            </w:r>
          </w:p>
        </w:tc>
      </w:tr>
      <w:tr w:rsidR="00DF16B5" w:rsidRPr="00156ED1" w14:paraId="0AC13C3D" w14:textId="77777777" w:rsidTr="00072435">
        <w:tc>
          <w:tcPr>
            <w:tcW w:w="1818" w:type="dxa"/>
            <w:tcBorders>
              <w:top w:val="single" w:sz="36" w:space="0" w:color="FFFFFF"/>
              <w:left w:val="single" w:sz="8" w:space="0" w:color="FFFFFF"/>
              <w:bottom w:val="single" w:sz="8" w:space="0" w:color="FFFFFF"/>
              <w:right w:val="single" w:sz="8" w:space="0" w:color="FFFFFF"/>
            </w:tcBorders>
            <w:shd w:val="clear" w:color="auto" w:fill="C4CBE5"/>
            <w:hideMark/>
          </w:tcPr>
          <w:p w14:paraId="4C79EF58"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Corn</w:t>
            </w:r>
          </w:p>
        </w:tc>
        <w:tc>
          <w:tcPr>
            <w:tcW w:w="2739" w:type="dxa"/>
            <w:tcBorders>
              <w:top w:val="single" w:sz="36" w:space="0" w:color="FFFFFF"/>
              <w:left w:val="single" w:sz="8" w:space="0" w:color="FFFFFF"/>
              <w:bottom w:val="single" w:sz="8" w:space="0" w:color="FFFFFF"/>
              <w:right w:val="single" w:sz="8" w:space="0" w:color="FFFFFF"/>
            </w:tcBorders>
            <w:shd w:val="clear" w:color="auto" w:fill="C4CBE5"/>
          </w:tcPr>
          <w:p w14:paraId="7CDFD8E8" w14:textId="77777777" w:rsidR="00DF16B5" w:rsidRPr="00156ED1" w:rsidRDefault="00DF16B5" w:rsidP="00C57A87">
            <w:pPr>
              <w:spacing w:after="0" w:line="240" w:lineRule="auto"/>
              <w:rPr>
                <w:rFonts w:cstheme="minorHAnsi"/>
                <w:sz w:val="24"/>
                <w:szCs w:val="24"/>
              </w:rPr>
            </w:pPr>
          </w:p>
        </w:tc>
        <w:tc>
          <w:tcPr>
            <w:tcW w:w="4818" w:type="dxa"/>
            <w:tcBorders>
              <w:top w:val="single" w:sz="36" w:space="0" w:color="FFFFFF"/>
              <w:left w:val="single" w:sz="8" w:space="0" w:color="FFFFFF"/>
              <w:bottom w:val="single" w:sz="8" w:space="0" w:color="FFFFFF"/>
              <w:right w:val="single" w:sz="8" w:space="0" w:color="FFFFFF"/>
            </w:tcBorders>
            <w:shd w:val="clear" w:color="auto" w:fill="C4CBE5"/>
          </w:tcPr>
          <w:p w14:paraId="32914999" w14:textId="77777777" w:rsidR="00DF16B5" w:rsidRPr="00156ED1" w:rsidRDefault="00DF16B5" w:rsidP="00C57A87">
            <w:pPr>
              <w:spacing w:after="0" w:line="240" w:lineRule="auto"/>
              <w:rPr>
                <w:rFonts w:cstheme="minorHAnsi"/>
                <w:sz w:val="24"/>
                <w:szCs w:val="24"/>
              </w:rPr>
            </w:pPr>
          </w:p>
        </w:tc>
      </w:tr>
      <w:tr w:rsidR="00DF16B5" w:rsidRPr="00156ED1" w14:paraId="79AD6F2A" w14:textId="77777777" w:rsidTr="00072435">
        <w:tc>
          <w:tcPr>
            <w:tcW w:w="1818" w:type="dxa"/>
            <w:tcBorders>
              <w:top w:val="single" w:sz="8" w:space="0" w:color="FFFFFF"/>
              <w:left w:val="single" w:sz="8" w:space="0" w:color="FFFFFF"/>
              <w:bottom w:val="single" w:sz="8" w:space="0" w:color="FFFFFF"/>
              <w:right w:val="single" w:sz="8" w:space="0" w:color="FFFFFF"/>
            </w:tcBorders>
            <w:shd w:val="clear" w:color="auto" w:fill="E4E6F2"/>
            <w:hideMark/>
          </w:tcPr>
          <w:p w14:paraId="3230B8D7"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Wheat</w:t>
            </w:r>
          </w:p>
        </w:tc>
        <w:tc>
          <w:tcPr>
            <w:tcW w:w="2739" w:type="dxa"/>
            <w:tcBorders>
              <w:top w:val="single" w:sz="8" w:space="0" w:color="FFFFFF"/>
              <w:left w:val="single" w:sz="8" w:space="0" w:color="FFFFFF"/>
              <w:bottom w:val="single" w:sz="8" w:space="0" w:color="FFFFFF"/>
              <w:right w:val="single" w:sz="8" w:space="0" w:color="FFFFFF"/>
            </w:tcBorders>
            <w:shd w:val="clear" w:color="auto" w:fill="E4E6F2"/>
          </w:tcPr>
          <w:p w14:paraId="122FF14A" w14:textId="77777777" w:rsidR="00DF16B5" w:rsidRPr="00156ED1" w:rsidRDefault="00DF16B5" w:rsidP="00C57A87">
            <w:pPr>
              <w:spacing w:after="0" w:line="240" w:lineRule="auto"/>
              <w:rPr>
                <w:rFonts w:cstheme="minorHAnsi"/>
                <w:sz w:val="24"/>
                <w:szCs w:val="24"/>
              </w:rPr>
            </w:pPr>
          </w:p>
        </w:tc>
        <w:tc>
          <w:tcPr>
            <w:tcW w:w="4818" w:type="dxa"/>
            <w:tcBorders>
              <w:top w:val="single" w:sz="8" w:space="0" w:color="FFFFFF"/>
              <w:left w:val="single" w:sz="8" w:space="0" w:color="FFFFFF"/>
              <w:bottom w:val="single" w:sz="8" w:space="0" w:color="FFFFFF"/>
              <w:right w:val="single" w:sz="8" w:space="0" w:color="FFFFFF"/>
            </w:tcBorders>
            <w:shd w:val="clear" w:color="auto" w:fill="E4E6F2"/>
          </w:tcPr>
          <w:p w14:paraId="54486DE9" w14:textId="77777777" w:rsidR="00DF16B5" w:rsidRPr="00156ED1" w:rsidRDefault="00DF16B5" w:rsidP="00C57A87">
            <w:pPr>
              <w:spacing w:after="0" w:line="240" w:lineRule="auto"/>
              <w:rPr>
                <w:rFonts w:cstheme="minorHAnsi"/>
                <w:sz w:val="24"/>
                <w:szCs w:val="24"/>
              </w:rPr>
            </w:pPr>
          </w:p>
        </w:tc>
      </w:tr>
      <w:tr w:rsidR="00DF16B5" w:rsidRPr="00156ED1" w14:paraId="3DCDE3CC" w14:textId="77777777" w:rsidTr="00072435">
        <w:tc>
          <w:tcPr>
            <w:tcW w:w="1818" w:type="dxa"/>
            <w:tcBorders>
              <w:top w:val="single" w:sz="8" w:space="0" w:color="FFFFFF"/>
              <w:left w:val="single" w:sz="8" w:space="0" w:color="FFFFFF"/>
              <w:bottom w:val="single" w:sz="8" w:space="0" w:color="FFFFFF"/>
              <w:right w:val="single" w:sz="8" w:space="0" w:color="FFFFFF"/>
            </w:tcBorders>
            <w:shd w:val="clear" w:color="auto" w:fill="C4CBE5"/>
            <w:hideMark/>
          </w:tcPr>
          <w:p w14:paraId="0D8E9134"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Rice</w:t>
            </w:r>
          </w:p>
        </w:tc>
        <w:tc>
          <w:tcPr>
            <w:tcW w:w="2739" w:type="dxa"/>
            <w:tcBorders>
              <w:top w:val="single" w:sz="8" w:space="0" w:color="FFFFFF"/>
              <w:left w:val="single" w:sz="8" w:space="0" w:color="FFFFFF"/>
              <w:bottom w:val="single" w:sz="8" w:space="0" w:color="FFFFFF"/>
              <w:right w:val="single" w:sz="8" w:space="0" w:color="FFFFFF"/>
            </w:tcBorders>
            <w:shd w:val="clear" w:color="auto" w:fill="C4CBE5"/>
          </w:tcPr>
          <w:p w14:paraId="31651D95" w14:textId="77777777" w:rsidR="00DF16B5" w:rsidRPr="00156ED1" w:rsidRDefault="00DF16B5" w:rsidP="00C57A87">
            <w:pPr>
              <w:spacing w:after="0" w:line="240" w:lineRule="auto"/>
              <w:rPr>
                <w:rFonts w:cstheme="minorHAnsi"/>
                <w:sz w:val="24"/>
                <w:szCs w:val="24"/>
              </w:rPr>
            </w:pPr>
          </w:p>
        </w:tc>
        <w:tc>
          <w:tcPr>
            <w:tcW w:w="4818" w:type="dxa"/>
            <w:tcBorders>
              <w:top w:val="single" w:sz="8" w:space="0" w:color="FFFFFF"/>
              <w:left w:val="single" w:sz="8" w:space="0" w:color="FFFFFF"/>
              <w:bottom w:val="single" w:sz="8" w:space="0" w:color="FFFFFF"/>
              <w:right w:val="single" w:sz="8" w:space="0" w:color="FFFFFF"/>
            </w:tcBorders>
            <w:shd w:val="clear" w:color="auto" w:fill="C4CBE5"/>
          </w:tcPr>
          <w:p w14:paraId="0F2C9E9F" w14:textId="77777777" w:rsidR="00DF16B5" w:rsidRPr="00156ED1" w:rsidRDefault="00DF16B5" w:rsidP="00C57A87">
            <w:pPr>
              <w:spacing w:after="0" w:line="240" w:lineRule="auto"/>
              <w:rPr>
                <w:rFonts w:cstheme="minorHAnsi"/>
                <w:sz w:val="24"/>
                <w:szCs w:val="24"/>
              </w:rPr>
            </w:pPr>
          </w:p>
        </w:tc>
      </w:tr>
      <w:tr w:rsidR="00DF16B5" w:rsidRPr="00156ED1" w14:paraId="2ADC8802" w14:textId="77777777" w:rsidTr="00072435">
        <w:tc>
          <w:tcPr>
            <w:tcW w:w="1818" w:type="dxa"/>
            <w:tcBorders>
              <w:top w:val="single" w:sz="8" w:space="0" w:color="FFFFFF"/>
              <w:left w:val="single" w:sz="8" w:space="0" w:color="FFFFFF"/>
              <w:bottom w:val="single" w:sz="8" w:space="0" w:color="FFFFFF"/>
              <w:right w:val="single" w:sz="8" w:space="0" w:color="FFFFFF"/>
            </w:tcBorders>
            <w:shd w:val="clear" w:color="auto" w:fill="E4E6F2"/>
            <w:hideMark/>
          </w:tcPr>
          <w:p w14:paraId="1EA8DF21"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Fodder herb</w:t>
            </w:r>
          </w:p>
        </w:tc>
        <w:tc>
          <w:tcPr>
            <w:tcW w:w="2739" w:type="dxa"/>
            <w:tcBorders>
              <w:top w:val="single" w:sz="8" w:space="0" w:color="FFFFFF"/>
              <w:left w:val="single" w:sz="8" w:space="0" w:color="FFFFFF"/>
              <w:bottom w:val="single" w:sz="8" w:space="0" w:color="FFFFFF"/>
              <w:right w:val="single" w:sz="8" w:space="0" w:color="FFFFFF"/>
            </w:tcBorders>
            <w:shd w:val="clear" w:color="auto" w:fill="E4E6F2"/>
            <w:hideMark/>
          </w:tcPr>
          <w:p w14:paraId="4F84BC8B"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alfalfa, clover</w:t>
            </w:r>
          </w:p>
        </w:tc>
        <w:tc>
          <w:tcPr>
            <w:tcW w:w="4818" w:type="dxa"/>
            <w:tcBorders>
              <w:top w:val="single" w:sz="8" w:space="0" w:color="FFFFFF"/>
              <w:left w:val="single" w:sz="8" w:space="0" w:color="FFFFFF"/>
              <w:bottom w:val="single" w:sz="8" w:space="0" w:color="FFFFFF"/>
              <w:right w:val="single" w:sz="8" w:space="0" w:color="FFFFFF"/>
            </w:tcBorders>
            <w:shd w:val="clear" w:color="auto" w:fill="E4E6F2"/>
            <w:hideMark/>
          </w:tcPr>
          <w:p w14:paraId="32420C3E" w14:textId="77777777" w:rsidR="00DF16B5" w:rsidRPr="00156ED1" w:rsidRDefault="006C2D85" w:rsidP="00C57A87">
            <w:pPr>
              <w:spacing w:after="0" w:line="240" w:lineRule="auto"/>
              <w:rPr>
                <w:rFonts w:cstheme="minorHAnsi"/>
                <w:sz w:val="24"/>
                <w:szCs w:val="24"/>
              </w:rPr>
            </w:pPr>
            <w:hyperlink r:id="rId28" w:history="1">
              <w:r w:rsidR="00DF16B5" w:rsidRPr="00156ED1">
                <w:rPr>
                  <w:rStyle w:val="Hyperlink"/>
                  <w:rFonts w:cstheme="minorHAnsi"/>
                  <w:sz w:val="24"/>
                  <w:szCs w:val="24"/>
                </w:rPr>
                <w:t>http://www.fao.org/es/faodef/fdef11e.htm</w:t>
              </w:r>
            </w:hyperlink>
          </w:p>
        </w:tc>
      </w:tr>
      <w:tr w:rsidR="00DF16B5" w:rsidRPr="00156ED1" w14:paraId="6C345542" w14:textId="77777777" w:rsidTr="00072435">
        <w:tc>
          <w:tcPr>
            <w:tcW w:w="1818" w:type="dxa"/>
            <w:tcBorders>
              <w:top w:val="single" w:sz="8" w:space="0" w:color="FFFFFF"/>
              <w:left w:val="single" w:sz="8" w:space="0" w:color="FFFFFF"/>
              <w:bottom w:val="single" w:sz="8" w:space="0" w:color="FFFFFF"/>
              <w:right w:val="single" w:sz="8" w:space="0" w:color="FFFFFF"/>
            </w:tcBorders>
            <w:shd w:val="clear" w:color="auto" w:fill="C4CBE5"/>
            <w:hideMark/>
          </w:tcPr>
          <w:p w14:paraId="695A7443"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Fodder grass</w:t>
            </w:r>
          </w:p>
        </w:tc>
        <w:tc>
          <w:tcPr>
            <w:tcW w:w="2739" w:type="dxa"/>
            <w:tcBorders>
              <w:top w:val="single" w:sz="8" w:space="0" w:color="FFFFFF"/>
              <w:left w:val="single" w:sz="8" w:space="0" w:color="FFFFFF"/>
              <w:bottom w:val="single" w:sz="8" w:space="0" w:color="FFFFFF"/>
              <w:right w:val="single" w:sz="8" w:space="0" w:color="FFFFFF"/>
            </w:tcBorders>
            <w:shd w:val="clear" w:color="auto" w:fill="C4CBE5"/>
            <w:hideMark/>
          </w:tcPr>
          <w:p w14:paraId="4E2B2FBE"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rye grass</w:t>
            </w:r>
          </w:p>
        </w:tc>
        <w:tc>
          <w:tcPr>
            <w:tcW w:w="4818" w:type="dxa"/>
            <w:tcBorders>
              <w:top w:val="single" w:sz="8" w:space="0" w:color="FFFFFF"/>
              <w:left w:val="single" w:sz="8" w:space="0" w:color="FFFFFF"/>
              <w:bottom w:val="single" w:sz="8" w:space="0" w:color="FFFFFF"/>
              <w:right w:val="single" w:sz="8" w:space="0" w:color="FFFFFF"/>
            </w:tcBorders>
            <w:shd w:val="clear" w:color="auto" w:fill="C4CBE5"/>
            <w:hideMark/>
          </w:tcPr>
          <w:p w14:paraId="69D35A19" w14:textId="77777777" w:rsidR="00DF16B5" w:rsidRPr="00156ED1" w:rsidRDefault="006C2D85" w:rsidP="00C57A87">
            <w:pPr>
              <w:spacing w:after="0" w:line="240" w:lineRule="auto"/>
              <w:rPr>
                <w:rFonts w:cstheme="minorHAnsi"/>
                <w:sz w:val="24"/>
                <w:szCs w:val="24"/>
              </w:rPr>
            </w:pPr>
            <w:hyperlink r:id="rId29" w:history="1">
              <w:r w:rsidR="00DF16B5" w:rsidRPr="00156ED1">
                <w:rPr>
                  <w:rStyle w:val="Hyperlink"/>
                  <w:rFonts w:cstheme="minorHAnsi"/>
                  <w:sz w:val="24"/>
                  <w:szCs w:val="24"/>
                </w:rPr>
                <w:t>http://www.fao.org/es/faodef/fdef11e.htm</w:t>
              </w:r>
            </w:hyperlink>
          </w:p>
        </w:tc>
      </w:tr>
      <w:tr w:rsidR="00DF16B5" w:rsidRPr="00156ED1" w14:paraId="075E864B" w14:textId="77777777" w:rsidTr="00072435">
        <w:tc>
          <w:tcPr>
            <w:tcW w:w="1818" w:type="dxa"/>
            <w:tcBorders>
              <w:top w:val="single" w:sz="8" w:space="0" w:color="FFFFFF"/>
              <w:left w:val="single" w:sz="8" w:space="0" w:color="FFFFFF"/>
              <w:bottom w:val="single" w:sz="8" w:space="0" w:color="FFFFFF"/>
              <w:right w:val="single" w:sz="8" w:space="0" w:color="FFFFFF"/>
            </w:tcBorders>
            <w:shd w:val="clear" w:color="auto" w:fill="E4E6F2"/>
            <w:hideMark/>
          </w:tcPr>
          <w:p w14:paraId="2EB7BF90"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Oil crop</w:t>
            </w:r>
          </w:p>
        </w:tc>
        <w:tc>
          <w:tcPr>
            <w:tcW w:w="2739" w:type="dxa"/>
            <w:tcBorders>
              <w:top w:val="single" w:sz="8" w:space="0" w:color="FFFFFF"/>
              <w:left w:val="single" w:sz="8" w:space="0" w:color="FFFFFF"/>
              <w:bottom w:val="single" w:sz="8" w:space="0" w:color="FFFFFF"/>
              <w:right w:val="single" w:sz="8" w:space="0" w:color="FFFFFF"/>
            </w:tcBorders>
            <w:shd w:val="clear" w:color="auto" w:fill="E4E6F2"/>
            <w:hideMark/>
          </w:tcPr>
          <w:p w14:paraId="5A3CB115"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 xml:space="preserve">soybeans, sunflower, canola, rape, peanuts </w:t>
            </w:r>
          </w:p>
        </w:tc>
        <w:tc>
          <w:tcPr>
            <w:tcW w:w="4818" w:type="dxa"/>
            <w:tcBorders>
              <w:top w:val="single" w:sz="8" w:space="0" w:color="FFFFFF"/>
              <w:left w:val="single" w:sz="8" w:space="0" w:color="FFFFFF"/>
              <w:bottom w:val="single" w:sz="8" w:space="0" w:color="FFFFFF"/>
              <w:right w:val="single" w:sz="8" w:space="0" w:color="FFFFFF"/>
            </w:tcBorders>
            <w:shd w:val="clear" w:color="auto" w:fill="E4E6F2"/>
            <w:hideMark/>
          </w:tcPr>
          <w:p w14:paraId="65624E30" w14:textId="77777777" w:rsidR="00DF16B5" w:rsidRPr="00156ED1" w:rsidRDefault="006C2D85" w:rsidP="00C57A87">
            <w:pPr>
              <w:spacing w:after="0" w:line="240" w:lineRule="auto"/>
              <w:rPr>
                <w:rFonts w:cstheme="minorHAnsi"/>
                <w:sz w:val="24"/>
                <w:szCs w:val="24"/>
              </w:rPr>
            </w:pPr>
            <w:hyperlink r:id="rId30" w:history="1">
              <w:r w:rsidR="00DF16B5" w:rsidRPr="00156ED1">
                <w:rPr>
                  <w:rStyle w:val="Hyperlink"/>
                  <w:rFonts w:cstheme="minorHAnsi"/>
                  <w:sz w:val="24"/>
                  <w:szCs w:val="24"/>
                </w:rPr>
                <w:t>https://www.ers.usda.gov/topics/crops/soybeans-oil-crops/oil-crops-sector-at-a-glance/</w:t>
              </w:r>
            </w:hyperlink>
          </w:p>
        </w:tc>
      </w:tr>
      <w:tr w:rsidR="00DF16B5" w:rsidRPr="00156ED1" w14:paraId="5C44E2F2" w14:textId="77777777" w:rsidTr="00072435">
        <w:tc>
          <w:tcPr>
            <w:tcW w:w="1818" w:type="dxa"/>
            <w:tcBorders>
              <w:top w:val="single" w:sz="8" w:space="0" w:color="FFFFFF"/>
              <w:left w:val="single" w:sz="8" w:space="0" w:color="FFFFFF"/>
              <w:bottom w:val="single" w:sz="8" w:space="0" w:color="FFFFFF"/>
              <w:right w:val="single" w:sz="8" w:space="0" w:color="FFFFFF"/>
            </w:tcBorders>
            <w:shd w:val="clear" w:color="auto" w:fill="C4CBE5"/>
            <w:hideMark/>
          </w:tcPr>
          <w:p w14:paraId="5052B294"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Sugar crop</w:t>
            </w:r>
          </w:p>
        </w:tc>
        <w:tc>
          <w:tcPr>
            <w:tcW w:w="2739" w:type="dxa"/>
            <w:tcBorders>
              <w:top w:val="single" w:sz="8" w:space="0" w:color="FFFFFF"/>
              <w:left w:val="single" w:sz="8" w:space="0" w:color="FFFFFF"/>
              <w:bottom w:val="single" w:sz="8" w:space="0" w:color="FFFFFF"/>
              <w:right w:val="single" w:sz="8" w:space="0" w:color="FFFFFF"/>
            </w:tcBorders>
            <w:shd w:val="clear" w:color="auto" w:fill="C4CBE5"/>
            <w:hideMark/>
          </w:tcPr>
          <w:p w14:paraId="0F99AE9C"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sugar cane, sugar beet</w:t>
            </w:r>
          </w:p>
        </w:tc>
        <w:tc>
          <w:tcPr>
            <w:tcW w:w="4818" w:type="dxa"/>
            <w:tcBorders>
              <w:top w:val="single" w:sz="8" w:space="0" w:color="FFFFFF"/>
              <w:left w:val="single" w:sz="8" w:space="0" w:color="FFFFFF"/>
              <w:bottom w:val="single" w:sz="8" w:space="0" w:color="FFFFFF"/>
              <w:right w:val="single" w:sz="8" w:space="0" w:color="FFFFFF"/>
            </w:tcBorders>
            <w:shd w:val="clear" w:color="auto" w:fill="C4CBE5"/>
            <w:hideMark/>
          </w:tcPr>
          <w:p w14:paraId="15CC5E28" w14:textId="77777777" w:rsidR="00DF16B5" w:rsidRPr="00156ED1" w:rsidRDefault="006C2D85" w:rsidP="00C57A87">
            <w:pPr>
              <w:spacing w:after="0" w:line="240" w:lineRule="auto"/>
              <w:rPr>
                <w:rFonts w:cstheme="minorHAnsi"/>
                <w:sz w:val="24"/>
                <w:szCs w:val="24"/>
              </w:rPr>
            </w:pPr>
            <w:hyperlink r:id="rId31" w:history="1">
              <w:r w:rsidR="00DF16B5" w:rsidRPr="00156ED1">
                <w:rPr>
                  <w:rStyle w:val="Hyperlink"/>
                  <w:rFonts w:cstheme="minorHAnsi"/>
                  <w:sz w:val="24"/>
                  <w:szCs w:val="24"/>
                </w:rPr>
                <w:t>https://www.ers.usda.gov/topics/crops/sugar-sweeteners/background/</w:t>
              </w:r>
            </w:hyperlink>
          </w:p>
        </w:tc>
      </w:tr>
      <w:tr w:rsidR="00DF16B5" w:rsidRPr="00156ED1" w14:paraId="206C4A35" w14:textId="77777777" w:rsidTr="00072435">
        <w:tc>
          <w:tcPr>
            <w:tcW w:w="1818" w:type="dxa"/>
            <w:tcBorders>
              <w:top w:val="single" w:sz="8" w:space="0" w:color="FFFFFF"/>
              <w:left w:val="single" w:sz="8" w:space="0" w:color="FFFFFF"/>
              <w:bottom w:val="single" w:sz="8" w:space="0" w:color="FFFFFF"/>
              <w:right w:val="single" w:sz="8" w:space="0" w:color="FFFFFF"/>
            </w:tcBorders>
            <w:shd w:val="clear" w:color="auto" w:fill="E4E6F2"/>
            <w:hideMark/>
          </w:tcPr>
          <w:p w14:paraId="59C34384"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Root tuber</w:t>
            </w:r>
          </w:p>
        </w:tc>
        <w:tc>
          <w:tcPr>
            <w:tcW w:w="2739" w:type="dxa"/>
            <w:tcBorders>
              <w:top w:val="single" w:sz="8" w:space="0" w:color="FFFFFF"/>
              <w:left w:val="single" w:sz="8" w:space="0" w:color="FFFFFF"/>
              <w:bottom w:val="single" w:sz="8" w:space="0" w:color="FFFFFF"/>
              <w:right w:val="single" w:sz="8" w:space="0" w:color="FFFFFF"/>
            </w:tcBorders>
            <w:shd w:val="clear" w:color="auto" w:fill="E4E6F2"/>
            <w:hideMark/>
          </w:tcPr>
          <w:p w14:paraId="3302047B"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potatoes, sweet potatoes, cassava</w:t>
            </w:r>
          </w:p>
        </w:tc>
        <w:tc>
          <w:tcPr>
            <w:tcW w:w="4818" w:type="dxa"/>
            <w:tcBorders>
              <w:top w:val="single" w:sz="8" w:space="0" w:color="FFFFFF"/>
              <w:left w:val="single" w:sz="8" w:space="0" w:color="FFFFFF"/>
              <w:bottom w:val="single" w:sz="8" w:space="0" w:color="FFFFFF"/>
              <w:right w:val="single" w:sz="8" w:space="0" w:color="FFFFFF"/>
            </w:tcBorders>
            <w:shd w:val="clear" w:color="auto" w:fill="E4E6F2"/>
            <w:hideMark/>
          </w:tcPr>
          <w:p w14:paraId="6F72C13E" w14:textId="77777777" w:rsidR="00DF16B5" w:rsidRPr="00156ED1" w:rsidRDefault="006C2D85" w:rsidP="00C57A87">
            <w:pPr>
              <w:spacing w:after="0" w:line="240" w:lineRule="auto"/>
              <w:rPr>
                <w:rFonts w:cstheme="minorHAnsi"/>
                <w:sz w:val="24"/>
                <w:szCs w:val="24"/>
              </w:rPr>
            </w:pPr>
            <w:hyperlink r:id="rId32" w:history="1">
              <w:r w:rsidR="00DF16B5" w:rsidRPr="00156ED1">
                <w:rPr>
                  <w:rStyle w:val="Hyperlink"/>
                  <w:rFonts w:cstheme="minorHAnsi"/>
                  <w:sz w:val="24"/>
                  <w:szCs w:val="24"/>
                </w:rPr>
                <w:t>http://www.fao.org/es/faodef/fdef02e.htm</w:t>
              </w:r>
            </w:hyperlink>
          </w:p>
        </w:tc>
      </w:tr>
      <w:tr w:rsidR="00DF16B5" w:rsidRPr="00156ED1" w14:paraId="4A91AC5E" w14:textId="77777777" w:rsidTr="00072435">
        <w:tc>
          <w:tcPr>
            <w:tcW w:w="1818" w:type="dxa"/>
            <w:tcBorders>
              <w:top w:val="single" w:sz="8" w:space="0" w:color="FFFFFF"/>
              <w:left w:val="single" w:sz="8" w:space="0" w:color="FFFFFF"/>
              <w:bottom w:val="single" w:sz="8" w:space="0" w:color="FFFFFF"/>
              <w:right w:val="single" w:sz="8" w:space="0" w:color="FFFFFF"/>
            </w:tcBorders>
            <w:shd w:val="clear" w:color="auto" w:fill="C4CBE5"/>
            <w:hideMark/>
          </w:tcPr>
          <w:p w14:paraId="75678F45"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Other grains</w:t>
            </w:r>
          </w:p>
        </w:tc>
        <w:tc>
          <w:tcPr>
            <w:tcW w:w="2739" w:type="dxa"/>
            <w:tcBorders>
              <w:top w:val="single" w:sz="8" w:space="0" w:color="FFFFFF"/>
              <w:left w:val="single" w:sz="8" w:space="0" w:color="FFFFFF"/>
              <w:bottom w:val="single" w:sz="8" w:space="0" w:color="FFFFFF"/>
              <w:right w:val="single" w:sz="8" w:space="0" w:color="FFFFFF"/>
            </w:tcBorders>
            <w:shd w:val="clear" w:color="auto" w:fill="C4CBE5"/>
            <w:hideMark/>
          </w:tcPr>
          <w:p w14:paraId="20F036DD"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oats, millet, sorghum, barley, rye</w:t>
            </w:r>
          </w:p>
        </w:tc>
        <w:tc>
          <w:tcPr>
            <w:tcW w:w="4818" w:type="dxa"/>
            <w:tcBorders>
              <w:top w:val="single" w:sz="8" w:space="0" w:color="FFFFFF"/>
              <w:left w:val="single" w:sz="8" w:space="0" w:color="FFFFFF"/>
              <w:bottom w:val="single" w:sz="8" w:space="0" w:color="FFFFFF"/>
              <w:right w:val="single" w:sz="8" w:space="0" w:color="FFFFFF"/>
            </w:tcBorders>
            <w:shd w:val="clear" w:color="auto" w:fill="C4CBE5"/>
            <w:hideMark/>
          </w:tcPr>
          <w:p w14:paraId="3A758C3C" w14:textId="77777777" w:rsidR="00DF16B5" w:rsidRPr="00156ED1" w:rsidRDefault="006C2D85" w:rsidP="00C57A87">
            <w:pPr>
              <w:spacing w:after="0" w:line="240" w:lineRule="auto"/>
              <w:rPr>
                <w:rFonts w:cstheme="minorHAnsi"/>
                <w:sz w:val="24"/>
                <w:szCs w:val="24"/>
              </w:rPr>
            </w:pPr>
            <w:hyperlink r:id="rId33" w:history="1">
              <w:r w:rsidR="00DF16B5" w:rsidRPr="00156ED1">
                <w:rPr>
                  <w:rStyle w:val="Hyperlink"/>
                  <w:rFonts w:cstheme="minorHAnsi"/>
                  <w:sz w:val="24"/>
                  <w:szCs w:val="24"/>
                </w:rPr>
                <w:t>https://www.nationalgeographic.org/encyclopedia/grain/</w:t>
              </w:r>
            </w:hyperlink>
          </w:p>
        </w:tc>
      </w:tr>
      <w:tr w:rsidR="00DF16B5" w:rsidRPr="00156ED1" w14:paraId="2B7CF0FB" w14:textId="77777777" w:rsidTr="00072435">
        <w:tc>
          <w:tcPr>
            <w:tcW w:w="1818" w:type="dxa"/>
            <w:tcBorders>
              <w:top w:val="single" w:sz="8" w:space="0" w:color="FFFFFF"/>
              <w:left w:val="single" w:sz="8" w:space="0" w:color="FFFFFF"/>
              <w:bottom w:val="single" w:sz="8" w:space="0" w:color="FFFFFF"/>
              <w:right w:val="single" w:sz="8" w:space="0" w:color="FFFFFF"/>
            </w:tcBorders>
            <w:shd w:val="clear" w:color="auto" w:fill="E4E6F2"/>
            <w:hideMark/>
          </w:tcPr>
          <w:p w14:paraId="518E726E"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Fiber crops</w:t>
            </w:r>
          </w:p>
        </w:tc>
        <w:tc>
          <w:tcPr>
            <w:tcW w:w="2739" w:type="dxa"/>
            <w:tcBorders>
              <w:top w:val="single" w:sz="8" w:space="0" w:color="FFFFFF"/>
              <w:left w:val="single" w:sz="8" w:space="0" w:color="FFFFFF"/>
              <w:bottom w:val="single" w:sz="8" w:space="0" w:color="FFFFFF"/>
              <w:right w:val="single" w:sz="8" w:space="0" w:color="FFFFFF"/>
            </w:tcBorders>
            <w:shd w:val="clear" w:color="auto" w:fill="E4E6F2"/>
            <w:hideMark/>
          </w:tcPr>
          <w:p w14:paraId="60C8CF75"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cotton, hemp, jute</w:t>
            </w:r>
          </w:p>
        </w:tc>
        <w:tc>
          <w:tcPr>
            <w:tcW w:w="4818" w:type="dxa"/>
            <w:tcBorders>
              <w:top w:val="single" w:sz="8" w:space="0" w:color="FFFFFF"/>
              <w:left w:val="single" w:sz="8" w:space="0" w:color="FFFFFF"/>
              <w:bottom w:val="single" w:sz="8" w:space="0" w:color="FFFFFF"/>
              <w:right w:val="single" w:sz="8" w:space="0" w:color="FFFFFF"/>
            </w:tcBorders>
            <w:shd w:val="clear" w:color="auto" w:fill="E4E6F2"/>
            <w:hideMark/>
          </w:tcPr>
          <w:p w14:paraId="12CBB21E"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HYDE</w:t>
            </w:r>
          </w:p>
        </w:tc>
      </w:tr>
      <w:tr w:rsidR="00DF16B5" w:rsidRPr="00156ED1" w14:paraId="38B6339F" w14:textId="77777777" w:rsidTr="00072435">
        <w:tc>
          <w:tcPr>
            <w:tcW w:w="1818" w:type="dxa"/>
            <w:tcBorders>
              <w:top w:val="single" w:sz="8" w:space="0" w:color="FFFFFF"/>
              <w:left w:val="single" w:sz="8" w:space="0" w:color="FFFFFF"/>
              <w:bottom w:val="single" w:sz="8" w:space="0" w:color="FFFFFF"/>
              <w:right w:val="single" w:sz="8" w:space="0" w:color="FFFFFF"/>
            </w:tcBorders>
            <w:shd w:val="clear" w:color="auto" w:fill="C4CBE5"/>
            <w:hideMark/>
          </w:tcPr>
          <w:p w14:paraId="73359CFB"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Palm fruit</w:t>
            </w:r>
          </w:p>
        </w:tc>
        <w:tc>
          <w:tcPr>
            <w:tcW w:w="2739" w:type="dxa"/>
            <w:tcBorders>
              <w:top w:val="single" w:sz="8" w:space="0" w:color="FFFFFF"/>
              <w:left w:val="single" w:sz="8" w:space="0" w:color="FFFFFF"/>
              <w:bottom w:val="single" w:sz="8" w:space="0" w:color="FFFFFF"/>
              <w:right w:val="single" w:sz="8" w:space="0" w:color="FFFFFF"/>
            </w:tcBorders>
            <w:shd w:val="clear" w:color="auto" w:fill="C4CBE5"/>
            <w:hideMark/>
          </w:tcPr>
          <w:p w14:paraId="6AD4342E"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oil palm, coconut</w:t>
            </w:r>
          </w:p>
        </w:tc>
        <w:tc>
          <w:tcPr>
            <w:tcW w:w="4818" w:type="dxa"/>
            <w:tcBorders>
              <w:top w:val="single" w:sz="8" w:space="0" w:color="FFFFFF"/>
              <w:left w:val="single" w:sz="8" w:space="0" w:color="FFFFFF"/>
              <w:bottom w:val="single" w:sz="8" w:space="0" w:color="FFFFFF"/>
              <w:right w:val="single" w:sz="8" w:space="0" w:color="FFFFFF"/>
            </w:tcBorders>
            <w:shd w:val="clear" w:color="auto" w:fill="C4CBE5"/>
            <w:hideMark/>
          </w:tcPr>
          <w:p w14:paraId="69E2B13C"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HYDE</w:t>
            </w:r>
          </w:p>
        </w:tc>
      </w:tr>
      <w:tr w:rsidR="00DF16B5" w:rsidRPr="00156ED1" w14:paraId="114E0E93" w14:textId="77777777" w:rsidTr="00072435">
        <w:tc>
          <w:tcPr>
            <w:tcW w:w="1818" w:type="dxa"/>
            <w:tcBorders>
              <w:top w:val="single" w:sz="8" w:space="0" w:color="FFFFFF"/>
              <w:left w:val="single" w:sz="8" w:space="0" w:color="FFFFFF"/>
              <w:bottom w:val="single" w:sz="8" w:space="0" w:color="FFFFFF"/>
              <w:right w:val="single" w:sz="8" w:space="0" w:color="FFFFFF"/>
            </w:tcBorders>
            <w:shd w:val="clear" w:color="auto" w:fill="E4E6F2"/>
            <w:hideMark/>
          </w:tcPr>
          <w:p w14:paraId="40E73906"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Biomass</w:t>
            </w:r>
          </w:p>
        </w:tc>
        <w:tc>
          <w:tcPr>
            <w:tcW w:w="2739" w:type="dxa"/>
            <w:tcBorders>
              <w:top w:val="single" w:sz="8" w:space="0" w:color="FFFFFF"/>
              <w:left w:val="single" w:sz="8" w:space="0" w:color="FFFFFF"/>
              <w:bottom w:val="single" w:sz="8" w:space="0" w:color="FFFFFF"/>
              <w:right w:val="single" w:sz="8" w:space="0" w:color="FFFFFF"/>
            </w:tcBorders>
            <w:shd w:val="clear" w:color="auto" w:fill="E4E6F2"/>
            <w:hideMark/>
          </w:tcPr>
          <w:p w14:paraId="018361FE"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switchgrass, miscanthus</w:t>
            </w:r>
          </w:p>
        </w:tc>
        <w:tc>
          <w:tcPr>
            <w:tcW w:w="4818" w:type="dxa"/>
            <w:tcBorders>
              <w:top w:val="single" w:sz="8" w:space="0" w:color="FFFFFF"/>
              <w:left w:val="single" w:sz="8" w:space="0" w:color="FFFFFF"/>
              <w:bottom w:val="single" w:sz="8" w:space="0" w:color="FFFFFF"/>
              <w:right w:val="single" w:sz="8" w:space="0" w:color="FFFFFF"/>
            </w:tcBorders>
            <w:shd w:val="clear" w:color="auto" w:fill="E4E6F2"/>
            <w:hideMark/>
          </w:tcPr>
          <w:p w14:paraId="2852F357" w14:textId="77777777" w:rsidR="00DF16B5" w:rsidRPr="00156ED1" w:rsidRDefault="006C2D85" w:rsidP="00C57A87">
            <w:pPr>
              <w:spacing w:after="0" w:line="240" w:lineRule="auto"/>
              <w:rPr>
                <w:rFonts w:cstheme="minorHAnsi"/>
                <w:sz w:val="24"/>
                <w:szCs w:val="24"/>
              </w:rPr>
            </w:pPr>
            <w:hyperlink r:id="rId34" w:history="1">
              <w:r w:rsidR="00DF16B5" w:rsidRPr="00156ED1">
                <w:rPr>
                  <w:rStyle w:val="Hyperlink"/>
                  <w:rFonts w:cstheme="minorHAnsi"/>
                  <w:sz w:val="24"/>
                  <w:szCs w:val="24"/>
                </w:rPr>
                <w:t>https://www.ers.usda.gov/webdocs/publications/81903/err-223.pdf?v=0</w:t>
              </w:r>
            </w:hyperlink>
          </w:p>
        </w:tc>
      </w:tr>
      <w:tr w:rsidR="00DF16B5" w:rsidRPr="00156ED1" w14:paraId="04064570" w14:textId="77777777" w:rsidTr="00072435">
        <w:tc>
          <w:tcPr>
            <w:tcW w:w="1818" w:type="dxa"/>
            <w:tcBorders>
              <w:top w:val="single" w:sz="8" w:space="0" w:color="FFFFFF"/>
              <w:left w:val="single" w:sz="8" w:space="0" w:color="FFFFFF"/>
              <w:bottom w:val="single" w:sz="8" w:space="0" w:color="FFFFFF"/>
              <w:right w:val="single" w:sz="8" w:space="0" w:color="FFFFFF"/>
            </w:tcBorders>
            <w:shd w:val="clear" w:color="auto" w:fill="C4CBE5"/>
            <w:hideMark/>
          </w:tcPr>
          <w:p w14:paraId="7A91E4B2"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Pasture</w:t>
            </w:r>
          </w:p>
        </w:tc>
        <w:tc>
          <w:tcPr>
            <w:tcW w:w="2739" w:type="dxa"/>
            <w:tcBorders>
              <w:top w:val="single" w:sz="8" w:space="0" w:color="FFFFFF"/>
              <w:left w:val="single" w:sz="8" w:space="0" w:color="FFFFFF"/>
              <w:bottom w:val="single" w:sz="8" w:space="0" w:color="FFFFFF"/>
              <w:right w:val="single" w:sz="8" w:space="0" w:color="FFFFFF"/>
            </w:tcBorders>
            <w:shd w:val="clear" w:color="auto" w:fill="C4CBE5"/>
            <w:hideMark/>
          </w:tcPr>
          <w:p w14:paraId="49FF6734"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N/A</w:t>
            </w:r>
          </w:p>
        </w:tc>
        <w:tc>
          <w:tcPr>
            <w:tcW w:w="4818" w:type="dxa"/>
            <w:tcBorders>
              <w:top w:val="single" w:sz="8" w:space="0" w:color="FFFFFF"/>
              <w:left w:val="single" w:sz="8" w:space="0" w:color="FFFFFF"/>
              <w:bottom w:val="single" w:sz="8" w:space="0" w:color="FFFFFF"/>
              <w:right w:val="single" w:sz="8" w:space="0" w:color="FFFFFF"/>
            </w:tcBorders>
            <w:shd w:val="clear" w:color="auto" w:fill="C4CBE5"/>
          </w:tcPr>
          <w:p w14:paraId="662712BA" w14:textId="77777777" w:rsidR="00DF16B5" w:rsidRPr="00156ED1" w:rsidRDefault="00DF16B5" w:rsidP="00C57A87">
            <w:pPr>
              <w:spacing w:after="0" w:line="240" w:lineRule="auto"/>
              <w:rPr>
                <w:rFonts w:cstheme="minorHAnsi"/>
                <w:sz w:val="24"/>
                <w:szCs w:val="24"/>
              </w:rPr>
            </w:pPr>
          </w:p>
        </w:tc>
      </w:tr>
      <w:tr w:rsidR="00DF16B5" w:rsidRPr="00156ED1" w14:paraId="1B274D63" w14:textId="77777777" w:rsidTr="00072435">
        <w:tc>
          <w:tcPr>
            <w:tcW w:w="1818" w:type="dxa"/>
            <w:tcBorders>
              <w:top w:val="single" w:sz="8" w:space="0" w:color="FFFFFF"/>
              <w:left w:val="single" w:sz="8" w:space="0" w:color="FFFFFF"/>
              <w:bottom w:val="single" w:sz="8" w:space="0" w:color="FFFFFF"/>
              <w:right w:val="single" w:sz="8" w:space="0" w:color="FFFFFF"/>
            </w:tcBorders>
            <w:shd w:val="clear" w:color="auto" w:fill="E4E6F2"/>
            <w:hideMark/>
          </w:tcPr>
          <w:p w14:paraId="7FA28152"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Forest</w:t>
            </w:r>
          </w:p>
        </w:tc>
        <w:tc>
          <w:tcPr>
            <w:tcW w:w="2739" w:type="dxa"/>
            <w:tcBorders>
              <w:top w:val="single" w:sz="8" w:space="0" w:color="FFFFFF"/>
              <w:left w:val="single" w:sz="8" w:space="0" w:color="FFFFFF"/>
              <w:bottom w:val="single" w:sz="8" w:space="0" w:color="FFFFFF"/>
              <w:right w:val="single" w:sz="8" w:space="0" w:color="FFFFFF"/>
            </w:tcBorders>
            <w:shd w:val="clear" w:color="auto" w:fill="E4E6F2"/>
            <w:hideMark/>
          </w:tcPr>
          <w:p w14:paraId="18482A5E"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N/A</w:t>
            </w:r>
          </w:p>
        </w:tc>
        <w:tc>
          <w:tcPr>
            <w:tcW w:w="4818" w:type="dxa"/>
            <w:tcBorders>
              <w:top w:val="single" w:sz="8" w:space="0" w:color="FFFFFF"/>
              <w:left w:val="single" w:sz="8" w:space="0" w:color="FFFFFF"/>
              <w:bottom w:val="single" w:sz="8" w:space="0" w:color="FFFFFF"/>
              <w:right w:val="single" w:sz="8" w:space="0" w:color="FFFFFF"/>
            </w:tcBorders>
            <w:shd w:val="clear" w:color="auto" w:fill="E4E6F2"/>
          </w:tcPr>
          <w:p w14:paraId="238E0A21" w14:textId="77777777" w:rsidR="00DF16B5" w:rsidRPr="00156ED1" w:rsidRDefault="00DF16B5" w:rsidP="00C57A87">
            <w:pPr>
              <w:spacing w:after="0" w:line="240" w:lineRule="auto"/>
              <w:rPr>
                <w:rFonts w:cstheme="minorHAnsi"/>
                <w:sz w:val="24"/>
                <w:szCs w:val="24"/>
              </w:rPr>
            </w:pPr>
          </w:p>
        </w:tc>
      </w:tr>
      <w:tr w:rsidR="00DF16B5" w:rsidRPr="00156ED1" w14:paraId="7728FDFF" w14:textId="77777777" w:rsidTr="00072435">
        <w:tc>
          <w:tcPr>
            <w:tcW w:w="1818" w:type="dxa"/>
            <w:tcBorders>
              <w:top w:val="single" w:sz="8" w:space="0" w:color="FFFFFF"/>
              <w:left w:val="single" w:sz="8" w:space="0" w:color="FFFFFF"/>
              <w:bottom w:val="single" w:sz="8" w:space="0" w:color="FFFFFF"/>
              <w:right w:val="single" w:sz="8" w:space="0" w:color="FFFFFF"/>
            </w:tcBorders>
            <w:shd w:val="clear" w:color="auto" w:fill="C4CBE5"/>
            <w:hideMark/>
          </w:tcPr>
          <w:p w14:paraId="4DD087AF"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Miscellaneous crops</w:t>
            </w:r>
          </w:p>
        </w:tc>
        <w:tc>
          <w:tcPr>
            <w:tcW w:w="2739" w:type="dxa"/>
            <w:tcBorders>
              <w:top w:val="single" w:sz="8" w:space="0" w:color="FFFFFF"/>
              <w:left w:val="single" w:sz="8" w:space="0" w:color="FFFFFF"/>
              <w:bottom w:val="single" w:sz="8" w:space="0" w:color="FFFFFF"/>
              <w:right w:val="single" w:sz="8" w:space="0" w:color="FFFFFF"/>
            </w:tcBorders>
            <w:shd w:val="clear" w:color="auto" w:fill="C4CBE5"/>
            <w:hideMark/>
          </w:tcPr>
          <w:p w14:paraId="53F231AB" w14:textId="77777777" w:rsidR="00DF16B5" w:rsidRPr="00156ED1" w:rsidRDefault="00DF16B5" w:rsidP="00C57A87">
            <w:pPr>
              <w:spacing w:after="0" w:line="240" w:lineRule="auto"/>
              <w:rPr>
                <w:rFonts w:cstheme="minorHAnsi"/>
                <w:sz w:val="24"/>
                <w:szCs w:val="24"/>
              </w:rPr>
            </w:pPr>
            <w:r w:rsidRPr="00156ED1">
              <w:rPr>
                <w:rFonts w:cstheme="minorHAnsi"/>
                <w:sz w:val="24"/>
                <w:szCs w:val="24"/>
              </w:rPr>
              <w:t>N/A</w:t>
            </w:r>
          </w:p>
        </w:tc>
        <w:tc>
          <w:tcPr>
            <w:tcW w:w="4818" w:type="dxa"/>
            <w:tcBorders>
              <w:top w:val="single" w:sz="8" w:space="0" w:color="FFFFFF"/>
              <w:left w:val="single" w:sz="8" w:space="0" w:color="FFFFFF"/>
              <w:bottom w:val="single" w:sz="8" w:space="0" w:color="FFFFFF"/>
              <w:right w:val="single" w:sz="8" w:space="0" w:color="FFFFFF"/>
            </w:tcBorders>
            <w:shd w:val="clear" w:color="auto" w:fill="C4CBE5"/>
          </w:tcPr>
          <w:p w14:paraId="0D6858F2" w14:textId="77777777" w:rsidR="00DF16B5" w:rsidRPr="00156ED1" w:rsidRDefault="00DF16B5" w:rsidP="00C57A87">
            <w:pPr>
              <w:spacing w:after="0" w:line="240" w:lineRule="auto"/>
              <w:rPr>
                <w:rFonts w:cstheme="minorHAnsi"/>
                <w:sz w:val="24"/>
                <w:szCs w:val="24"/>
              </w:rPr>
            </w:pPr>
          </w:p>
        </w:tc>
      </w:tr>
    </w:tbl>
    <w:p w14:paraId="7AA527C7" w14:textId="77777777" w:rsidR="00DF16B5" w:rsidRPr="00156ED1" w:rsidRDefault="00DF16B5" w:rsidP="00DF16B5">
      <w:pPr>
        <w:rPr>
          <w:rFonts w:cstheme="minorHAnsi"/>
        </w:rPr>
      </w:pPr>
    </w:p>
    <w:sectPr w:rsidR="00DF16B5" w:rsidRPr="00156ED1">
      <w:footerReference w:type="default" r:id="rId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9E06D0" w14:textId="77777777" w:rsidR="006C2D85" w:rsidRDefault="006C2D85" w:rsidP="0006673E">
      <w:pPr>
        <w:spacing w:after="0" w:line="240" w:lineRule="auto"/>
      </w:pPr>
      <w:r>
        <w:separator/>
      </w:r>
    </w:p>
  </w:endnote>
  <w:endnote w:type="continuationSeparator" w:id="0">
    <w:p w14:paraId="78A0FBE0" w14:textId="77777777" w:rsidR="006C2D85" w:rsidRDefault="006C2D85" w:rsidP="000667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8787511"/>
      <w:docPartObj>
        <w:docPartGallery w:val="Page Numbers (Bottom of Page)"/>
        <w:docPartUnique/>
      </w:docPartObj>
    </w:sdtPr>
    <w:sdtEndPr>
      <w:rPr>
        <w:noProof/>
      </w:rPr>
    </w:sdtEndPr>
    <w:sdtContent>
      <w:p w14:paraId="1F798049" w14:textId="5EB2C160" w:rsidR="0006673E" w:rsidRDefault="0006673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32E4332" w14:textId="77777777" w:rsidR="0006673E" w:rsidRDefault="000667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49FA1" w14:textId="77777777" w:rsidR="006C2D85" w:rsidRDefault="006C2D85" w:rsidP="0006673E">
      <w:pPr>
        <w:spacing w:after="0" w:line="240" w:lineRule="auto"/>
      </w:pPr>
      <w:r>
        <w:separator/>
      </w:r>
    </w:p>
  </w:footnote>
  <w:footnote w:type="continuationSeparator" w:id="0">
    <w:p w14:paraId="3FCAFD5C" w14:textId="77777777" w:rsidR="006C2D85" w:rsidRDefault="006C2D85" w:rsidP="000667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1060F"/>
    <w:multiLevelType w:val="multilevel"/>
    <w:tmpl w:val="ADA05C10"/>
    <w:lvl w:ilvl="0">
      <w:start w:val="2"/>
      <w:numFmt w:val="decimal"/>
      <w:lvlText w:val="%1."/>
      <w:lvlJc w:val="right"/>
      <w:pPr>
        <w:ind w:left="630" w:hanging="360"/>
      </w:pPr>
      <w:rPr>
        <w:rFonts w:hint="default"/>
        <w:u w:val="none"/>
      </w:rPr>
    </w:lvl>
    <w:lvl w:ilvl="1">
      <w:start w:val="1"/>
      <w:numFmt w:val="decimal"/>
      <w:lvlText w:val="%1.%2."/>
      <w:lvlJc w:val="right"/>
      <w:pPr>
        <w:ind w:left="1350" w:hanging="360"/>
      </w:pPr>
      <w:rPr>
        <w:rFonts w:hint="default"/>
        <w:u w:val="none"/>
      </w:rPr>
    </w:lvl>
    <w:lvl w:ilvl="2">
      <w:start w:val="1"/>
      <w:numFmt w:val="decimal"/>
      <w:lvlText w:val="%1.%2.%3."/>
      <w:lvlJc w:val="right"/>
      <w:pPr>
        <w:ind w:left="2880" w:hanging="360"/>
      </w:pPr>
      <w:rPr>
        <w:rFonts w:hint="default"/>
        <w:u w:val="none"/>
      </w:rPr>
    </w:lvl>
    <w:lvl w:ilvl="3">
      <w:start w:val="1"/>
      <w:numFmt w:val="decimal"/>
      <w:lvlText w:val="%1.%2.%3.%4."/>
      <w:lvlJc w:val="right"/>
      <w:pPr>
        <w:ind w:left="3600" w:hanging="360"/>
      </w:pPr>
      <w:rPr>
        <w:rFonts w:hint="default"/>
        <w:u w:val="none"/>
      </w:rPr>
    </w:lvl>
    <w:lvl w:ilvl="4">
      <w:start w:val="1"/>
      <w:numFmt w:val="decimal"/>
      <w:lvlText w:val="%1.%2.%3.%4.%5."/>
      <w:lvlJc w:val="right"/>
      <w:pPr>
        <w:ind w:left="4320" w:hanging="360"/>
      </w:pPr>
      <w:rPr>
        <w:rFonts w:hint="default"/>
        <w:u w:val="none"/>
      </w:rPr>
    </w:lvl>
    <w:lvl w:ilvl="5">
      <w:start w:val="1"/>
      <w:numFmt w:val="decimal"/>
      <w:lvlText w:val="%1.%2.%3.%4.%5.%6."/>
      <w:lvlJc w:val="right"/>
      <w:pPr>
        <w:ind w:left="5040" w:hanging="360"/>
      </w:pPr>
      <w:rPr>
        <w:rFonts w:hint="default"/>
        <w:u w:val="none"/>
      </w:rPr>
    </w:lvl>
    <w:lvl w:ilvl="6">
      <w:start w:val="1"/>
      <w:numFmt w:val="decimal"/>
      <w:lvlText w:val="%1.%2.%3.%4.%5.%6.%7."/>
      <w:lvlJc w:val="right"/>
      <w:pPr>
        <w:ind w:left="5760" w:hanging="360"/>
      </w:pPr>
      <w:rPr>
        <w:rFonts w:hint="default"/>
        <w:u w:val="none"/>
      </w:rPr>
    </w:lvl>
    <w:lvl w:ilvl="7">
      <w:start w:val="1"/>
      <w:numFmt w:val="decimal"/>
      <w:lvlText w:val="%1.%2.%3.%4.%5.%6.%7.%8."/>
      <w:lvlJc w:val="right"/>
      <w:pPr>
        <w:ind w:left="6480" w:hanging="360"/>
      </w:pPr>
      <w:rPr>
        <w:rFonts w:hint="default"/>
        <w:u w:val="none"/>
      </w:rPr>
    </w:lvl>
    <w:lvl w:ilvl="8">
      <w:start w:val="1"/>
      <w:numFmt w:val="decimal"/>
      <w:lvlText w:val="%1.%2.%3.%4.%5.%6.%7.%8.%9."/>
      <w:lvlJc w:val="right"/>
      <w:pPr>
        <w:ind w:left="7200" w:hanging="360"/>
      </w:pPr>
      <w:rPr>
        <w:rFonts w:hint="default"/>
        <w:u w:val="none"/>
      </w:rPr>
    </w:lvl>
  </w:abstractNum>
  <w:abstractNum w:abstractNumId="1" w15:restartNumberingAfterBreak="0">
    <w:nsid w:val="609A31DF"/>
    <w:multiLevelType w:val="hybridMultilevel"/>
    <w:tmpl w:val="D85E4F74"/>
    <w:lvl w:ilvl="0" w:tplc="8B8AC4C8">
      <w:start w:val="8"/>
      <w:numFmt w:val="bullet"/>
      <w:lvlText w:val="-"/>
      <w:lvlJc w:val="left"/>
      <w:pPr>
        <w:ind w:left="720" w:hanging="360"/>
      </w:pPr>
      <w:rPr>
        <w:rFonts w:ascii="Calibri" w:eastAsia="Arial"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0A5549"/>
    <w:multiLevelType w:val="hybridMultilevel"/>
    <w:tmpl w:val="4B8E0D4C"/>
    <w:lvl w:ilvl="0" w:tplc="ECFE7992">
      <w:start w:val="5"/>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D16"/>
    <w:rsid w:val="00011ACB"/>
    <w:rsid w:val="00023F97"/>
    <w:rsid w:val="00041CFE"/>
    <w:rsid w:val="00046106"/>
    <w:rsid w:val="00063F3F"/>
    <w:rsid w:val="000652A5"/>
    <w:rsid w:val="00065422"/>
    <w:rsid w:val="0006673E"/>
    <w:rsid w:val="00066EAF"/>
    <w:rsid w:val="00072435"/>
    <w:rsid w:val="000800A4"/>
    <w:rsid w:val="000801ED"/>
    <w:rsid w:val="00093CD1"/>
    <w:rsid w:val="0009666E"/>
    <w:rsid w:val="000A62E3"/>
    <w:rsid w:val="000C4848"/>
    <w:rsid w:val="000D707C"/>
    <w:rsid w:val="001147B9"/>
    <w:rsid w:val="00114A1F"/>
    <w:rsid w:val="00126C21"/>
    <w:rsid w:val="0013757E"/>
    <w:rsid w:val="0015143A"/>
    <w:rsid w:val="00156ED1"/>
    <w:rsid w:val="00160104"/>
    <w:rsid w:val="001711D2"/>
    <w:rsid w:val="00177945"/>
    <w:rsid w:val="00187851"/>
    <w:rsid w:val="001A0A23"/>
    <w:rsid w:val="001B0136"/>
    <w:rsid w:val="001D1C78"/>
    <w:rsid w:val="001D78EE"/>
    <w:rsid w:val="001E1F01"/>
    <w:rsid w:val="001F230B"/>
    <w:rsid w:val="00207300"/>
    <w:rsid w:val="00207534"/>
    <w:rsid w:val="00213B57"/>
    <w:rsid w:val="00220E3C"/>
    <w:rsid w:val="002221DF"/>
    <w:rsid w:val="00227AEB"/>
    <w:rsid w:val="00232E43"/>
    <w:rsid w:val="0027048C"/>
    <w:rsid w:val="002923BF"/>
    <w:rsid w:val="002D196A"/>
    <w:rsid w:val="002D2350"/>
    <w:rsid w:val="002E66CC"/>
    <w:rsid w:val="002F0353"/>
    <w:rsid w:val="002F1121"/>
    <w:rsid w:val="003108BC"/>
    <w:rsid w:val="00315542"/>
    <w:rsid w:val="0031680F"/>
    <w:rsid w:val="00341414"/>
    <w:rsid w:val="00362A09"/>
    <w:rsid w:val="00373A0B"/>
    <w:rsid w:val="00375788"/>
    <w:rsid w:val="00376814"/>
    <w:rsid w:val="00381175"/>
    <w:rsid w:val="003866AE"/>
    <w:rsid w:val="0038672F"/>
    <w:rsid w:val="003A3F57"/>
    <w:rsid w:val="003B06D1"/>
    <w:rsid w:val="003B41B1"/>
    <w:rsid w:val="003C6484"/>
    <w:rsid w:val="003C7B87"/>
    <w:rsid w:val="003D1C18"/>
    <w:rsid w:val="003D7BB4"/>
    <w:rsid w:val="003E0005"/>
    <w:rsid w:val="003E515A"/>
    <w:rsid w:val="003F4801"/>
    <w:rsid w:val="00403354"/>
    <w:rsid w:val="004231E2"/>
    <w:rsid w:val="00432D80"/>
    <w:rsid w:val="004333E3"/>
    <w:rsid w:val="004375A6"/>
    <w:rsid w:val="004429D2"/>
    <w:rsid w:val="0044499F"/>
    <w:rsid w:val="0044629E"/>
    <w:rsid w:val="00454BC1"/>
    <w:rsid w:val="00461F8E"/>
    <w:rsid w:val="00473710"/>
    <w:rsid w:val="00476E40"/>
    <w:rsid w:val="004837FC"/>
    <w:rsid w:val="00484386"/>
    <w:rsid w:val="0048586E"/>
    <w:rsid w:val="005026D2"/>
    <w:rsid w:val="00520445"/>
    <w:rsid w:val="005448A0"/>
    <w:rsid w:val="00550027"/>
    <w:rsid w:val="00556C04"/>
    <w:rsid w:val="00557879"/>
    <w:rsid w:val="005613F6"/>
    <w:rsid w:val="00563ED5"/>
    <w:rsid w:val="00563FDA"/>
    <w:rsid w:val="0058462E"/>
    <w:rsid w:val="0058745B"/>
    <w:rsid w:val="005902B4"/>
    <w:rsid w:val="0059746A"/>
    <w:rsid w:val="005A1AEF"/>
    <w:rsid w:val="005A67BC"/>
    <w:rsid w:val="005D1540"/>
    <w:rsid w:val="005D5D38"/>
    <w:rsid w:val="005E43AF"/>
    <w:rsid w:val="006017B0"/>
    <w:rsid w:val="00604305"/>
    <w:rsid w:val="006213A3"/>
    <w:rsid w:val="00621864"/>
    <w:rsid w:val="006270FC"/>
    <w:rsid w:val="006301A7"/>
    <w:rsid w:val="00631807"/>
    <w:rsid w:val="00631962"/>
    <w:rsid w:val="006412FB"/>
    <w:rsid w:val="00661D20"/>
    <w:rsid w:val="00675F19"/>
    <w:rsid w:val="0068768C"/>
    <w:rsid w:val="0069101F"/>
    <w:rsid w:val="00697B05"/>
    <w:rsid w:val="006A4F12"/>
    <w:rsid w:val="006B1DD1"/>
    <w:rsid w:val="006B2D79"/>
    <w:rsid w:val="006B7A75"/>
    <w:rsid w:val="006C2D85"/>
    <w:rsid w:val="006C7DCB"/>
    <w:rsid w:val="006D30D5"/>
    <w:rsid w:val="006D6CF9"/>
    <w:rsid w:val="006E04A3"/>
    <w:rsid w:val="006E2B0A"/>
    <w:rsid w:val="006E49D5"/>
    <w:rsid w:val="006E7373"/>
    <w:rsid w:val="006F05D7"/>
    <w:rsid w:val="006F6D38"/>
    <w:rsid w:val="00704E8C"/>
    <w:rsid w:val="0071370C"/>
    <w:rsid w:val="0072140A"/>
    <w:rsid w:val="0073257A"/>
    <w:rsid w:val="007330D4"/>
    <w:rsid w:val="00733BA1"/>
    <w:rsid w:val="00740906"/>
    <w:rsid w:val="00741776"/>
    <w:rsid w:val="00744E6A"/>
    <w:rsid w:val="00750609"/>
    <w:rsid w:val="00754F85"/>
    <w:rsid w:val="00756EBE"/>
    <w:rsid w:val="00766418"/>
    <w:rsid w:val="00793C46"/>
    <w:rsid w:val="007B5DE9"/>
    <w:rsid w:val="007B60ED"/>
    <w:rsid w:val="007B7911"/>
    <w:rsid w:val="007C0257"/>
    <w:rsid w:val="007C401C"/>
    <w:rsid w:val="007D6246"/>
    <w:rsid w:val="007D718C"/>
    <w:rsid w:val="007D7467"/>
    <w:rsid w:val="007D7944"/>
    <w:rsid w:val="007E164F"/>
    <w:rsid w:val="00824711"/>
    <w:rsid w:val="0082519D"/>
    <w:rsid w:val="0083214F"/>
    <w:rsid w:val="00840EA1"/>
    <w:rsid w:val="0084616B"/>
    <w:rsid w:val="00846D16"/>
    <w:rsid w:val="00851DE0"/>
    <w:rsid w:val="00865147"/>
    <w:rsid w:val="008930DF"/>
    <w:rsid w:val="00897BB0"/>
    <w:rsid w:val="008C12CE"/>
    <w:rsid w:val="008C5284"/>
    <w:rsid w:val="009164D4"/>
    <w:rsid w:val="00925B8F"/>
    <w:rsid w:val="00946D7F"/>
    <w:rsid w:val="0095232F"/>
    <w:rsid w:val="00952EB0"/>
    <w:rsid w:val="00953C25"/>
    <w:rsid w:val="00954ED0"/>
    <w:rsid w:val="0096322E"/>
    <w:rsid w:val="00966064"/>
    <w:rsid w:val="0099086B"/>
    <w:rsid w:val="00993119"/>
    <w:rsid w:val="00996FFE"/>
    <w:rsid w:val="00997A8C"/>
    <w:rsid w:val="009C6E6B"/>
    <w:rsid w:val="009D276C"/>
    <w:rsid w:val="009F3403"/>
    <w:rsid w:val="00A0270E"/>
    <w:rsid w:val="00A112A9"/>
    <w:rsid w:val="00A30011"/>
    <w:rsid w:val="00A37D36"/>
    <w:rsid w:val="00A4211E"/>
    <w:rsid w:val="00A50D61"/>
    <w:rsid w:val="00A55D00"/>
    <w:rsid w:val="00A62690"/>
    <w:rsid w:val="00A65490"/>
    <w:rsid w:val="00A7049A"/>
    <w:rsid w:val="00A70DE4"/>
    <w:rsid w:val="00A71324"/>
    <w:rsid w:val="00A769C2"/>
    <w:rsid w:val="00AA4E98"/>
    <w:rsid w:val="00AE6825"/>
    <w:rsid w:val="00B0009E"/>
    <w:rsid w:val="00B01AE9"/>
    <w:rsid w:val="00B0337B"/>
    <w:rsid w:val="00B04DA8"/>
    <w:rsid w:val="00B17763"/>
    <w:rsid w:val="00B35869"/>
    <w:rsid w:val="00B423D6"/>
    <w:rsid w:val="00B61DFB"/>
    <w:rsid w:val="00B6417C"/>
    <w:rsid w:val="00B64802"/>
    <w:rsid w:val="00B669E0"/>
    <w:rsid w:val="00B70B98"/>
    <w:rsid w:val="00B823E1"/>
    <w:rsid w:val="00B92BD7"/>
    <w:rsid w:val="00BA70E2"/>
    <w:rsid w:val="00BB4BE5"/>
    <w:rsid w:val="00BC14F3"/>
    <w:rsid w:val="00BC35E0"/>
    <w:rsid w:val="00BC3EB4"/>
    <w:rsid w:val="00BD681B"/>
    <w:rsid w:val="00C04A2E"/>
    <w:rsid w:val="00C11DD2"/>
    <w:rsid w:val="00C34B61"/>
    <w:rsid w:val="00C56E7D"/>
    <w:rsid w:val="00C57A87"/>
    <w:rsid w:val="00C63675"/>
    <w:rsid w:val="00C648D3"/>
    <w:rsid w:val="00C6508E"/>
    <w:rsid w:val="00C77938"/>
    <w:rsid w:val="00C80B4A"/>
    <w:rsid w:val="00C84B20"/>
    <w:rsid w:val="00C8755E"/>
    <w:rsid w:val="00C918DC"/>
    <w:rsid w:val="00CA716C"/>
    <w:rsid w:val="00CC2E7B"/>
    <w:rsid w:val="00CD2DC5"/>
    <w:rsid w:val="00CD761E"/>
    <w:rsid w:val="00CE2D0C"/>
    <w:rsid w:val="00CF12DA"/>
    <w:rsid w:val="00D00177"/>
    <w:rsid w:val="00D016A4"/>
    <w:rsid w:val="00D174AF"/>
    <w:rsid w:val="00D2004E"/>
    <w:rsid w:val="00D24A7C"/>
    <w:rsid w:val="00D31ACC"/>
    <w:rsid w:val="00D46731"/>
    <w:rsid w:val="00D47E01"/>
    <w:rsid w:val="00D512DE"/>
    <w:rsid w:val="00D51D40"/>
    <w:rsid w:val="00D630B9"/>
    <w:rsid w:val="00D679EC"/>
    <w:rsid w:val="00D7147A"/>
    <w:rsid w:val="00D71E63"/>
    <w:rsid w:val="00D72609"/>
    <w:rsid w:val="00D83971"/>
    <w:rsid w:val="00DA110B"/>
    <w:rsid w:val="00DC4FBE"/>
    <w:rsid w:val="00DE6921"/>
    <w:rsid w:val="00DF16B5"/>
    <w:rsid w:val="00E06DC0"/>
    <w:rsid w:val="00E06F7E"/>
    <w:rsid w:val="00E07453"/>
    <w:rsid w:val="00E11F5C"/>
    <w:rsid w:val="00E12A64"/>
    <w:rsid w:val="00E15E24"/>
    <w:rsid w:val="00E16FAC"/>
    <w:rsid w:val="00E21365"/>
    <w:rsid w:val="00E42213"/>
    <w:rsid w:val="00E506C4"/>
    <w:rsid w:val="00E509CE"/>
    <w:rsid w:val="00E56406"/>
    <w:rsid w:val="00E60A98"/>
    <w:rsid w:val="00E80EEC"/>
    <w:rsid w:val="00E82E64"/>
    <w:rsid w:val="00E86A87"/>
    <w:rsid w:val="00E95B4B"/>
    <w:rsid w:val="00EB0274"/>
    <w:rsid w:val="00EB2B71"/>
    <w:rsid w:val="00ED20F5"/>
    <w:rsid w:val="00EE05D6"/>
    <w:rsid w:val="00EF11B4"/>
    <w:rsid w:val="00EF5A76"/>
    <w:rsid w:val="00F14513"/>
    <w:rsid w:val="00F26260"/>
    <w:rsid w:val="00F33DAE"/>
    <w:rsid w:val="00F369AA"/>
    <w:rsid w:val="00F409E2"/>
    <w:rsid w:val="00F43DC4"/>
    <w:rsid w:val="00F66191"/>
    <w:rsid w:val="00FA4E34"/>
    <w:rsid w:val="00FB02D2"/>
    <w:rsid w:val="00FC39A1"/>
    <w:rsid w:val="00FC4BD4"/>
    <w:rsid w:val="00FD3F57"/>
    <w:rsid w:val="00FD64F0"/>
    <w:rsid w:val="00FE2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077D7"/>
  <w15:chartTrackingRefBased/>
  <w15:docId w15:val="{2B03294D-D9DA-4150-9862-2B391F72E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67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673E"/>
  </w:style>
  <w:style w:type="paragraph" w:styleId="Footer">
    <w:name w:val="footer"/>
    <w:basedOn w:val="Normal"/>
    <w:link w:val="FooterChar"/>
    <w:uiPriority w:val="99"/>
    <w:unhideWhenUsed/>
    <w:rsid w:val="000667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673E"/>
  </w:style>
  <w:style w:type="paragraph" w:styleId="Subtitle">
    <w:name w:val="Subtitle"/>
    <w:basedOn w:val="Normal"/>
    <w:next w:val="Normal"/>
    <w:link w:val="SubtitleChar"/>
    <w:uiPriority w:val="11"/>
    <w:qFormat/>
    <w:rsid w:val="004837FC"/>
    <w:pPr>
      <w:keepNext/>
      <w:keepLines/>
      <w:spacing w:before="120" w:after="120" w:line="276" w:lineRule="auto"/>
      <w:ind w:left="2160" w:hanging="360"/>
      <w:jc w:val="both"/>
    </w:pPr>
    <w:rPr>
      <w:rFonts w:ascii="Arial" w:eastAsia="Arial" w:hAnsi="Arial" w:cs="Arial"/>
      <w:b/>
      <w:color w:val="666666"/>
      <w:sz w:val="24"/>
      <w:szCs w:val="24"/>
      <w:lang w:val="en"/>
    </w:rPr>
  </w:style>
  <w:style w:type="character" w:customStyle="1" w:styleId="SubtitleChar">
    <w:name w:val="Subtitle Char"/>
    <w:basedOn w:val="DefaultParagraphFont"/>
    <w:link w:val="Subtitle"/>
    <w:uiPriority w:val="11"/>
    <w:rsid w:val="004837FC"/>
    <w:rPr>
      <w:rFonts w:ascii="Arial" w:eastAsia="Arial" w:hAnsi="Arial" w:cs="Arial"/>
      <w:b/>
      <w:color w:val="666666"/>
      <w:sz w:val="24"/>
      <w:szCs w:val="24"/>
      <w:lang w:val="en"/>
    </w:rPr>
  </w:style>
  <w:style w:type="paragraph" w:styleId="CommentText">
    <w:name w:val="annotation text"/>
    <w:basedOn w:val="Normal"/>
    <w:link w:val="CommentTextChar"/>
    <w:uiPriority w:val="99"/>
    <w:unhideWhenUsed/>
    <w:rsid w:val="004837FC"/>
    <w:pPr>
      <w:spacing w:after="0" w:line="240" w:lineRule="auto"/>
    </w:pPr>
    <w:rPr>
      <w:rFonts w:ascii="Arial" w:eastAsia="Arial" w:hAnsi="Arial" w:cs="Arial"/>
      <w:sz w:val="20"/>
      <w:szCs w:val="20"/>
      <w:lang w:val="en"/>
    </w:rPr>
  </w:style>
  <w:style w:type="character" w:customStyle="1" w:styleId="CommentTextChar">
    <w:name w:val="Comment Text Char"/>
    <w:basedOn w:val="DefaultParagraphFont"/>
    <w:link w:val="CommentText"/>
    <w:uiPriority w:val="99"/>
    <w:rsid w:val="004837FC"/>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4837FC"/>
    <w:rPr>
      <w:sz w:val="16"/>
      <w:szCs w:val="16"/>
    </w:rPr>
  </w:style>
  <w:style w:type="paragraph" w:styleId="CommentSubject">
    <w:name w:val="annotation subject"/>
    <w:basedOn w:val="CommentText"/>
    <w:next w:val="CommentText"/>
    <w:link w:val="CommentSubjectChar"/>
    <w:uiPriority w:val="99"/>
    <w:semiHidden/>
    <w:unhideWhenUsed/>
    <w:rsid w:val="00C77938"/>
    <w:pPr>
      <w:spacing w:after="160"/>
    </w:pPr>
    <w:rPr>
      <w:rFonts w:asciiTheme="minorHAnsi" w:eastAsiaTheme="minorHAnsi" w:hAnsiTheme="minorHAnsi" w:cstheme="minorBidi"/>
      <w:b/>
      <w:bCs/>
      <w:lang w:val="en-US"/>
    </w:rPr>
  </w:style>
  <w:style w:type="character" w:customStyle="1" w:styleId="CommentSubjectChar">
    <w:name w:val="Comment Subject Char"/>
    <w:basedOn w:val="CommentTextChar"/>
    <w:link w:val="CommentSubject"/>
    <w:uiPriority w:val="99"/>
    <w:semiHidden/>
    <w:rsid w:val="00C77938"/>
    <w:rPr>
      <w:rFonts w:ascii="Arial" w:eastAsia="Arial" w:hAnsi="Arial" w:cs="Arial"/>
      <w:b/>
      <w:bCs/>
      <w:sz w:val="20"/>
      <w:szCs w:val="20"/>
      <w:lang w:val="en"/>
    </w:rPr>
  </w:style>
  <w:style w:type="paragraph" w:styleId="ListParagraph">
    <w:name w:val="List Paragraph"/>
    <w:basedOn w:val="Normal"/>
    <w:uiPriority w:val="34"/>
    <w:qFormat/>
    <w:rsid w:val="00B01AE9"/>
    <w:pPr>
      <w:spacing w:after="0" w:line="276" w:lineRule="auto"/>
      <w:ind w:left="720"/>
      <w:contextualSpacing/>
    </w:pPr>
    <w:rPr>
      <w:rFonts w:ascii="Arial" w:eastAsia="Arial" w:hAnsi="Arial" w:cs="Arial"/>
      <w:lang w:val="en"/>
    </w:rPr>
  </w:style>
  <w:style w:type="table" w:styleId="TableGrid">
    <w:name w:val="Table Grid"/>
    <w:basedOn w:val="TableNormal"/>
    <w:uiPriority w:val="39"/>
    <w:rsid w:val="00B01AE9"/>
    <w:pPr>
      <w:spacing w:after="0" w:line="240" w:lineRule="auto"/>
    </w:pPr>
    <w:rPr>
      <w:rFonts w:ascii="Arial" w:eastAsia="Arial" w:hAnsi="Arial" w:cs="Arial"/>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16B5"/>
    <w:rPr>
      <w:color w:val="0563C1" w:themeColor="hyperlink"/>
      <w:u w:val="single"/>
    </w:rPr>
  </w:style>
  <w:style w:type="paragraph" w:styleId="Revision">
    <w:name w:val="Revision"/>
    <w:hidden/>
    <w:uiPriority w:val="99"/>
    <w:semiHidden/>
    <w:rsid w:val="000800A4"/>
    <w:pPr>
      <w:spacing w:after="0" w:line="240" w:lineRule="auto"/>
    </w:pPr>
  </w:style>
  <w:style w:type="character" w:styleId="PlaceholderText">
    <w:name w:val="Placeholder Text"/>
    <w:basedOn w:val="DefaultParagraphFont"/>
    <w:uiPriority w:val="99"/>
    <w:semiHidden/>
    <w:rsid w:val="00C8755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7093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g"/><Relationship Id="rId18" Type="http://schemas.openxmlformats.org/officeDocument/2006/relationships/image" Target="media/image10.jpeg"/><Relationship Id="rId26" Type="http://schemas.openxmlformats.org/officeDocument/2006/relationships/image" Target="media/image18.jpg"/><Relationship Id="rId21" Type="http://schemas.openxmlformats.org/officeDocument/2006/relationships/image" Target="media/image13.jpg"/><Relationship Id="rId34" Type="http://schemas.openxmlformats.org/officeDocument/2006/relationships/hyperlink" Target="https://www.ers.usda.gov/webdocs/publications/81903/err-223.pdf?v=0" TargetMode="Externa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hyperlink" Target="https://www.nationalgeographic.org/encyclopedia/grain/" TargetMode="External"/><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image" Target="media/image12.jpg"/><Relationship Id="rId29" Type="http://schemas.openxmlformats.org/officeDocument/2006/relationships/hyperlink" Target="http://www.fao.org/es/faodef/fdef11e.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24" Type="http://schemas.openxmlformats.org/officeDocument/2006/relationships/image" Target="media/image16.jpeg"/><Relationship Id="rId32" Type="http://schemas.openxmlformats.org/officeDocument/2006/relationships/hyperlink" Target="http://www.fao.org/es/faodef/fdef02e.htm"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g"/><Relationship Id="rId23" Type="http://schemas.openxmlformats.org/officeDocument/2006/relationships/image" Target="media/image15.jpg"/><Relationship Id="rId28" Type="http://schemas.openxmlformats.org/officeDocument/2006/relationships/hyperlink" Target="http://www.fao.org/es/faodef/fdef11e.htm" TargetMode="External"/><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jpg"/><Relationship Id="rId31" Type="http://schemas.openxmlformats.org/officeDocument/2006/relationships/hyperlink" Target="https://www.ers.usda.gov/topics/crops/sugar-sweeteners/background/" TargetMode="Externa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6.jpg"/><Relationship Id="rId22" Type="http://schemas.openxmlformats.org/officeDocument/2006/relationships/image" Target="media/image14.jpg"/><Relationship Id="rId27" Type="http://schemas.openxmlformats.org/officeDocument/2006/relationships/image" Target="media/image19.jpeg"/><Relationship Id="rId30" Type="http://schemas.openxmlformats.org/officeDocument/2006/relationships/hyperlink" Target="https://www.ers.usda.gov/topics/crops/soybeans-oil-crops/oil-crops-sector-at-a-glance/" TargetMode="External"/><Relationship Id="rId35" Type="http://schemas.openxmlformats.org/officeDocument/2006/relationships/footer" Target="footer1.xml"/><Relationship Id="rId8" Type="http://schemas.openxmlformats.org/officeDocument/2006/relationships/hyperlink" Target="mailto:marshall.wise@pnnl.gov"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875BDC-59DF-491F-9F59-216D77B84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30</Pages>
  <Words>4977</Words>
  <Characters>28371</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Bergero, Maria Candelaria</dc:creator>
  <cp:keywords/>
  <dc:description/>
  <cp:lastModifiedBy>Bergero, Maria Candelaria</cp:lastModifiedBy>
  <cp:revision>26</cp:revision>
  <dcterms:created xsi:type="dcterms:W3CDTF">2022-06-09T01:04:00Z</dcterms:created>
  <dcterms:modified xsi:type="dcterms:W3CDTF">2022-06-10T18:35:00Z</dcterms:modified>
</cp:coreProperties>
</file>