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19319" w14:textId="6E0FB73D" w:rsidR="00065CBB" w:rsidRDefault="007460ED" w:rsidP="00016677">
      <w:pPr>
        <w:pStyle w:val="Heading1"/>
      </w:pPr>
      <w:r>
        <w:t xml:space="preserve">Supplementary Material </w:t>
      </w:r>
      <w:r w:rsidR="00065CBB">
        <w:t>Table of Contents</w:t>
      </w:r>
    </w:p>
    <w:p w14:paraId="2B6F37F8" w14:textId="11D274CB" w:rsidR="00065CBB" w:rsidRDefault="00065CBB" w:rsidP="003A6F5A">
      <w:pPr>
        <w:spacing w:line="276" w:lineRule="auto"/>
        <w:rPr>
          <w:rFonts w:ascii="Calibri" w:hAnsi="Calibri" w:cs="Calibri"/>
          <w:b/>
          <w:bCs/>
        </w:rPr>
      </w:pPr>
    </w:p>
    <w:p w14:paraId="5444C8F3" w14:textId="41D563C7" w:rsidR="003A6F5A" w:rsidRPr="00016677" w:rsidRDefault="003A6F5A" w:rsidP="003A6F5A">
      <w:pPr>
        <w:spacing w:line="276" w:lineRule="auto"/>
        <w:rPr>
          <w:rFonts w:ascii="Calibri" w:hAnsi="Calibri" w:cs="Calibri"/>
        </w:rPr>
      </w:pPr>
      <w:r w:rsidRPr="00016677">
        <w:rPr>
          <w:rFonts w:ascii="Calibri" w:hAnsi="Calibri" w:cs="Calibri"/>
        </w:rPr>
        <w:t>Supplementary Material 1 – Raw waveform from all human cadaver measurements</w:t>
      </w:r>
    </w:p>
    <w:p w14:paraId="743F7D82" w14:textId="77777777" w:rsidR="003A6F5A" w:rsidRPr="00016677" w:rsidRDefault="003A6F5A" w:rsidP="00786433">
      <w:pPr>
        <w:spacing w:line="276" w:lineRule="auto"/>
        <w:rPr>
          <w:rFonts w:ascii="Calibri" w:hAnsi="Calibri" w:cs="Calibri"/>
        </w:rPr>
      </w:pPr>
    </w:p>
    <w:p w14:paraId="6CDA88FC" w14:textId="583C4A83" w:rsidR="00786433" w:rsidRPr="00016677" w:rsidRDefault="00786433" w:rsidP="00786433">
      <w:pPr>
        <w:spacing w:line="276" w:lineRule="auto"/>
        <w:rPr>
          <w:rFonts w:ascii="Calibri" w:hAnsi="Calibri" w:cs="Calibri"/>
        </w:rPr>
      </w:pPr>
      <w:r w:rsidRPr="00016677">
        <w:rPr>
          <w:rFonts w:ascii="Calibri" w:hAnsi="Calibri" w:cs="Calibri"/>
        </w:rPr>
        <w:t xml:space="preserve">Supplementary Material </w:t>
      </w:r>
      <w:r w:rsidR="003A6F5A" w:rsidRPr="00016677">
        <w:rPr>
          <w:rFonts w:ascii="Calibri" w:hAnsi="Calibri" w:cs="Calibri"/>
        </w:rPr>
        <w:t>2</w:t>
      </w:r>
      <w:r w:rsidRPr="00016677">
        <w:rPr>
          <w:rFonts w:ascii="Calibri" w:hAnsi="Calibri" w:cs="Calibri"/>
        </w:rPr>
        <w:t xml:space="preserve"> – </w:t>
      </w:r>
      <w:r w:rsidR="00140B73" w:rsidRPr="00016677">
        <w:rPr>
          <w:rFonts w:ascii="Calibri" w:hAnsi="Calibri" w:cs="Calibri"/>
        </w:rPr>
        <w:t>Electrical conductivity of materials in FEM model</w:t>
      </w:r>
    </w:p>
    <w:p w14:paraId="419FA441" w14:textId="1D856534" w:rsidR="003336BD" w:rsidRPr="003F481F" w:rsidRDefault="003336BD" w:rsidP="006667A5">
      <w:pPr>
        <w:spacing w:line="276" w:lineRule="auto"/>
        <w:rPr>
          <w:rFonts w:ascii="Calibri" w:hAnsi="Calibri" w:cs="Calibri"/>
          <w:b/>
          <w:bCs/>
        </w:rPr>
      </w:pPr>
      <w:r w:rsidRPr="003F481F">
        <w:rPr>
          <w:rFonts w:ascii="Calibri" w:hAnsi="Calibri" w:cs="Calibri"/>
        </w:rPr>
        <w:br w:type="page"/>
      </w:r>
    </w:p>
    <w:p w14:paraId="688FA12F" w14:textId="77777777" w:rsidR="003314E1" w:rsidRPr="003F481F" w:rsidRDefault="003314E1" w:rsidP="003314E1">
      <w:pPr>
        <w:spacing w:line="276" w:lineRule="auto"/>
        <w:rPr>
          <w:rFonts w:ascii="Calibri" w:hAnsi="Calibri" w:cs="Calibri"/>
          <w:b/>
          <w:bCs/>
        </w:rPr>
      </w:pPr>
      <w:r w:rsidRPr="003F481F">
        <w:rPr>
          <w:rFonts w:ascii="Calibri" w:hAnsi="Calibri" w:cs="Calibri"/>
          <w:b/>
          <w:bCs/>
        </w:rPr>
        <w:lastRenderedPageBreak/>
        <w:t>Supplementary Material 1 – Raw waveform from all human cadaver measurements</w:t>
      </w:r>
    </w:p>
    <w:p w14:paraId="69278294" w14:textId="77777777" w:rsidR="003314E1" w:rsidRPr="003F481F" w:rsidRDefault="003314E1" w:rsidP="003314E1">
      <w:pPr>
        <w:spacing w:line="276" w:lineRule="auto"/>
        <w:rPr>
          <w:rFonts w:ascii="Calibri" w:hAnsi="Calibri" w:cs="Calibri"/>
          <w:b/>
          <w:bCs/>
        </w:rPr>
      </w:pPr>
    </w:p>
    <w:p w14:paraId="2BC9674C" w14:textId="77777777" w:rsidR="003314E1" w:rsidRPr="003F481F" w:rsidRDefault="003314E1" w:rsidP="003314E1">
      <w:pPr>
        <w:spacing w:line="276" w:lineRule="auto"/>
        <w:rPr>
          <w:rFonts w:ascii="Calibri" w:hAnsi="Calibri" w:cs="Calibri"/>
        </w:rPr>
      </w:pPr>
      <w:r w:rsidRPr="003F481F">
        <w:rPr>
          <w:rFonts w:ascii="Calibri" w:hAnsi="Calibri" w:cs="Calibri"/>
        </w:rPr>
        <w:t>(a)</w:t>
      </w:r>
    </w:p>
    <w:p w14:paraId="688C87ED" w14:textId="77777777" w:rsidR="003314E1" w:rsidRPr="003F481F" w:rsidRDefault="003314E1" w:rsidP="003314E1">
      <w:pPr>
        <w:pStyle w:val="NoSpacing"/>
        <w:spacing w:line="276" w:lineRule="auto"/>
        <w:rPr>
          <w:rFonts w:ascii="Calibri" w:eastAsiaTheme="minorEastAsia" w:hAnsi="Calibri" w:cs="Calibri"/>
          <w:sz w:val="24"/>
          <w:szCs w:val="24"/>
        </w:rPr>
      </w:pPr>
      <w:r w:rsidRPr="003F481F">
        <w:rPr>
          <w:rFonts w:ascii="Calibri" w:eastAsiaTheme="minorEastAsia" w:hAnsi="Calibri" w:cs="Calibri"/>
          <w:noProof/>
          <w:sz w:val="24"/>
          <w:szCs w:val="24"/>
        </w:rPr>
        <w:drawing>
          <wp:inline distT="0" distB="0" distL="0" distR="0" wp14:anchorId="40032A95" wp14:editId="54856B65">
            <wp:extent cx="5943600" cy="4410075"/>
            <wp:effectExtent l="0" t="0" r="0" b="0"/>
            <wp:docPr id="15" name="Picture 1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computer&#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10075"/>
                    </a:xfrm>
                    <a:prstGeom prst="rect">
                      <a:avLst/>
                    </a:prstGeom>
                  </pic:spPr>
                </pic:pic>
              </a:graphicData>
            </a:graphic>
          </wp:inline>
        </w:drawing>
      </w:r>
    </w:p>
    <w:p w14:paraId="72478D93" w14:textId="77777777" w:rsidR="003314E1" w:rsidRPr="003F481F" w:rsidRDefault="003314E1" w:rsidP="003314E1">
      <w:pPr>
        <w:rPr>
          <w:rFonts w:ascii="Calibri" w:eastAsiaTheme="minorEastAsia" w:hAnsi="Calibri" w:cs="Calibri"/>
        </w:rPr>
      </w:pPr>
      <w:r w:rsidRPr="003F481F">
        <w:rPr>
          <w:rFonts w:ascii="Calibri" w:eastAsiaTheme="minorEastAsia" w:hAnsi="Calibri" w:cs="Calibri"/>
        </w:rPr>
        <w:br w:type="page"/>
      </w:r>
    </w:p>
    <w:p w14:paraId="3E0F319F" w14:textId="77777777" w:rsidR="003314E1" w:rsidRPr="003F481F" w:rsidRDefault="003314E1" w:rsidP="003314E1">
      <w:pPr>
        <w:pStyle w:val="NoSpacing"/>
        <w:spacing w:line="276" w:lineRule="auto"/>
        <w:rPr>
          <w:rFonts w:ascii="Calibri" w:eastAsiaTheme="minorEastAsia" w:hAnsi="Calibri" w:cs="Calibri"/>
          <w:sz w:val="24"/>
          <w:szCs w:val="24"/>
        </w:rPr>
      </w:pPr>
      <w:r w:rsidRPr="003F481F">
        <w:rPr>
          <w:rFonts w:ascii="Calibri" w:eastAsiaTheme="minorEastAsia" w:hAnsi="Calibri" w:cs="Calibri"/>
          <w:sz w:val="24"/>
          <w:szCs w:val="24"/>
        </w:rPr>
        <w:lastRenderedPageBreak/>
        <w:t>(b)</w:t>
      </w:r>
    </w:p>
    <w:p w14:paraId="67EF65EB" w14:textId="77777777" w:rsidR="003314E1" w:rsidRPr="003F481F" w:rsidRDefault="003314E1" w:rsidP="003314E1">
      <w:pPr>
        <w:pStyle w:val="NoSpacing"/>
        <w:spacing w:line="276" w:lineRule="auto"/>
        <w:rPr>
          <w:rFonts w:ascii="Calibri" w:eastAsiaTheme="minorEastAsia" w:hAnsi="Calibri" w:cs="Calibri"/>
          <w:sz w:val="24"/>
          <w:szCs w:val="24"/>
        </w:rPr>
      </w:pPr>
      <w:r w:rsidRPr="003F481F">
        <w:rPr>
          <w:rFonts w:ascii="Calibri" w:eastAsiaTheme="minorEastAsia" w:hAnsi="Calibri" w:cs="Calibri"/>
          <w:noProof/>
          <w:sz w:val="24"/>
          <w:szCs w:val="24"/>
        </w:rPr>
        <w:drawing>
          <wp:inline distT="0" distB="0" distL="0" distR="0" wp14:anchorId="1D75F6A8" wp14:editId="51845343">
            <wp:extent cx="5943600" cy="4407535"/>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07535"/>
                    </a:xfrm>
                    <a:prstGeom prst="rect">
                      <a:avLst/>
                    </a:prstGeom>
                  </pic:spPr>
                </pic:pic>
              </a:graphicData>
            </a:graphic>
          </wp:inline>
        </w:drawing>
      </w:r>
    </w:p>
    <w:p w14:paraId="6625DB4F" w14:textId="77777777" w:rsidR="003314E1" w:rsidRPr="003F481F" w:rsidRDefault="003314E1" w:rsidP="003314E1">
      <w:pPr>
        <w:pStyle w:val="NoSpacing"/>
        <w:spacing w:line="276" w:lineRule="auto"/>
        <w:rPr>
          <w:rFonts w:ascii="Calibri" w:eastAsiaTheme="minorEastAsia" w:hAnsi="Calibri" w:cs="Calibri"/>
          <w:b/>
          <w:bCs/>
          <w:sz w:val="24"/>
          <w:szCs w:val="24"/>
        </w:rPr>
      </w:pPr>
    </w:p>
    <w:p w14:paraId="555B57F7" w14:textId="77777777" w:rsidR="003314E1" w:rsidRPr="003F481F" w:rsidRDefault="003314E1" w:rsidP="003314E1">
      <w:pPr>
        <w:pStyle w:val="NoSpacing"/>
        <w:spacing w:line="276" w:lineRule="auto"/>
        <w:rPr>
          <w:rFonts w:ascii="Calibri" w:eastAsiaTheme="minorEastAsia" w:hAnsi="Calibri" w:cs="Calibri"/>
          <w:sz w:val="24"/>
          <w:szCs w:val="24"/>
        </w:rPr>
      </w:pPr>
      <w:r w:rsidRPr="003F481F">
        <w:rPr>
          <w:rFonts w:ascii="Calibri" w:eastAsiaTheme="minorEastAsia" w:hAnsi="Calibri" w:cs="Calibri"/>
          <w:b/>
          <w:bCs/>
          <w:sz w:val="24"/>
          <w:szCs w:val="24"/>
        </w:rPr>
        <w:t>Figure S1-1:</w:t>
      </w:r>
      <w:r w:rsidRPr="003F481F">
        <w:rPr>
          <w:rFonts w:ascii="Calibri" w:eastAsiaTheme="minorEastAsia" w:hAnsi="Calibri" w:cs="Calibri"/>
          <w:sz w:val="24"/>
          <w:szCs w:val="24"/>
        </w:rPr>
        <w:t xml:space="preserve"> For human cadaveric modeling, oscilloscope readings were taken for all samples without Injectrode (a) and after Injectrode (b) administration. The average gain was calculated using a total of 12 measurements: 2 from leg 1 (proximal and distal), 2 from Leg 2 (proximal and distal), 2 from Leg 3 (mid and distal), 3 from Leg 4 (proximal, mid, and distal), and 3 from leg 5 (proximal, mid, and distal). Leg 1 and Leg 2 were limited by anatomical distance, making three experimental set-ups on the leg infeasible. The condition outlined in red (proximal cut of Leg 3) was a statistical outlier when comparing gain values. Furthermore, qualitatively, the blue curve (voltage at fracture site) shows an anomaly in the initial slope upward that has a curvilinear descend after. Any other curve that has a descend is either more gradual or more linear. The sharp peak with curved decline indicates a potential anomaly in the bone space that was not visualized or accounted for in the initial cadaveric acquisition. It could also indicate poor electrical contact between the recording electrodes and the bone.</w:t>
      </w:r>
    </w:p>
    <w:p w14:paraId="2C4A78A5" w14:textId="77777777" w:rsidR="003314E1" w:rsidRPr="003F481F" w:rsidRDefault="003314E1" w:rsidP="003314E1">
      <w:pPr>
        <w:pStyle w:val="NoSpacing"/>
        <w:spacing w:line="276" w:lineRule="auto"/>
        <w:rPr>
          <w:rFonts w:ascii="Calibri" w:eastAsiaTheme="minorEastAsia" w:hAnsi="Calibri" w:cs="Calibri"/>
          <w:sz w:val="24"/>
          <w:szCs w:val="24"/>
        </w:rPr>
      </w:pPr>
    </w:p>
    <w:p w14:paraId="2CE1ABFC" w14:textId="77777777" w:rsidR="003314E1" w:rsidRPr="003F481F" w:rsidRDefault="003314E1">
      <w:pPr>
        <w:rPr>
          <w:rFonts w:ascii="Calibri" w:hAnsi="Calibri" w:cs="Calibri"/>
          <w:b/>
          <w:bCs/>
        </w:rPr>
      </w:pPr>
      <w:r w:rsidRPr="003F481F">
        <w:rPr>
          <w:rFonts w:ascii="Calibri" w:hAnsi="Calibri" w:cs="Calibri"/>
          <w:b/>
          <w:bCs/>
        </w:rPr>
        <w:br w:type="page"/>
      </w:r>
    </w:p>
    <w:p w14:paraId="29A95197" w14:textId="17FF014D" w:rsidR="00140B73" w:rsidRPr="003F481F" w:rsidRDefault="00140B73" w:rsidP="00140B73">
      <w:pPr>
        <w:spacing w:line="276" w:lineRule="auto"/>
        <w:rPr>
          <w:rFonts w:ascii="Calibri" w:hAnsi="Calibri" w:cs="Calibri"/>
          <w:b/>
          <w:bCs/>
        </w:rPr>
      </w:pPr>
      <w:r w:rsidRPr="003F481F">
        <w:rPr>
          <w:rFonts w:ascii="Calibri" w:hAnsi="Calibri" w:cs="Calibri"/>
          <w:b/>
          <w:bCs/>
        </w:rPr>
        <w:lastRenderedPageBreak/>
        <w:t xml:space="preserve">Supplementary Material </w:t>
      </w:r>
      <w:r w:rsidR="003314E1" w:rsidRPr="003F481F">
        <w:rPr>
          <w:rFonts w:ascii="Calibri" w:hAnsi="Calibri" w:cs="Calibri"/>
          <w:b/>
          <w:bCs/>
        </w:rPr>
        <w:t>2</w:t>
      </w:r>
      <w:r w:rsidRPr="003F481F">
        <w:rPr>
          <w:rFonts w:ascii="Calibri" w:hAnsi="Calibri" w:cs="Calibri"/>
          <w:b/>
          <w:bCs/>
        </w:rPr>
        <w:t xml:space="preserve"> – Electrical conductivity of materials in FEM model</w:t>
      </w:r>
    </w:p>
    <w:p w14:paraId="4353D166" w14:textId="77777777" w:rsidR="00C95408" w:rsidRPr="003F481F" w:rsidRDefault="00C95408" w:rsidP="00140B73">
      <w:pPr>
        <w:spacing w:line="276" w:lineRule="auto"/>
        <w:rPr>
          <w:rFonts w:ascii="Calibri" w:hAnsi="Calibri" w:cs="Calibri"/>
          <w:b/>
          <w:bCs/>
        </w:rPr>
      </w:pPr>
    </w:p>
    <w:p w14:paraId="33D98E2E" w14:textId="35B0097B" w:rsidR="00C95408" w:rsidRPr="003F481F" w:rsidRDefault="00C95408" w:rsidP="00C95408">
      <w:pPr>
        <w:spacing w:line="360" w:lineRule="auto"/>
        <w:rPr>
          <w:rFonts w:ascii="Calibri" w:eastAsia="Calibri" w:hAnsi="Calibri" w:cs="Calibri"/>
        </w:rPr>
      </w:pPr>
      <w:r w:rsidRPr="003F481F">
        <w:rPr>
          <w:rFonts w:ascii="Calibri" w:eastAsia="Calibri" w:hAnsi="Calibri" w:cs="Calibri"/>
          <w:b/>
        </w:rPr>
        <w:t>Table 1</w:t>
      </w:r>
      <w:r w:rsidRPr="003F481F">
        <w:rPr>
          <w:rFonts w:ascii="Calibri" w:eastAsia="Calibri" w:hAnsi="Calibri" w:cs="Calibri"/>
        </w:rPr>
        <w:t xml:space="preserve">. Conductivity of materials in human </w:t>
      </w:r>
      <w:r w:rsidR="003D0010">
        <w:rPr>
          <w:rFonts w:ascii="Calibri" w:eastAsia="Calibri" w:hAnsi="Calibri" w:cs="Calibri"/>
        </w:rPr>
        <w:t>finite element method (</w:t>
      </w:r>
      <w:r w:rsidR="00465DF6">
        <w:rPr>
          <w:rFonts w:ascii="Calibri" w:eastAsia="Calibri" w:hAnsi="Calibri" w:cs="Calibri"/>
        </w:rPr>
        <w:t>FEM</w:t>
      </w:r>
      <w:r w:rsidR="003D0010">
        <w:rPr>
          <w:rFonts w:ascii="Calibri" w:eastAsia="Calibri" w:hAnsi="Calibri" w:cs="Calibri"/>
        </w:rPr>
        <w:t>)</w:t>
      </w:r>
      <w:r w:rsidR="00465DF6">
        <w:rPr>
          <w:rFonts w:ascii="Calibri" w:eastAsia="Calibri" w:hAnsi="Calibri" w:cs="Calibri"/>
        </w:rPr>
        <w:t xml:space="preserve"> </w:t>
      </w:r>
      <w:r w:rsidRPr="003F481F">
        <w:rPr>
          <w:rFonts w:ascii="Calibri" w:eastAsia="Calibri" w:hAnsi="Calibri" w:cs="Calibri"/>
        </w:rPr>
        <w:t>model</w:t>
      </w:r>
    </w:p>
    <w:tbl>
      <w:tblPr>
        <w:tblW w:w="5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60"/>
        <w:gridCol w:w="2755"/>
        <w:gridCol w:w="1620"/>
      </w:tblGrid>
      <w:tr w:rsidR="003406C4" w:rsidRPr="003F481F" w14:paraId="10529571" w14:textId="77777777" w:rsidTr="003406C4">
        <w:tc>
          <w:tcPr>
            <w:tcW w:w="1560" w:type="dxa"/>
            <w:vAlign w:val="center"/>
          </w:tcPr>
          <w:p w14:paraId="3C303874" w14:textId="77777777" w:rsidR="003406C4" w:rsidRPr="003F481F" w:rsidRDefault="003406C4" w:rsidP="00065816">
            <w:pPr>
              <w:spacing w:line="360" w:lineRule="auto"/>
              <w:jc w:val="center"/>
              <w:rPr>
                <w:rFonts w:ascii="Calibri" w:eastAsia="Calibri" w:hAnsi="Calibri" w:cs="Calibri"/>
                <w:b/>
              </w:rPr>
            </w:pPr>
            <w:r w:rsidRPr="003F481F">
              <w:rPr>
                <w:rFonts w:ascii="Calibri" w:eastAsia="Calibri" w:hAnsi="Calibri" w:cs="Calibri"/>
                <w:b/>
              </w:rPr>
              <w:t>Material</w:t>
            </w:r>
          </w:p>
        </w:tc>
        <w:tc>
          <w:tcPr>
            <w:tcW w:w="2755" w:type="dxa"/>
            <w:vAlign w:val="center"/>
          </w:tcPr>
          <w:p w14:paraId="20F28765" w14:textId="77777777" w:rsidR="003406C4" w:rsidRPr="003F481F" w:rsidRDefault="003406C4" w:rsidP="00065816">
            <w:pPr>
              <w:spacing w:line="360" w:lineRule="auto"/>
              <w:jc w:val="center"/>
              <w:rPr>
                <w:rFonts w:ascii="Calibri" w:eastAsia="Calibri" w:hAnsi="Calibri" w:cs="Calibri"/>
                <w:b/>
              </w:rPr>
            </w:pPr>
            <w:r w:rsidRPr="003F481F">
              <w:rPr>
                <w:rFonts w:ascii="Calibri" w:eastAsia="Calibri" w:hAnsi="Calibri" w:cs="Calibri"/>
                <w:b/>
              </w:rPr>
              <w:t>Origin</w:t>
            </w:r>
          </w:p>
        </w:tc>
        <w:tc>
          <w:tcPr>
            <w:tcW w:w="1620" w:type="dxa"/>
            <w:vAlign w:val="center"/>
          </w:tcPr>
          <w:p w14:paraId="3C9A8E51" w14:textId="77777777" w:rsidR="003406C4" w:rsidRPr="003F481F" w:rsidRDefault="003406C4" w:rsidP="00065816">
            <w:pPr>
              <w:spacing w:line="360" w:lineRule="auto"/>
              <w:jc w:val="center"/>
              <w:rPr>
                <w:rFonts w:ascii="Calibri" w:eastAsia="Calibri" w:hAnsi="Calibri" w:cs="Calibri"/>
                <w:b/>
              </w:rPr>
            </w:pPr>
            <w:r w:rsidRPr="003F481F">
              <w:rPr>
                <w:rFonts w:ascii="Calibri" w:eastAsia="Calibri" w:hAnsi="Calibri" w:cs="Calibri"/>
                <w:b/>
              </w:rPr>
              <w:t>Conductivity (S/m)</w:t>
            </w:r>
          </w:p>
        </w:tc>
      </w:tr>
      <w:tr w:rsidR="003406C4" w:rsidRPr="003F481F" w14:paraId="2DC1CF3F" w14:textId="77777777" w:rsidTr="003406C4">
        <w:tc>
          <w:tcPr>
            <w:tcW w:w="1560" w:type="dxa"/>
            <w:vAlign w:val="bottom"/>
          </w:tcPr>
          <w:p w14:paraId="4B3BC5A0"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Cortical Bone</w:t>
            </w:r>
          </w:p>
        </w:tc>
        <w:tc>
          <w:tcPr>
            <w:tcW w:w="2755" w:type="dxa"/>
            <w:vAlign w:val="bottom"/>
          </w:tcPr>
          <w:p w14:paraId="4F196018"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Human</w:t>
            </w:r>
          </w:p>
        </w:tc>
        <w:tc>
          <w:tcPr>
            <w:tcW w:w="1620" w:type="dxa"/>
            <w:vAlign w:val="bottom"/>
          </w:tcPr>
          <w:p w14:paraId="57B74AEA" w14:textId="44B3318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1.0</w:t>
            </w:r>
            <w:r w:rsidRPr="003F481F">
              <w:rPr>
                <w:rFonts w:ascii="Calibri" w:eastAsia="Calibri" w:hAnsi="Calibri" w:cs="Calibri"/>
              </w:rPr>
              <w:t>e</w:t>
            </w:r>
            <w:r w:rsidRPr="003F481F">
              <w:rPr>
                <w:rFonts w:ascii="Calibri" w:eastAsia="Calibri" w:hAnsi="Calibri" w:cs="Calibri"/>
                <w:color w:val="000000"/>
              </w:rPr>
              <w:t>-2</w:t>
            </w:r>
            <w:r>
              <w:rPr>
                <w:rFonts w:ascii="Calibri" w:eastAsia="Calibri" w:hAnsi="Calibri" w:cs="Calibri"/>
                <w:color w:val="000000"/>
              </w:rPr>
              <w:t xml:space="preserve"> </w:t>
            </w:r>
            <w:r>
              <w:rPr>
                <w:rFonts w:ascii="Calibri" w:eastAsia="Calibri" w:hAnsi="Calibri" w:cs="Calibri"/>
                <w:color w:val="000000"/>
              </w:rPr>
              <w:fldChar w:fldCharType="begin"/>
            </w:r>
            <w:r>
              <w:rPr>
                <w:rFonts w:ascii="Calibri" w:eastAsia="Calibri" w:hAnsi="Calibri" w:cs="Calibri"/>
                <w:color w:val="000000"/>
              </w:rPr>
              <w:instrText xml:space="preserve"> ADDIN ZOTERO_ITEM CSL_CITATION {"citationID":"iTS9wVQH","properties":{"formattedCitation":"\\super 1\\nosupersub{}","plainCitation":"1","noteIndex":0},"citationItems":[{"id":2400,"uris":["http://zotero.org/users/6119537/items/9KBAIKH8"],"itemData":{"id":2400,"type":"article-journal","abstract":"The dielectric permittivity and electrical conductivity of freshly excised and formalin fixed samples of rat femoral bone were determined over a frequency range of 10 Hz-100 MHz. Impedance measurements were performed in the frequency domain using a vector impedance meter and an impedance analyzer. The results of these measurements show that the conductivity of fixed and fresh bone is nearly independent of frequency below 100 kHz, with the conductivity of fresh bone being two to three times greater than that of the fixed sample. At higher frequencies, the conductivity increases as a power function of frequency. The permittivity of bone reaches very high values at low frequencies, but decreases rapidly with increasing frequencies and approaches a limiting value of about ten. This highfrequency limit is consistent with the water content of the tissue, and with the permittivity of the anhydrous matrix. It is suggested that the olarizability observed at audio and radiowave frequencies is in part sssociated with the collagen phase, although other interfacial polarization effects can also be present.","container-title":"IEEE Transactions on Biomedical Engineering","DOI":"10.1109/TBME.1983.325201","ISSN":"0018-9294","issue":"2","journalAbbreviation":"IEEE Trans. Biomed. Eng.","language":"en","page":"81-86","source":"DOI.org (Crossref)","title":"Dielectric Permittivity and Electrical Conductivity of Fluid Saturated Bone","volume":"BME-30","author":[{"family":"Kosterich","given":"Jeffrey D."},{"family":"Foster","given":"Kenneth R."},{"family":"Pollack","given":"Solomon R."}],"issued":{"date-parts":[["1983",2]]}}}],"schema":"https://github.com/citation-style-language/schema/raw/master/csl-citation.json"} </w:instrText>
            </w:r>
            <w:r>
              <w:rPr>
                <w:rFonts w:ascii="Calibri" w:eastAsia="Calibri" w:hAnsi="Calibri" w:cs="Calibri"/>
                <w:color w:val="000000"/>
              </w:rPr>
              <w:fldChar w:fldCharType="separate"/>
            </w:r>
            <w:r w:rsidRPr="004D5AF6">
              <w:rPr>
                <w:rFonts w:ascii="Calibri" w:hAnsi="Calibri" w:cs="Calibri"/>
                <w:color w:val="000000"/>
                <w:vertAlign w:val="superscript"/>
              </w:rPr>
              <w:t>1</w:t>
            </w:r>
            <w:r>
              <w:rPr>
                <w:rFonts w:ascii="Calibri" w:eastAsia="Calibri" w:hAnsi="Calibri" w:cs="Calibri"/>
                <w:color w:val="000000"/>
              </w:rPr>
              <w:fldChar w:fldCharType="end"/>
            </w:r>
          </w:p>
        </w:tc>
      </w:tr>
      <w:tr w:rsidR="003406C4" w:rsidRPr="003F481F" w14:paraId="5BC2BCCB" w14:textId="77777777" w:rsidTr="003406C4">
        <w:tc>
          <w:tcPr>
            <w:tcW w:w="1560" w:type="dxa"/>
            <w:vAlign w:val="bottom"/>
          </w:tcPr>
          <w:p w14:paraId="7F386E5D"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Bone Marrow (infiltrated)</w:t>
            </w:r>
          </w:p>
        </w:tc>
        <w:tc>
          <w:tcPr>
            <w:tcW w:w="2755" w:type="dxa"/>
            <w:vAlign w:val="bottom"/>
          </w:tcPr>
          <w:p w14:paraId="32EED4C1"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Bovine</w:t>
            </w:r>
          </w:p>
        </w:tc>
        <w:tc>
          <w:tcPr>
            <w:tcW w:w="1620" w:type="dxa"/>
            <w:vAlign w:val="bottom"/>
          </w:tcPr>
          <w:p w14:paraId="28B5A68A" w14:textId="297FD4C5"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2.1</w:t>
            </w:r>
            <w:r w:rsidRPr="003F481F">
              <w:rPr>
                <w:rFonts w:ascii="Calibri" w:eastAsia="Calibri" w:hAnsi="Calibri" w:cs="Calibri"/>
              </w:rPr>
              <w:t>e</w:t>
            </w:r>
            <w:r w:rsidRPr="003F481F">
              <w:rPr>
                <w:rFonts w:ascii="Calibri" w:eastAsia="Calibri" w:hAnsi="Calibri" w:cs="Calibri"/>
                <w:color w:val="000000"/>
              </w:rPr>
              <w:t>-1</w:t>
            </w:r>
            <w:r>
              <w:rPr>
                <w:rFonts w:ascii="Calibri" w:eastAsia="Calibri" w:hAnsi="Calibri" w:cs="Calibri"/>
                <w:color w:val="000000"/>
              </w:rPr>
              <w:t xml:space="preserve"> </w:t>
            </w:r>
            <w:r>
              <w:rPr>
                <w:rFonts w:ascii="Calibri" w:eastAsia="Calibri" w:hAnsi="Calibri" w:cs="Calibri"/>
                <w:color w:val="000000"/>
              </w:rPr>
              <w:fldChar w:fldCharType="begin"/>
            </w:r>
            <w:r>
              <w:rPr>
                <w:rFonts w:ascii="Calibri" w:eastAsia="Calibri" w:hAnsi="Calibri" w:cs="Calibri"/>
                <w:color w:val="000000"/>
              </w:rPr>
              <w:instrText xml:space="preserve"> ADDIN ZOTERO_ITEM CSL_CITATION {"citationID":"vYL9ey63","properties":{"formattedCitation":"\\super 2\\nosupersub{}","plainCitation":"2","noteIndex":0},"citationItems":[{"id":2398,"uris":["http://zotero.org/users/6119537/items/KAIVEWAB"],"itemData":{"id":2398,"type":"report","event-place":"Fort Belvoir, VA","language":"en","note":"DOI: 10.21236/ADA303903","publisher":"Defense Technical Information Center","publisher-place":"Fort Belvoir, VA","source":"DOI.org (Crossref)","title":"Compilation of the Dielectric Properties of Body Tissues at RF and Microwave Frequencies.:","title-short":"Compilation of the Dielectric Properties of Body Tissues at RF and Microwave Frequencies.","URL":"http://www.dtic.mil/docs/citations/ADA303903","author":[{"family":"Gabriel","given":"Camelia"}],"accessed":{"date-parts":[["2022",6,24]]},"issued":{"date-parts":[["1996",1,1]]}}}],"schema":"https://github.com/citation-style-language/schema/raw/master/csl-citation.json"} </w:instrText>
            </w:r>
            <w:r>
              <w:rPr>
                <w:rFonts w:ascii="Calibri" w:eastAsia="Calibri" w:hAnsi="Calibri" w:cs="Calibri"/>
                <w:color w:val="000000"/>
              </w:rPr>
              <w:fldChar w:fldCharType="separate"/>
            </w:r>
            <w:r w:rsidRPr="004D5AF6">
              <w:rPr>
                <w:rFonts w:ascii="Calibri" w:hAnsi="Calibri" w:cs="Calibri"/>
                <w:color w:val="000000"/>
                <w:vertAlign w:val="superscript"/>
              </w:rPr>
              <w:t>2</w:t>
            </w:r>
            <w:r>
              <w:rPr>
                <w:rFonts w:ascii="Calibri" w:eastAsia="Calibri" w:hAnsi="Calibri" w:cs="Calibri"/>
                <w:color w:val="000000"/>
              </w:rPr>
              <w:fldChar w:fldCharType="end"/>
            </w:r>
          </w:p>
        </w:tc>
      </w:tr>
      <w:tr w:rsidR="003406C4" w:rsidRPr="003F481F" w14:paraId="07E517F7" w14:textId="77777777" w:rsidTr="003406C4">
        <w:tc>
          <w:tcPr>
            <w:tcW w:w="1560" w:type="dxa"/>
            <w:vAlign w:val="bottom"/>
          </w:tcPr>
          <w:p w14:paraId="58D1AE95"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Adipose</w:t>
            </w:r>
          </w:p>
        </w:tc>
        <w:tc>
          <w:tcPr>
            <w:tcW w:w="2755" w:type="dxa"/>
            <w:vAlign w:val="bottom"/>
          </w:tcPr>
          <w:p w14:paraId="7F23671D"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Human</w:t>
            </w:r>
          </w:p>
        </w:tc>
        <w:tc>
          <w:tcPr>
            <w:tcW w:w="1620" w:type="dxa"/>
            <w:vAlign w:val="bottom"/>
          </w:tcPr>
          <w:p w14:paraId="4F018200" w14:textId="28126368"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2.09</w:t>
            </w:r>
            <w:r w:rsidRPr="003F481F">
              <w:rPr>
                <w:rFonts w:ascii="Calibri" w:eastAsia="Calibri" w:hAnsi="Calibri" w:cs="Calibri"/>
              </w:rPr>
              <w:t>e</w:t>
            </w:r>
            <w:r w:rsidRPr="003F481F">
              <w:rPr>
                <w:rFonts w:ascii="Calibri" w:eastAsia="Calibri" w:hAnsi="Calibri" w:cs="Calibri"/>
                <w:color w:val="000000"/>
              </w:rPr>
              <w:t>-2</w:t>
            </w:r>
            <w:r>
              <w:rPr>
                <w:rFonts w:ascii="Calibri" w:eastAsia="Calibri" w:hAnsi="Calibri" w:cs="Calibri"/>
                <w:color w:val="000000"/>
              </w:rPr>
              <w:t xml:space="preserve"> </w:t>
            </w:r>
            <w:r>
              <w:rPr>
                <w:rFonts w:ascii="Calibri" w:eastAsia="Calibri" w:hAnsi="Calibri" w:cs="Calibri"/>
                <w:color w:val="000000"/>
              </w:rPr>
              <w:fldChar w:fldCharType="begin"/>
            </w:r>
            <w:r>
              <w:rPr>
                <w:rFonts w:ascii="Calibri" w:eastAsia="Calibri" w:hAnsi="Calibri" w:cs="Calibri"/>
                <w:color w:val="000000"/>
              </w:rPr>
              <w:instrText xml:space="preserve"> ADDIN ZOTERO_ITEM CSL_CITATION {"citationID":"0AudBEZ8","properties":{"formattedCitation":"\\super 2\\nosupersub{}","plainCitation":"2","noteIndex":0},"citationItems":[{"id":2398,"uris":["http://zotero.org/users/6119537/items/KAIVEWAB"],"itemData":{"id":2398,"type":"report","event-place":"Fort Belvoir, VA","language":"en","note":"DOI: 10.21236/ADA303903","publisher":"Defense Technical Information Center","publisher-place":"Fort Belvoir, VA","source":"DOI.org (Crossref)","title":"Compilation of the Dielectric Properties of Body Tissues at RF and Microwave Frequencies.:","title-short":"Compilation of the Dielectric Properties of Body Tissues at RF and Microwave Frequencies.","URL":"http://www.dtic.mil/docs/citations/ADA303903","author":[{"family":"Gabriel","given":"Camelia"}],"accessed":{"date-parts":[["2022",6,24]]},"issued":{"date-parts":[["1996",1,1]]}}}],"schema":"https://github.com/citation-style-language/schema/raw/master/csl-citation.json"} </w:instrText>
            </w:r>
            <w:r>
              <w:rPr>
                <w:rFonts w:ascii="Calibri" w:eastAsia="Calibri" w:hAnsi="Calibri" w:cs="Calibri"/>
                <w:color w:val="000000"/>
              </w:rPr>
              <w:fldChar w:fldCharType="separate"/>
            </w:r>
            <w:r w:rsidRPr="004D5AF6">
              <w:rPr>
                <w:rFonts w:ascii="Calibri" w:hAnsi="Calibri" w:cs="Calibri"/>
                <w:color w:val="000000"/>
                <w:vertAlign w:val="superscript"/>
              </w:rPr>
              <w:t>2</w:t>
            </w:r>
            <w:r>
              <w:rPr>
                <w:rFonts w:ascii="Calibri" w:eastAsia="Calibri" w:hAnsi="Calibri" w:cs="Calibri"/>
                <w:color w:val="000000"/>
              </w:rPr>
              <w:fldChar w:fldCharType="end"/>
            </w:r>
          </w:p>
        </w:tc>
      </w:tr>
      <w:tr w:rsidR="003406C4" w:rsidRPr="003F481F" w14:paraId="081B96E8" w14:textId="77777777" w:rsidTr="003406C4">
        <w:tc>
          <w:tcPr>
            <w:tcW w:w="1560" w:type="dxa"/>
            <w:vAlign w:val="bottom"/>
          </w:tcPr>
          <w:p w14:paraId="7AD509A9"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Skin</w:t>
            </w:r>
          </w:p>
        </w:tc>
        <w:tc>
          <w:tcPr>
            <w:tcW w:w="2755" w:type="dxa"/>
            <w:vAlign w:val="bottom"/>
          </w:tcPr>
          <w:p w14:paraId="59E09BAB"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Human</w:t>
            </w:r>
          </w:p>
        </w:tc>
        <w:tc>
          <w:tcPr>
            <w:tcW w:w="1620" w:type="dxa"/>
            <w:vAlign w:val="bottom"/>
          </w:tcPr>
          <w:p w14:paraId="38434785" w14:textId="647C5E74"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8.0</w:t>
            </w:r>
            <w:r w:rsidRPr="003F481F">
              <w:rPr>
                <w:rFonts w:ascii="Calibri" w:eastAsia="Calibri" w:hAnsi="Calibri" w:cs="Calibri"/>
              </w:rPr>
              <w:t>e</w:t>
            </w:r>
            <w:r w:rsidRPr="003F481F">
              <w:rPr>
                <w:rFonts w:ascii="Calibri" w:eastAsia="Calibri" w:hAnsi="Calibri" w:cs="Calibri"/>
                <w:color w:val="000000"/>
              </w:rPr>
              <w:t>-</w:t>
            </w:r>
            <w:r w:rsidRPr="003F481F">
              <w:rPr>
                <w:rFonts w:ascii="Calibri" w:eastAsia="Calibri" w:hAnsi="Calibri" w:cs="Calibri"/>
              </w:rPr>
              <w:t>4</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{"citationID":"fptSLq0T","properties":{"formattedCitation":"\\super 3\\nosupersub{}","plainCitation":"3","noteIndex":0},"citationItems":[{"id":2351,"uris":["http://zotero.org/users/6119537/items/C8YI5DB4"],"itemData":{"id":2351,"type":"article-journal","abstract":"The results of measurements using an open-ended coaxial probe of the audio/radiofrequency dielectric properties of human skin in vivo, either dry or moistened with physiological saline, are reported. Permittivity and conductivity dispersion curves were parametrized by using a newly reported dispersion function (Raicu V 1999 Dielectric properties of biological matter: model combining Debye-type and ‘universal’ responses Phys. Rev. E 60 4677), and the results obtained are discussed in the light of the recent advances in this ﬁeld. It is suggested that the coaxial probe reports on the properties of the superﬁcial layer, the stratum corneum, when the skin surface is dry, whilst the signal from deeper skin layers becomes dominant after wetting the skin with conductive physiological saline.","container-title":"Physics in Medicine and Biology","DOI":"10.1088/0031-9155/45/2/101","ISSN":"0031-9155, 1361-6560","issue":"2","journalAbbreviation":"Phys. Med. Biol.","language":"en","page":"L1-L4","source":"DOI.org (Crossref)","title":"A quantitative approach to the dielectric properties of the skin","volume":"45","author":[{"family":"Raicu","given":"Valerica"},{"family":"Kitagawa","given":"Nobuko"},{"family":"Irimajiri","given":"Akihiko"}],"issued":{"date-parts":[["2000",2,1]]}}}],"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3</w:t>
            </w:r>
            <w:r>
              <w:rPr>
                <w:rFonts w:ascii="Calibri" w:eastAsia="Calibri" w:hAnsi="Calibri" w:cs="Calibri"/>
              </w:rPr>
              <w:fldChar w:fldCharType="end"/>
            </w:r>
          </w:p>
        </w:tc>
      </w:tr>
      <w:tr w:rsidR="003406C4" w:rsidRPr="003F481F" w14:paraId="701DA25B" w14:textId="77777777" w:rsidTr="003406C4">
        <w:tc>
          <w:tcPr>
            <w:tcW w:w="1560" w:type="dxa"/>
            <w:vAlign w:val="bottom"/>
          </w:tcPr>
          <w:p w14:paraId="2578F0BD"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Muscle</w:t>
            </w:r>
          </w:p>
        </w:tc>
        <w:tc>
          <w:tcPr>
            <w:tcW w:w="2755" w:type="dxa"/>
            <w:vAlign w:val="bottom"/>
          </w:tcPr>
          <w:p w14:paraId="2BB84DD1"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Bovine (parallel)</w:t>
            </w:r>
          </w:p>
        </w:tc>
        <w:tc>
          <w:tcPr>
            <w:tcW w:w="1620" w:type="dxa"/>
            <w:vAlign w:val="bottom"/>
          </w:tcPr>
          <w:p w14:paraId="5B769ACD" w14:textId="12406188"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2.6</w:t>
            </w:r>
            <w:r w:rsidRPr="003F481F">
              <w:rPr>
                <w:rFonts w:ascii="Calibri" w:eastAsia="Calibri" w:hAnsi="Calibri" w:cs="Calibri"/>
              </w:rPr>
              <w:t>e</w:t>
            </w:r>
            <w:r w:rsidRPr="003F481F">
              <w:rPr>
                <w:rFonts w:ascii="Calibri" w:eastAsia="Calibri" w:hAnsi="Calibri" w:cs="Calibri"/>
                <w:color w:val="000000"/>
              </w:rPr>
              <w:t>-1</w:t>
            </w:r>
            <w:r>
              <w:rPr>
                <w:rFonts w:ascii="Calibri" w:eastAsia="Calibri" w:hAnsi="Calibri" w:cs="Calibri"/>
                <w:color w:val="000000"/>
              </w:rPr>
              <w:t xml:space="preserve"> </w:t>
            </w:r>
            <w:r>
              <w:rPr>
                <w:rFonts w:ascii="Calibri" w:eastAsia="Calibri" w:hAnsi="Calibri" w:cs="Calibri"/>
                <w:color w:val="000000"/>
              </w:rPr>
              <w:fldChar w:fldCharType="begin"/>
            </w:r>
            <w:r>
              <w:rPr>
                <w:rFonts w:ascii="Calibri" w:eastAsia="Calibri" w:hAnsi="Calibri" w:cs="Calibri"/>
                <w:color w:val="000000"/>
              </w:rPr>
              <w:instrText xml:space="preserve"> ADDIN ZOTERO_ITEM CSL_CITATION {"citationID":"JaTSisOK","properties":{"formattedCitation":"\\super 2\\nosupersub{}","plainCitation":"2","noteIndex":0},"citationItems":[{"id":2398,"uris":["http://zotero.org/users/6119537/items/KAIVEWAB"],"itemData":{"id":2398,"type":"report","event-place":"Fort Belvoir, VA","language":"en","note":"DOI: 10.21236/ADA303903","publisher":"Defense Technical Information Center","publisher-place":"Fort Belvoir, VA","source":"DOI.org (Crossref)","title":"Compilation of the Dielectric Properties of Body Tissues at RF and Microwave Frequencies.:","title-short":"Compilation of the Dielectric Properties of Body Tissues at RF and Microwave Frequencies.","URL":"http://www.dtic.mil/docs/citations/ADA303903","author":[{"family":"Gabriel","given":"Camelia"}],"accessed":{"date-parts":[["2022",6,24]]},"issued":{"date-parts":[["1996",1,1]]}}}],"schema":"https://github.com/citation-style-language/schema/raw/master/csl-citation.json"} </w:instrText>
            </w:r>
            <w:r>
              <w:rPr>
                <w:rFonts w:ascii="Calibri" w:eastAsia="Calibri" w:hAnsi="Calibri" w:cs="Calibri"/>
                <w:color w:val="000000"/>
              </w:rPr>
              <w:fldChar w:fldCharType="separate"/>
            </w:r>
            <w:r w:rsidRPr="004D5AF6">
              <w:rPr>
                <w:rFonts w:ascii="Calibri" w:hAnsi="Calibri" w:cs="Calibri"/>
                <w:color w:val="000000"/>
                <w:vertAlign w:val="superscript"/>
              </w:rPr>
              <w:t>2</w:t>
            </w:r>
            <w:r>
              <w:rPr>
                <w:rFonts w:ascii="Calibri" w:eastAsia="Calibri" w:hAnsi="Calibri" w:cs="Calibri"/>
                <w:color w:val="000000"/>
              </w:rPr>
              <w:fldChar w:fldCharType="end"/>
            </w:r>
          </w:p>
        </w:tc>
      </w:tr>
      <w:tr w:rsidR="003406C4" w:rsidRPr="003F481F" w14:paraId="7FB550C0" w14:textId="77777777" w:rsidTr="003406C4">
        <w:tc>
          <w:tcPr>
            <w:tcW w:w="1560" w:type="dxa"/>
            <w:vAlign w:val="bottom"/>
          </w:tcPr>
          <w:p w14:paraId="3BEA6EE0"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Gel</w:t>
            </w:r>
          </w:p>
        </w:tc>
        <w:tc>
          <w:tcPr>
            <w:tcW w:w="2755" w:type="dxa"/>
            <w:vAlign w:val="bottom"/>
          </w:tcPr>
          <w:p w14:paraId="2BAC5DEB"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Hydrogel</w:t>
            </w:r>
          </w:p>
        </w:tc>
        <w:tc>
          <w:tcPr>
            <w:tcW w:w="1620" w:type="dxa"/>
            <w:vAlign w:val="center"/>
          </w:tcPr>
          <w:p w14:paraId="0AE148DF"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color w:val="000000"/>
              </w:rPr>
              <w:t>1.6</w:t>
            </w:r>
            <w:r w:rsidRPr="003F481F">
              <w:rPr>
                <w:rFonts w:ascii="Calibri" w:eastAsia="Calibri" w:hAnsi="Calibri" w:cs="Calibri"/>
              </w:rPr>
              <w:t>e</w:t>
            </w:r>
            <w:r w:rsidRPr="003F481F">
              <w:rPr>
                <w:rFonts w:ascii="Calibri" w:eastAsia="Calibri" w:hAnsi="Calibri" w:cs="Calibri"/>
                <w:color w:val="000000"/>
              </w:rPr>
              <w:t>-2</w:t>
            </w:r>
          </w:p>
        </w:tc>
      </w:tr>
    </w:tbl>
    <w:p w14:paraId="69E7C95D" w14:textId="77777777" w:rsidR="00C95408" w:rsidRPr="003F481F" w:rsidRDefault="00C95408" w:rsidP="00C95408">
      <w:pPr>
        <w:spacing w:line="360" w:lineRule="auto"/>
        <w:rPr>
          <w:rFonts w:ascii="Calibri" w:eastAsia="Calibri" w:hAnsi="Calibri" w:cs="Calibri"/>
          <w:b/>
        </w:rPr>
      </w:pPr>
    </w:p>
    <w:p w14:paraId="7C24D91C" w14:textId="4E243B92" w:rsidR="00C95408" w:rsidRPr="003F481F" w:rsidRDefault="00C95408" w:rsidP="00C95408">
      <w:pPr>
        <w:spacing w:line="360" w:lineRule="auto"/>
        <w:rPr>
          <w:rFonts w:ascii="Calibri" w:eastAsia="Calibri" w:hAnsi="Calibri" w:cs="Calibri"/>
        </w:rPr>
      </w:pPr>
      <w:r w:rsidRPr="003F481F">
        <w:rPr>
          <w:rFonts w:ascii="Calibri" w:eastAsia="Calibri" w:hAnsi="Calibri" w:cs="Calibri"/>
          <w:b/>
        </w:rPr>
        <w:t>Table 2:</w:t>
      </w:r>
      <w:r w:rsidRPr="003F481F">
        <w:rPr>
          <w:rFonts w:ascii="Calibri" w:eastAsia="Calibri" w:hAnsi="Calibri" w:cs="Calibri"/>
        </w:rPr>
        <w:t xml:space="preserve"> Conductivity of materials in sheep </w:t>
      </w:r>
      <w:r w:rsidR="00465DF6">
        <w:rPr>
          <w:rFonts w:ascii="Calibri" w:eastAsia="Calibri" w:hAnsi="Calibri" w:cs="Calibri"/>
        </w:rPr>
        <w:t xml:space="preserve">FEM </w:t>
      </w:r>
      <w:r w:rsidRPr="003F481F">
        <w:rPr>
          <w:rFonts w:ascii="Calibri" w:eastAsia="Calibri" w:hAnsi="Calibri" w:cs="Calibri"/>
        </w:rPr>
        <w:t>model</w:t>
      </w:r>
    </w:p>
    <w:tbl>
      <w:tblPr>
        <w:tblW w:w="6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60"/>
        <w:gridCol w:w="2755"/>
        <w:gridCol w:w="1710"/>
      </w:tblGrid>
      <w:tr w:rsidR="003406C4" w:rsidRPr="003F481F" w14:paraId="0271F671" w14:textId="77777777" w:rsidTr="003406C4">
        <w:tc>
          <w:tcPr>
            <w:tcW w:w="1560" w:type="dxa"/>
            <w:vAlign w:val="center"/>
          </w:tcPr>
          <w:p w14:paraId="2CAA0FB1" w14:textId="77777777" w:rsidR="003406C4" w:rsidRPr="003F481F" w:rsidRDefault="003406C4" w:rsidP="00065816">
            <w:pPr>
              <w:spacing w:line="360" w:lineRule="auto"/>
              <w:jc w:val="center"/>
              <w:rPr>
                <w:rFonts w:ascii="Calibri" w:eastAsia="Calibri" w:hAnsi="Calibri" w:cs="Calibri"/>
                <w:b/>
              </w:rPr>
            </w:pPr>
            <w:r w:rsidRPr="003F481F">
              <w:rPr>
                <w:rFonts w:ascii="Calibri" w:eastAsia="Calibri" w:hAnsi="Calibri" w:cs="Calibri"/>
                <w:b/>
              </w:rPr>
              <w:t>Material</w:t>
            </w:r>
          </w:p>
        </w:tc>
        <w:tc>
          <w:tcPr>
            <w:tcW w:w="2755" w:type="dxa"/>
            <w:vAlign w:val="center"/>
          </w:tcPr>
          <w:p w14:paraId="1328D158" w14:textId="77777777" w:rsidR="003406C4" w:rsidRPr="003F481F" w:rsidRDefault="003406C4" w:rsidP="00065816">
            <w:pPr>
              <w:spacing w:line="360" w:lineRule="auto"/>
              <w:jc w:val="center"/>
              <w:rPr>
                <w:rFonts w:ascii="Calibri" w:eastAsia="Calibri" w:hAnsi="Calibri" w:cs="Calibri"/>
                <w:b/>
              </w:rPr>
            </w:pPr>
            <w:r w:rsidRPr="003F481F">
              <w:rPr>
                <w:rFonts w:ascii="Calibri" w:eastAsia="Calibri" w:hAnsi="Calibri" w:cs="Calibri"/>
                <w:b/>
              </w:rPr>
              <w:t>Origin</w:t>
            </w:r>
          </w:p>
        </w:tc>
        <w:tc>
          <w:tcPr>
            <w:tcW w:w="1710" w:type="dxa"/>
            <w:vAlign w:val="center"/>
          </w:tcPr>
          <w:p w14:paraId="6A05FAC3" w14:textId="77777777" w:rsidR="003406C4" w:rsidRPr="003F481F" w:rsidRDefault="003406C4" w:rsidP="00065816">
            <w:pPr>
              <w:spacing w:line="360" w:lineRule="auto"/>
              <w:jc w:val="center"/>
              <w:rPr>
                <w:rFonts w:ascii="Calibri" w:eastAsia="Calibri" w:hAnsi="Calibri" w:cs="Calibri"/>
                <w:b/>
              </w:rPr>
            </w:pPr>
            <w:r w:rsidRPr="003F481F">
              <w:rPr>
                <w:rFonts w:ascii="Calibri" w:eastAsia="Calibri" w:hAnsi="Calibri" w:cs="Calibri"/>
                <w:b/>
              </w:rPr>
              <w:t>Conductivity (S/m)</w:t>
            </w:r>
          </w:p>
        </w:tc>
      </w:tr>
      <w:tr w:rsidR="003406C4" w:rsidRPr="003F481F" w14:paraId="261D5F5A" w14:textId="77777777" w:rsidTr="003406C4">
        <w:tc>
          <w:tcPr>
            <w:tcW w:w="1560" w:type="dxa"/>
            <w:vAlign w:val="center"/>
          </w:tcPr>
          <w:p w14:paraId="6907FA3B"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Cortical Bone</w:t>
            </w:r>
          </w:p>
        </w:tc>
        <w:tc>
          <w:tcPr>
            <w:tcW w:w="2755" w:type="dxa"/>
            <w:vAlign w:val="center"/>
          </w:tcPr>
          <w:p w14:paraId="72179794"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Bovine</w:t>
            </w:r>
          </w:p>
        </w:tc>
        <w:tc>
          <w:tcPr>
            <w:tcW w:w="1710" w:type="dxa"/>
            <w:vAlign w:val="center"/>
          </w:tcPr>
          <w:p w14:paraId="556BDD80" w14:textId="4AEA6CA2"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8.0e-3</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{"citationID":"KcwdnQ6V","properties":{"formattedCitation":"\\super 4\\nosupersub{}","plainCitation":"4","noteIndex":0},"citationItems":[{"id":175,"uris":["http://zotero.org/users/6119537/items/T9LXXXC4"],"itemData":{"id":175,"type":"article-journal","container-title":"Scientific Reports","DOI":"10.1038/s41598-018-26836-0","ISSN":"2045-2322","issue":"1","journalAbbreviation":"Sci Rep","language":"en","page":"8601","source":"DOI.org (Crossref)","title":"Characterization of the electrical conductivity of bone and its correlation to osseous structure","volume":"8","author":[{"family":"Balmer","given":"Thomas Wyss"},{"family":"Vesztergom","given":"Soma"},{"family":"Broekmann","given":"Peter"},{"family":"Stahel","given":"Andreas"},{"family":"Büchler","given":"Philippe"}],"issued":{"date-parts":[["2018",12]]}}}],"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4</w:t>
            </w:r>
            <w:r>
              <w:rPr>
                <w:rFonts w:ascii="Calibri" w:eastAsia="Calibri" w:hAnsi="Calibri" w:cs="Calibri"/>
              </w:rPr>
              <w:fldChar w:fldCharType="end"/>
            </w:r>
          </w:p>
        </w:tc>
      </w:tr>
      <w:tr w:rsidR="003406C4" w:rsidRPr="003F481F" w14:paraId="7111060D" w14:textId="77777777" w:rsidTr="003406C4">
        <w:tc>
          <w:tcPr>
            <w:tcW w:w="1560" w:type="dxa"/>
            <w:vAlign w:val="center"/>
          </w:tcPr>
          <w:p w14:paraId="4FDFD018"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Bone Marrow</w:t>
            </w:r>
          </w:p>
        </w:tc>
        <w:tc>
          <w:tcPr>
            <w:tcW w:w="2755" w:type="dxa"/>
            <w:vAlign w:val="center"/>
          </w:tcPr>
          <w:p w14:paraId="583EFEBC"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Bovine</w:t>
            </w:r>
          </w:p>
        </w:tc>
        <w:tc>
          <w:tcPr>
            <w:tcW w:w="1710" w:type="dxa"/>
            <w:vAlign w:val="center"/>
          </w:tcPr>
          <w:p w14:paraId="5FDB09BA" w14:textId="1E564E9B"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2.95e-3</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{"citationID":"8zm7GryP","properties":{"formattedCitation":"\\super 2\\nosupersub{}","plainCitation":"2","noteIndex":0},"citationItems":[{"id":2398,"uris":["http://zotero.org/users/6119537/items/KAIVEWAB"],"itemData":{"id":2398,"type":"report","event-place":"Fort Belvoir, VA","language":"en","note":"DOI: 10.21236/ADA303903","publisher":"Defense Technical Information Center","publisher-place":"Fort Belvoir, VA","source":"DOI.org (Crossref)","title":"Compilation of the Dielectric Properties of Body Tissues at RF and Microwave Frequencies.:","title-short":"Compilation of the Dielectric Properties of Body Tissues at RF and Microwave Frequencies.","URL":"http://www.dtic.mil/docs/citations/ADA303903","author":[{"family":"Gabriel","given":"Camelia"}],"accessed":{"date-parts":[["2022",6,24]]},"issued":{"date-parts":[["1996",1,1]]}}}],"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2</w:t>
            </w:r>
            <w:r>
              <w:rPr>
                <w:rFonts w:ascii="Calibri" w:eastAsia="Calibri" w:hAnsi="Calibri" w:cs="Calibri"/>
              </w:rPr>
              <w:fldChar w:fldCharType="end"/>
            </w:r>
          </w:p>
        </w:tc>
      </w:tr>
      <w:tr w:rsidR="003406C4" w:rsidRPr="003F481F" w14:paraId="720F0068" w14:textId="77777777" w:rsidTr="003406C4">
        <w:tc>
          <w:tcPr>
            <w:tcW w:w="1560" w:type="dxa"/>
            <w:vAlign w:val="center"/>
          </w:tcPr>
          <w:p w14:paraId="352206A0"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Fat</w:t>
            </w:r>
          </w:p>
        </w:tc>
        <w:tc>
          <w:tcPr>
            <w:tcW w:w="2755" w:type="dxa"/>
            <w:vAlign w:val="center"/>
          </w:tcPr>
          <w:p w14:paraId="75650329"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Bovine</w:t>
            </w:r>
          </w:p>
        </w:tc>
        <w:tc>
          <w:tcPr>
            <w:tcW w:w="1710" w:type="dxa"/>
            <w:vAlign w:val="center"/>
          </w:tcPr>
          <w:p w14:paraId="43461135" w14:textId="70125C49"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2.62e-2</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{"citationID":"JxXuUaOU","properties":{"formattedCitation":"\\super 2\\nosupersub{}","plainCitation":"2","noteIndex":0},"citationItems":[{"id":2398,"uris":["http://zotero.org/users/6119537/items/KAIVEWAB"],"itemData":{"id":2398,"type":"report","event-place":"Fort Belvoir, VA","language":"en","note":"DOI: 10.21236/ADA303903","publisher":"Defense Technical Information Center","publisher-place":"Fort Belvoir, VA","source":"DOI.org (Crossref)","title":"Compilation of the Dielectric Properties of Body Tissues at RF and Microwave Frequencies.:","title-short":"Compilation of the Dielectric Properties of Body Tissues at RF and Microwave Frequencies.","URL":"http://www.dtic.mil/docs/citations/ADA303903","author":[{"family":"Gabriel","given":"Camelia"}],"accessed":{"date-parts":[["2022",6,24]]},"issued":{"date-parts":[["1996",1,1]]}}}],"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2</w:t>
            </w:r>
            <w:r>
              <w:rPr>
                <w:rFonts w:ascii="Calibri" w:eastAsia="Calibri" w:hAnsi="Calibri" w:cs="Calibri"/>
              </w:rPr>
              <w:fldChar w:fldCharType="end"/>
            </w:r>
          </w:p>
        </w:tc>
      </w:tr>
      <w:tr w:rsidR="003406C4" w:rsidRPr="003F481F" w14:paraId="135C960B" w14:textId="77777777" w:rsidTr="003406C4">
        <w:tc>
          <w:tcPr>
            <w:tcW w:w="1560" w:type="dxa"/>
            <w:vAlign w:val="center"/>
          </w:tcPr>
          <w:p w14:paraId="448F9409"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Skin</w:t>
            </w:r>
          </w:p>
        </w:tc>
        <w:tc>
          <w:tcPr>
            <w:tcW w:w="2755" w:type="dxa"/>
            <w:vAlign w:val="center"/>
          </w:tcPr>
          <w:p w14:paraId="532EF9A8"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Human</w:t>
            </w:r>
          </w:p>
        </w:tc>
        <w:tc>
          <w:tcPr>
            <w:tcW w:w="1710" w:type="dxa"/>
            <w:vAlign w:val="center"/>
          </w:tcPr>
          <w:p w14:paraId="61624E24" w14:textId="0B6B3D68"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8.0e-4</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{"citationID":"bLUYN7dj","properties":{"formattedCitation":"\\super 3\\nosupersub{}","plainCitation":"3","noteIndex":0},"citationItems":[{"id":2351,"uris":["http://zotero.org/users/6119537/items/C8YI5DB4"],"itemData":{"id":2351,"type":"article-journal","abstract":"The results of measurements using an open-ended coaxial probe of the audio/radiofrequency dielectric properties of human skin in vivo, either dry or moistened with physiological saline, are reported. Permittivity and conductivity dispersion curves were parametrized by using a newly reported dispersion function (Raicu V 1999 Dielectric properties of biological matter: model combining Debye-type and ‘universal’ responses Phys. Rev. E 60 4677), and the results obtained are discussed in the light of the recent advances in this ﬁeld. It is suggested that the coaxial probe reports on the properties of the superﬁcial layer, the stratum corneum, when the skin surface is dry, whilst the signal from deeper skin layers becomes dominant after wetting the skin with conductive physiological saline.","container-title":"Physics in Medicine and Biology","DOI":"10.1088/0031-9155/45/2/101","ISSN":"0031-9155, 1361-6560","issue":"2","journalAbbreviation":"Phys. Med. Biol.","language":"en","page":"L1-L4","source":"DOI.org (Crossref)","title":"A quantitative approach to the dielectric properties of the skin","volume":"45","author":[{"family":"Raicu","given":"Valerica"},{"family":"Kitagawa","given":"Nobuko"},{"family":"Irimajiri","given":"Akihiko"}],"issued":{"date-parts":[["2000",2,1]]}}}],"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3</w:t>
            </w:r>
            <w:r>
              <w:rPr>
                <w:rFonts w:ascii="Calibri" w:eastAsia="Calibri" w:hAnsi="Calibri" w:cs="Calibri"/>
              </w:rPr>
              <w:fldChar w:fldCharType="end"/>
            </w:r>
          </w:p>
        </w:tc>
      </w:tr>
      <w:tr w:rsidR="003406C4" w:rsidRPr="003F481F" w14:paraId="6826524F" w14:textId="77777777" w:rsidTr="003406C4">
        <w:tc>
          <w:tcPr>
            <w:tcW w:w="1560" w:type="dxa"/>
            <w:vAlign w:val="center"/>
          </w:tcPr>
          <w:p w14:paraId="61F4EB1A"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Gel</w:t>
            </w:r>
          </w:p>
        </w:tc>
        <w:tc>
          <w:tcPr>
            <w:tcW w:w="2755" w:type="dxa"/>
            <w:vAlign w:val="center"/>
          </w:tcPr>
          <w:p w14:paraId="0BEC2CC0"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Hydrogel</w:t>
            </w:r>
          </w:p>
        </w:tc>
        <w:tc>
          <w:tcPr>
            <w:tcW w:w="1710" w:type="dxa"/>
            <w:vAlign w:val="center"/>
          </w:tcPr>
          <w:p w14:paraId="2D210E17"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1.6e-2</w:t>
            </w:r>
          </w:p>
        </w:tc>
      </w:tr>
      <w:tr w:rsidR="003406C4" w:rsidRPr="003F481F" w14:paraId="744E2D20" w14:textId="77777777" w:rsidTr="003406C4">
        <w:tc>
          <w:tcPr>
            <w:tcW w:w="1560" w:type="dxa"/>
            <w:vAlign w:val="center"/>
          </w:tcPr>
          <w:p w14:paraId="21308541"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Extracellular fluid</w:t>
            </w:r>
          </w:p>
        </w:tc>
        <w:tc>
          <w:tcPr>
            <w:tcW w:w="2755" w:type="dxa"/>
            <w:vAlign w:val="center"/>
          </w:tcPr>
          <w:p w14:paraId="5D74DF4F"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Human (heart)</w:t>
            </w:r>
          </w:p>
        </w:tc>
        <w:tc>
          <w:tcPr>
            <w:tcW w:w="1710" w:type="dxa"/>
            <w:vAlign w:val="center"/>
          </w:tcPr>
          <w:p w14:paraId="2B3A3D4B" w14:textId="2C1F6D03"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6.67e-1</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{"citationID":"YbHedwoj","properties":{"formattedCitation":"\\super 5\\nosupersub{}","plainCitation":"5","noteIndex":0},"citationItems":[{"id":174,"uris":["http://zotero.org/users/6119537/items/KBCFI9KU"],"itemData":{"id":174,"type":"article-journal","container-title":"Circulation Research","DOI":"10.1161/01.RES.45.2.188","ISSN":"0009-7330, 1524-4571","issue":"2","journalAbbreviation":"Circ Res","language":"en","page":"188-204","source":"DOI.org (Crossref)","title":"Extracellular potentials related to intracellular action potentials during impulse conduction in anisotropic canine cardiac muscle.","volume":"45","author":[{"family":"Spach","given":"M S"},{"family":"Miller","given":"W T"},{"family":"Miller-Jones","given":"E"},{"family":"Warren","given":"R B"},{"family":"Barr","given":"R C"}],"issued":{"date-parts":[["1979",8]]}}}],"schema":"https://github.com/citation-style-language/schema/raw/master/csl-citation.json"}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5</w:t>
            </w:r>
            <w:r>
              <w:rPr>
                <w:rFonts w:ascii="Calibri" w:eastAsia="Calibri" w:hAnsi="Calibri" w:cs="Calibri"/>
              </w:rPr>
              <w:fldChar w:fldCharType="end"/>
            </w:r>
          </w:p>
        </w:tc>
      </w:tr>
      <w:tr w:rsidR="003406C4" w:rsidRPr="003F481F" w14:paraId="0A540C24" w14:textId="77777777" w:rsidTr="003406C4">
        <w:tc>
          <w:tcPr>
            <w:tcW w:w="1560" w:type="dxa"/>
            <w:vAlign w:val="center"/>
          </w:tcPr>
          <w:p w14:paraId="76261E61"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Hematoma</w:t>
            </w:r>
          </w:p>
        </w:tc>
        <w:tc>
          <w:tcPr>
            <w:tcW w:w="2755" w:type="dxa"/>
            <w:vAlign w:val="center"/>
          </w:tcPr>
          <w:p w14:paraId="2F6875E3"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Human (brain)</w:t>
            </w:r>
          </w:p>
        </w:tc>
        <w:tc>
          <w:tcPr>
            <w:tcW w:w="1710" w:type="dxa"/>
            <w:vAlign w:val="center"/>
          </w:tcPr>
          <w:p w14:paraId="0F13EC11" w14:textId="4CA5E8B3"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2.0</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{"citationID":"j7xCrXFV","properties":{"formattedCitation":"\\super 6\\nosupersub{}","plainCitation":"6","noteIndex":0},"citationItems":[{"id":2401,"uris":["http://zotero.org/users/6119537/items/W2PKGEJI"],"itemData":{"id":2401,"type":"article-journal","abstract":"Magnetic induction tomography (MIT) is a non-invasive modality for imaging the complex conductivity (σ) or the magnetic permeability (μ) of a target under investigation. The critical issue in the clinical application of the detection of cerebral hemorrhage is the determination of intracranial hematoma status, including the location and volume of intracranial hematoma. In MIT, the reconstruction image is used to reflect intracranial hematoma. However, in medical applications where high resolutions are sought, image reconstruction is a time- and memory-consuming task because the associated inverse problem is nonlinear and illposed. The reconstruction image is the result of a series of calculations on the boundary detection value, and the color of the reconstructed image is the relative value. To quantitatively and faster represent intracranial hematoma and to provide a variety of characterization methods for MIT dynamic monitoring, one-dimensional quantitative indicators are established. Our experiment results indicate that there is a linear relationship between one-dimensional quantitative indicators. The change of the detection value can roughly determine the location of the hematoma.","container-title":"Medical &amp; Biological Engineering &amp; Computing","DOI":"10.1007/s11517-019-02114-7","ISSN":"0140-0118, 1741-0444","issue":"4","journalAbbreviation":"Med Biol Eng Comput","language":"en","page":"857-869","source":"DOI.org (Crossref)","title":"A bio-impedance quantitative method based on magnetic induction tomography for intracranial hematoma","volume":"58","author":[{"family":"Ke","given":"Li"},{"family":"Zu","given":"Wanni"},{"family":"Du","given":"Qiang"},{"family":"Chen","given":"Jia"},{"family":"Ding","given":"Xiaodi"}],"issued":{"date-parts":[["2020",4]]}}}],"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6</w:t>
            </w:r>
            <w:r>
              <w:rPr>
                <w:rFonts w:ascii="Calibri" w:eastAsia="Calibri" w:hAnsi="Calibri" w:cs="Calibri"/>
              </w:rPr>
              <w:fldChar w:fldCharType="end"/>
            </w:r>
          </w:p>
        </w:tc>
      </w:tr>
      <w:tr w:rsidR="003406C4" w:rsidRPr="003F481F" w14:paraId="444E1207" w14:textId="77777777" w:rsidTr="003406C4">
        <w:tc>
          <w:tcPr>
            <w:tcW w:w="1560" w:type="dxa"/>
            <w:vAlign w:val="center"/>
          </w:tcPr>
          <w:p w14:paraId="55626AE3"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Articular cartilage</w:t>
            </w:r>
          </w:p>
        </w:tc>
        <w:tc>
          <w:tcPr>
            <w:tcW w:w="2755" w:type="dxa"/>
            <w:vAlign w:val="center"/>
          </w:tcPr>
          <w:p w14:paraId="3BAB6DF1"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Bovine</w:t>
            </w:r>
          </w:p>
        </w:tc>
        <w:tc>
          <w:tcPr>
            <w:tcW w:w="1710" w:type="dxa"/>
            <w:vAlign w:val="center"/>
          </w:tcPr>
          <w:p w14:paraId="7BBE0837" w14:textId="13DD085A"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8.8e-1</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{"citationID":"Cdb6JU21","properties":{"formattedCitation":"\\super 7\\nosupersub{}","plainCitation":"7","noteIndex":0},"citationItems":[{"id":2397,"uris":["http://zotero.org/users/6119537/items/YV3BCRKV"],"itemData":{"id":2397,"type":"article-journal","abstract":"A tetrapolar method to measure electrical conductivity of cartilage and bone, and to estimate the thickness of articular cartilage attached to bone, was developed. We determined the electrical conductivity of humeral head bovine articular cartilage and subchondral bone from a 1- to 2-year-old steer to be 1.14±0.11S/m(mean±sd,n=11) and 0.306±0.034S/m,(mean±sd,n=3), respectively. For a 4-year-old cow, articular cartilage and subchondral bone electrical conductivity were 0.88±0.08S/m(mean±sd,n=9) and 0.179±0.046S/m(mean±sd,n=3), respectively. Measurements on slices of cartilage taken from different distances from the articular surface of the steer did not reveal significant depth-dependence of electrical conductivity. We were able to estimate the thickness of articular cartilage with reasonable precision (&lt;20% error) by injecting current from multiple electrode pairs with different inter-electrode distances. Requirements for the precision of this method to measure cartilage thickness include the presence of a distinct layer of calcified cartilage or bone with a much lower electrical conductivity than that of uncalcified articular cartilage, and the use of inter-electrode distances of the current injecting electrodes that are on the order of the cartilage thickness. These or similar methods present an attractive approach to the non-destructive determination of cartilage thickness, a parameter that is required in order to estimate functional properties of cartilage attached to bone, and evaluate the need for therapeutic interventions in arthritis.","container-title":"Journal of Biomechanical Engineering","DOI":"10.1115/1.1785805","ISSN":"0148-0731, 1528-8951","issue":"4","language":"en","page":"475-484","source":"DOI.org (Crossref)","title":"Tetrapolar Measurement of Electrical Conductivity and Thickness of Articular Cartilage","volume":"126","author":[{"family":"Binette","given":"J. S."},{"family":"Garon","given":"M."},{"family":"Savard","given":"P."},{"family":"McKee","given":"M. D."},{"family":"Buschmann","given":"M. D."}],"issued":{"date-parts":[["2004",8,1]]}}}],"schema":"https://github.com/citation-style-language/schema/raw/master/csl-citation.json"}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7</w:t>
            </w:r>
            <w:r>
              <w:rPr>
                <w:rFonts w:ascii="Calibri" w:eastAsia="Calibri" w:hAnsi="Calibri" w:cs="Calibri"/>
              </w:rPr>
              <w:fldChar w:fldCharType="end"/>
            </w:r>
          </w:p>
        </w:tc>
      </w:tr>
      <w:tr w:rsidR="003406C4" w:rsidRPr="003F481F" w14:paraId="5DF1ABB8" w14:textId="77777777" w:rsidTr="003406C4">
        <w:tc>
          <w:tcPr>
            <w:tcW w:w="1560" w:type="dxa"/>
            <w:vAlign w:val="center"/>
          </w:tcPr>
          <w:p w14:paraId="02166DB0"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Collagen</w:t>
            </w:r>
          </w:p>
        </w:tc>
        <w:tc>
          <w:tcPr>
            <w:tcW w:w="2755" w:type="dxa"/>
            <w:vAlign w:val="center"/>
          </w:tcPr>
          <w:p w14:paraId="317AB5EE" w14:textId="77777777"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Bovine (</w:t>
            </w:r>
            <w:proofErr w:type="spellStart"/>
            <w:r w:rsidRPr="003F481F">
              <w:rPr>
                <w:rFonts w:ascii="Calibri" w:eastAsia="Calibri" w:hAnsi="Calibri" w:cs="Calibri"/>
              </w:rPr>
              <w:t>achilles</w:t>
            </w:r>
            <w:proofErr w:type="spellEnd"/>
            <w:r w:rsidRPr="003F481F">
              <w:rPr>
                <w:rFonts w:ascii="Calibri" w:eastAsia="Calibri" w:hAnsi="Calibri" w:cs="Calibri"/>
              </w:rPr>
              <w:t xml:space="preserve"> tendon)</w:t>
            </w:r>
          </w:p>
        </w:tc>
        <w:tc>
          <w:tcPr>
            <w:tcW w:w="1710" w:type="dxa"/>
            <w:vAlign w:val="center"/>
          </w:tcPr>
          <w:p w14:paraId="2A74CD38" w14:textId="219618B3" w:rsidR="003406C4" w:rsidRPr="003F481F" w:rsidRDefault="003406C4" w:rsidP="00065816">
            <w:pPr>
              <w:spacing w:line="360" w:lineRule="auto"/>
              <w:jc w:val="center"/>
              <w:rPr>
                <w:rFonts w:ascii="Calibri" w:eastAsia="Calibri" w:hAnsi="Calibri" w:cs="Calibri"/>
              </w:rPr>
            </w:pPr>
            <w:r w:rsidRPr="003F481F">
              <w:rPr>
                <w:rFonts w:ascii="Calibri" w:eastAsia="Calibri" w:hAnsi="Calibri" w:cs="Calibri"/>
              </w:rPr>
              <w:t>2e-3</w:t>
            </w:r>
            <w:r>
              <w:rPr>
                <w:rFonts w:ascii="Calibri" w:eastAsia="Calibri" w:hAnsi="Calibri" w:cs="Calibri"/>
              </w:rPr>
              <w:t xml:space="preserve"> </w:t>
            </w:r>
            <w:r>
              <w:rPr>
                <w:rFonts w:ascii="Calibri" w:eastAsia="Calibri" w:hAnsi="Calibri" w:cs="Calibri"/>
              </w:rPr>
              <w:fldChar w:fldCharType="begin"/>
            </w:r>
            <w:r>
              <w:rPr>
                <w:rFonts w:ascii="Calibri" w:eastAsia="Calibri" w:hAnsi="Calibri" w:cs="Calibri"/>
              </w:rPr>
              <w:instrText xml:space="preserve"> ADDIN ZOTERO_ITEM CSL_CITATION {"citationID":"KYp8TThY","properties":{"formattedCitation":"\\super 8\\nosupersub{}","plainCitation":"8","noteIndex":0},"citationItems":[{"id":2399,"uris":["http://zotero.org/users/6119537/items/C2KLC5M4"],"itemData":{"id":2399,"type":"article-journal","container-title":"Biopolymers","DOI":"10.1002/bip.1973.360121008","ISSN":"0006-3525, 1097-0282","issue":"10","journalAbbreviation":"Biopolymers","language":"en","page":"2289-2302","source":"DOI.org (Crossref)","title":"Electrical conduction in hydrated collagen. I. Conductivity mechanisms","volume":"12","author":[{"family":"Bardelmeyer","given":"G. H."}],"issued":{"date-parts":[["1973",10]]}}}],"schema":"https://github.com/citation-style-language/schema/raw/master/csl-citation.json"} </w:instrText>
            </w:r>
            <w:r>
              <w:rPr>
                <w:rFonts w:ascii="Calibri" w:eastAsia="Calibri" w:hAnsi="Calibri" w:cs="Calibri"/>
              </w:rPr>
              <w:fldChar w:fldCharType="separate"/>
            </w:r>
            <w:r w:rsidRPr="004D5AF6">
              <w:rPr>
                <w:rFonts w:ascii="Calibri" w:hAnsi="Calibri" w:cs="Calibri"/>
                <w:vertAlign w:val="superscript"/>
              </w:rPr>
              <w:t>8</w:t>
            </w:r>
            <w:r>
              <w:rPr>
                <w:rFonts w:ascii="Calibri" w:eastAsia="Calibri" w:hAnsi="Calibri" w:cs="Calibri"/>
              </w:rPr>
              <w:fldChar w:fldCharType="end"/>
            </w:r>
          </w:p>
        </w:tc>
      </w:tr>
    </w:tbl>
    <w:p w14:paraId="5DB2A679" w14:textId="1A4E368F" w:rsidR="00140B73" w:rsidRDefault="00140B73" w:rsidP="004D5AF6">
      <w:pPr>
        <w:spacing w:after="120"/>
        <w:rPr>
          <w:rFonts w:ascii="Calibri" w:hAnsi="Calibri" w:cs="Calibri"/>
          <w:b/>
          <w:bCs/>
        </w:rPr>
      </w:pPr>
    </w:p>
    <w:p w14:paraId="4386D794" w14:textId="77777777" w:rsidR="004D5AF6" w:rsidRDefault="004D5AF6">
      <w:pPr>
        <w:rPr>
          <w:rFonts w:ascii="Calibri" w:hAnsi="Calibri" w:cs="Calibri"/>
          <w:b/>
          <w:bCs/>
        </w:rPr>
      </w:pPr>
      <w:r>
        <w:rPr>
          <w:rFonts w:ascii="Calibri" w:hAnsi="Calibri" w:cs="Calibri"/>
          <w:b/>
          <w:bCs/>
        </w:rPr>
        <w:br w:type="page"/>
      </w:r>
    </w:p>
    <w:p w14:paraId="458FCB6A" w14:textId="4D25F077" w:rsidR="004D5AF6" w:rsidRPr="004D5AF6" w:rsidRDefault="004D5AF6" w:rsidP="00147CC0">
      <w:pPr>
        <w:pStyle w:val="Heading1"/>
        <w:rPr>
          <w:sz w:val="24"/>
          <w:szCs w:val="24"/>
        </w:rPr>
      </w:pPr>
      <w:r w:rsidRPr="004D5AF6">
        <w:lastRenderedPageBreak/>
        <w:t>Supplementary Material References</w:t>
      </w:r>
    </w:p>
    <w:p w14:paraId="05D2B613" w14:textId="77777777" w:rsidR="00147CC0" w:rsidRDefault="00147CC0" w:rsidP="004D5AF6">
      <w:pPr>
        <w:pStyle w:val="Bibliography"/>
        <w:spacing w:after="120" w:line="240" w:lineRule="auto"/>
        <w:rPr>
          <w:rFonts w:ascii="Calibri" w:hAnsi="Calibri" w:cs="Calibri"/>
        </w:rPr>
      </w:pPr>
    </w:p>
    <w:p w14:paraId="303EDECD" w14:textId="4CFC4AE9" w:rsidR="004D5AF6" w:rsidRPr="004D5AF6" w:rsidRDefault="004D5AF6" w:rsidP="004D5AF6">
      <w:pPr>
        <w:pStyle w:val="Bibliography"/>
        <w:spacing w:after="120" w:line="240" w:lineRule="auto"/>
        <w:rPr>
          <w:rFonts w:ascii="Calibri" w:hAnsi="Calibri" w:cs="Calibri"/>
        </w:rPr>
      </w:pPr>
      <w:r>
        <w:rPr>
          <w:rFonts w:ascii="Calibri" w:hAnsi="Calibri" w:cs="Calibri"/>
        </w:rPr>
        <w:fldChar w:fldCharType="begin"/>
      </w:r>
      <w:r>
        <w:rPr>
          <w:rFonts w:ascii="Calibri" w:hAnsi="Calibri" w:cs="Calibri"/>
        </w:rPr>
        <w:instrText xml:space="preserve"> ADDIN ZOTERO_BIBL {"uncited":[],"omitted":[],"custom":[]} CSL_BIBLIOGRAPHY </w:instrText>
      </w:r>
      <w:r>
        <w:rPr>
          <w:rFonts w:ascii="Calibri" w:hAnsi="Calibri" w:cs="Calibri"/>
        </w:rPr>
        <w:fldChar w:fldCharType="separate"/>
      </w:r>
      <w:r w:rsidRPr="004D5AF6">
        <w:rPr>
          <w:rFonts w:ascii="Calibri" w:hAnsi="Calibri" w:cs="Calibri"/>
        </w:rPr>
        <w:t>1.</w:t>
      </w:r>
      <w:r w:rsidRPr="004D5AF6">
        <w:rPr>
          <w:rFonts w:ascii="Calibri" w:hAnsi="Calibri" w:cs="Calibri"/>
        </w:rPr>
        <w:tab/>
        <w:t xml:space="preserve">Kosterich, J. D., Foster, K. R. &amp; Pollack, S. R. Dielectric Permittivity and Electrical Conductivity of Fluid Saturated Bone. </w:t>
      </w:r>
      <w:r w:rsidRPr="004D5AF6">
        <w:rPr>
          <w:rFonts w:ascii="Calibri" w:hAnsi="Calibri" w:cs="Calibri"/>
          <w:i/>
          <w:iCs/>
        </w:rPr>
        <w:t>IEEE Trans. Biomed. Eng.</w:t>
      </w:r>
      <w:r w:rsidRPr="004D5AF6">
        <w:rPr>
          <w:rFonts w:ascii="Calibri" w:hAnsi="Calibri" w:cs="Calibri"/>
        </w:rPr>
        <w:t xml:space="preserve"> </w:t>
      </w:r>
      <w:r w:rsidRPr="004D5AF6">
        <w:rPr>
          <w:rFonts w:ascii="Calibri" w:hAnsi="Calibri" w:cs="Calibri"/>
          <w:b/>
          <w:bCs/>
        </w:rPr>
        <w:t>BME-30</w:t>
      </w:r>
      <w:r w:rsidRPr="004D5AF6">
        <w:rPr>
          <w:rFonts w:ascii="Calibri" w:hAnsi="Calibri" w:cs="Calibri"/>
        </w:rPr>
        <w:t>, 81–86 (1983).</w:t>
      </w:r>
    </w:p>
    <w:p w14:paraId="76F63CCE" w14:textId="77777777" w:rsidR="004D5AF6" w:rsidRPr="004D5AF6" w:rsidRDefault="004D5AF6" w:rsidP="004D5AF6">
      <w:pPr>
        <w:pStyle w:val="Bibliography"/>
        <w:spacing w:after="120" w:line="240" w:lineRule="auto"/>
        <w:rPr>
          <w:rFonts w:ascii="Calibri" w:hAnsi="Calibri" w:cs="Calibri"/>
        </w:rPr>
      </w:pPr>
      <w:r w:rsidRPr="004D5AF6">
        <w:rPr>
          <w:rFonts w:ascii="Calibri" w:hAnsi="Calibri" w:cs="Calibri"/>
        </w:rPr>
        <w:t>2.</w:t>
      </w:r>
      <w:r w:rsidRPr="004D5AF6">
        <w:rPr>
          <w:rFonts w:ascii="Calibri" w:hAnsi="Calibri" w:cs="Calibri"/>
        </w:rPr>
        <w:tab/>
        <w:t xml:space="preserve">Gabriel, C. </w:t>
      </w:r>
      <w:r w:rsidRPr="004D5AF6">
        <w:rPr>
          <w:rFonts w:ascii="Calibri" w:hAnsi="Calibri" w:cs="Calibri"/>
          <w:i/>
          <w:iCs/>
        </w:rPr>
        <w:t>Compilation of the Dielectric Properties of Body Tissues at RF and Microwave Frequencies.:</w:t>
      </w:r>
      <w:r w:rsidRPr="004D5AF6">
        <w:rPr>
          <w:rFonts w:ascii="Calibri" w:hAnsi="Calibri" w:cs="Calibri"/>
        </w:rPr>
        <w:t xml:space="preserve"> http://www.dtic.mil/docs/citations/ADA303903 (1996) doi:10.21236/ADA303903.</w:t>
      </w:r>
    </w:p>
    <w:p w14:paraId="5F879EF9" w14:textId="77777777" w:rsidR="004D5AF6" w:rsidRPr="004D5AF6" w:rsidRDefault="004D5AF6" w:rsidP="004D5AF6">
      <w:pPr>
        <w:pStyle w:val="Bibliography"/>
        <w:spacing w:after="120" w:line="240" w:lineRule="auto"/>
        <w:rPr>
          <w:rFonts w:ascii="Calibri" w:hAnsi="Calibri" w:cs="Calibri"/>
        </w:rPr>
      </w:pPr>
      <w:r w:rsidRPr="004D5AF6">
        <w:rPr>
          <w:rFonts w:ascii="Calibri" w:hAnsi="Calibri" w:cs="Calibri"/>
        </w:rPr>
        <w:t>3.</w:t>
      </w:r>
      <w:r w:rsidRPr="004D5AF6">
        <w:rPr>
          <w:rFonts w:ascii="Calibri" w:hAnsi="Calibri" w:cs="Calibri"/>
        </w:rPr>
        <w:tab/>
        <w:t xml:space="preserve">Raicu, V., Kitagawa, N. &amp; Irimajiri, A. A quantitative approach to the dielectric properties of the skin. </w:t>
      </w:r>
      <w:r w:rsidRPr="004D5AF6">
        <w:rPr>
          <w:rFonts w:ascii="Calibri" w:hAnsi="Calibri" w:cs="Calibri"/>
          <w:i/>
          <w:iCs/>
        </w:rPr>
        <w:t>Phys. Med. Biol.</w:t>
      </w:r>
      <w:r w:rsidRPr="004D5AF6">
        <w:rPr>
          <w:rFonts w:ascii="Calibri" w:hAnsi="Calibri" w:cs="Calibri"/>
        </w:rPr>
        <w:t xml:space="preserve"> </w:t>
      </w:r>
      <w:r w:rsidRPr="004D5AF6">
        <w:rPr>
          <w:rFonts w:ascii="Calibri" w:hAnsi="Calibri" w:cs="Calibri"/>
          <w:b/>
          <w:bCs/>
        </w:rPr>
        <w:t>45</w:t>
      </w:r>
      <w:r w:rsidRPr="004D5AF6">
        <w:rPr>
          <w:rFonts w:ascii="Calibri" w:hAnsi="Calibri" w:cs="Calibri"/>
        </w:rPr>
        <w:t>, L1–L4 (2000).</w:t>
      </w:r>
    </w:p>
    <w:p w14:paraId="70EAA546" w14:textId="77777777" w:rsidR="004D5AF6" w:rsidRPr="004D5AF6" w:rsidRDefault="004D5AF6" w:rsidP="004D5AF6">
      <w:pPr>
        <w:pStyle w:val="Bibliography"/>
        <w:spacing w:after="120" w:line="240" w:lineRule="auto"/>
        <w:rPr>
          <w:rFonts w:ascii="Calibri" w:hAnsi="Calibri" w:cs="Calibri"/>
        </w:rPr>
      </w:pPr>
      <w:r w:rsidRPr="004D5AF6">
        <w:rPr>
          <w:rFonts w:ascii="Calibri" w:hAnsi="Calibri" w:cs="Calibri"/>
        </w:rPr>
        <w:t>4.</w:t>
      </w:r>
      <w:r w:rsidRPr="004D5AF6">
        <w:rPr>
          <w:rFonts w:ascii="Calibri" w:hAnsi="Calibri" w:cs="Calibri"/>
        </w:rPr>
        <w:tab/>
        <w:t xml:space="preserve">Balmer, T. W., Vesztergom, S., Broekmann, P., Stahel, A. &amp; Büchler, P. Characterization of the electrical conductivity of bone and its correlation to osseous structure. </w:t>
      </w:r>
      <w:r w:rsidRPr="004D5AF6">
        <w:rPr>
          <w:rFonts w:ascii="Calibri" w:hAnsi="Calibri" w:cs="Calibri"/>
          <w:i/>
          <w:iCs/>
        </w:rPr>
        <w:t>Sci. Rep.</w:t>
      </w:r>
      <w:r w:rsidRPr="004D5AF6">
        <w:rPr>
          <w:rFonts w:ascii="Calibri" w:hAnsi="Calibri" w:cs="Calibri"/>
        </w:rPr>
        <w:t xml:space="preserve"> </w:t>
      </w:r>
      <w:r w:rsidRPr="004D5AF6">
        <w:rPr>
          <w:rFonts w:ascii="Calibri" w:hAnsi="Calibri" w:cs="Calibri"/>
          <w:b/>
          <w:bCs/>
        </w:rPr>
        <w:t>8</w:t>
      </w:r>
      <w:r w:rsidRPr="004D5AF6">
        <w:rPr>
          <w:rFonts w:ascii="Calibri" w:hAnsi="Calibri" w:cs="Calibri"/>
        </w:rPr>
        <w:t>, 8601 (2018).</w:t>
      </w:r>
    </w:p>
    <w:p w14:paraId="74D36111" w14:textId="77777777" w:rsidR="004D5AF6" w:rsidRPr="004D5AF6" w:rsidRDefault="004D5AF6" w:rsidP="004D5AF6">
      <w:pPr>
        <w:pStyle w:val="Bibliography"/>
        <w:spacing w:after="120" w:line="240" w:lineRule="auto"/>
        <w:rPr>
          <w:rFonts w:ascii="Calibri" w:hAnsi="Calibri" w:cs="Calibri"/>
        </w:rPr>
      </w:pPr>
      <w:r w:rsidRPr="004D5AF6">
        <w:rPr>
          <w:rFonts w:ascii="Calibri" w:hAnsi="Calibri" w:cs="Calibri"/>
        </w:rPr>
        <w:t>5.</w:t>
      </w:r>
      <w:r w:rsidRPr="004D5AF6">
        <w:rPr>
          <w:rFonts w:ascii="Calibri" w:hAnsi="Calibri" w:cs="Calibri"/>
        </w:rPr>
        <w:tab/>
        <w:t xml:space="preserve">Spach, M. S., Miller, W. T., Miller-Jones, E., Warren, R. B. &amp; Barr, R. C. Extracellular potentials related to intracellular action potentials during impulse conduction in anisotropic canine cardiac muscle. </w:t>
      </w:r>
      <w:r w:rsidRPr="004D5AF6">
        <w:rPr>
          <w:rFonts w:ascii="Calibri" w:hAnsi="Calibri" w:cs="Calibri"/>
          <w:i/>
          <w:iCs/>
        </w:rPr>
        <w:t>Circ. Res.</w:t>
      </w:r>
      <w:r w:rsidRPr="004D5AF6">
        <w:rPr>
          <w:rFonts w:ascii="Calibri" w:hAnsi="Calibri" w:cs="Calibri"/>
        </w:rPr>
        <w:t xml:space="preserve"> </w:t>
      </w:r>
      <w:r w:rsidRPr="004D5AF6">
        <w:rPr>
          <w:rFonts w:ascii="Calibri" w:hAnsi="Calibri" w:cs="Calibri"/>
          <w:b/>
          <w:bCs/>
        </w:rPr>
        <w:t>45</w:t>
      </w:r>
      <w:r w:rsidRPr="004D5AF6">
        <w:rPr>
          <w:rFonts w:ascii="Calibri" w:hAnsi="Calibri" w:cs="Calibri"/>
        </w:rPr>
        <w:t>, 188–204 (1979).</w:t>
      </w:r>
    </w:p>
    <w:p w14:paraId="6C3FC614" w14:textId="77777777" w:rsidR="004D5AF6" w:rsidRPr="004D5AF6" w:rsidRDefault="004D5AF6" w:rsidP="004D5AF6">
      <w:pPr>
        <w:pStyle w:val="Bibliography"/>
        <w:spacing w:after="120" w:line="240" w:lineRule="auto"/>
        <w:rPr>
          <w:rFonts w:ascii="Calibri" w:hAnsi="Calibri" w:cs="Calibri"/>
        </w:rPr>
      </w:pPr>
      <w:r w:rsidRPr="004D5AF6">
        <w:rPr>
          <w:rFonts w:ascii="Calibri" w:hAnsi="Calibri" w:cs="Calibri"/>
        </w:rPr>
        <w:t>6.</w:t>
      </w:r>
      <w:r w:rsidRPr="004D5AF6">
        <w:rPr>
          <w:rFonts w:ascii="Calibri" w:hAnsi="Calibri" w:cs="Calibri"/>
        </w:rPr>
        <w:tab/>
        <w:t xml:space="preserve">Ke, L., Zu, W., Du, Q., Chen, J. &amp; Ding, X. A bio-impedance quantitative method based on magnetic induction tomography for intracranial hematoma. </w:t>
      </w:r>
      <w:r w:rsidRPr="004D5AF6">
        <w:rPr>
          <w:rFonts w:ascii="Calibri" w:hAnsi="Calibri" w:cs="Calibri"/>
          <w:i/>
          <w:iCs/>
        </w:rPr>
        <w:t>Med. Biol. Eng. Comput.</w:t>
      </w:r>
      <w:r w:rsidRPr="004D5AF6">
        <w:rPr>
          <w:rFonts w:ascii="Calibri" w:hAnsi="Calibri" w:cs="Calibri"/>
        </w:rPr>
        <w:t xml:space="preserve"> </w:t>
      </w:r>
      <w:r w:rsidRPr="004D5AF6">
        <w:rPr>
          <w:rFonts w:ascii="Calibri" w:hAnsi="Calibri" w:cs="Calibri"/>
          <w:b/>
          <w:bCs/>
        </w:rPr>
        <w:t>58</w:t>
      </w:r>
      <w:r w:rsidRPr="004D5AF6">
        <w:rPr>
          <w:rFonts w:ascii="Calibri" w:hAnsi="Calibri" w:cs="Calibri"/>
        </w:rPr>
        <w:t>, 857–869 (2020).</w:t>
      </w:r>
    </w:p>
    <w:p w14:paraId="659EE5AC" w14:textId="77777777" w:rsidR="004D5AF6" w:rsidRPr="004D5AF6" w:rsidRDefault="004D5AF6" w:rsidP="004D5AF6">
      <w:pPr>
        <w:pStyle w:val="Bibliography"/>
        <w:spacing w:after="120" w:line="240" w:lineRule="auto"/>
        <w:rPr>
          <w:rFonts w:ascii="Calibri" w:hAnsi="Calibri" w:cs="Calibri"/>
        </w:rPr>
      </w:pPr>
      <w:r w:rsidRPr="004D5AF6">
        <w:rPr>
          <w:rFonts w:ascii="Calibri" w:hAnsi="Calibri" w:cs="Calibri"/>
        </w:rPr>
        <w:t>7.</w:t>
      </w:r>
      <w:r w:rsidRPr="004D5AF6">
        <w:rPr>
          <w:rFonts w:ascii="Calibri" w:hAnsi="Calibri" w:cs="Calibri"/>
        </w:rPr>
        <w:tab/>
        <w:t xml:space="preserve">Binette, J. S., Garon, M., Savard, P., McKee, M. D. &amp; Buschmann, M. D. Tetrapolar Measurement of Electrical Conductivity and Thickness of Articular Cartilage. </w:t>
      </w:r>
      <w:r w:rsidRPr="004D5AF6">
        <w:rPr>
          <w:rFonts w:ascii="Calibri" w:hAnsi="Calibri" w:cs="Calibri"/>
          <w:i/>
          <w:iCs/>
        </w:rPr>
        <w:t>J. Biomech. Eng.</w:t>
      </w:r>
      <w:r w:rsidRPr="004D5AF6">
        <w:rPr>
          <w:rFonts w:ascii="Calibri" w:hAnsi="Calibri" w:cs="Calibri"/>
        </w:rPr>
        <w:t xml:space="preserve"> </w:t>
      </w:r>
      <w:r w:rsidRPr="004D5AF6">
        <w:rPr>
          <w:rFonts w:ascii="Calibri" w:hAnsi="Calibri" w:cs="Calibri"/>
          <w:b/>
          <w:bCs/>
        </w:rPr>
        <w:t>126</w:t>
      </w:r>
      <w:r w:rsidRPr="004D5AF6">
        <w:rPr>
          <w:rFonts w:ascii="Calibri" w:hAnsi="Calibri" w:cs="Calibri"/>
        </w:rPr>
        <w:t>, 475–484 (2004).</w:t>
      </w:r>
    </w:p>
    <w:p w14:paraId="1BDDF3CB" w14:textId="77777777" w:rsidR="004D5AF6" w:rsidRPr="004D5AF6" w:rsidRDefault="004D5AF6" w:rsidP="004D5AF6">
      <w:pPr>
        <w:pStyle w:val="Bibliography"/>
        <w:spacing w:after="120" w:line="240" w:lineRule="auto"/>
        <w:rPr>
          <w:rFonts w:ascii="Calibri" w:hAnsi="Calibri" w:cs="Calibri"/>
        </w:rPr>
      </w:pPr>
      <w:r w:rsidRPr="004D5AF6">
        <w:rPr>
          <w:rFonts w:ascii="Calibri" w:hAnsi="Calibri" w:cs="Calibri"/>
        </w:rPr>
        <w:t>8.</w:t>
      </w:r>
      <w:r w:rsidRPr="004D5AF6">
        <w:rPr>
          <w:rFonts w:ascii="Calibri" w:hAnsi="Calibri" w:cs="Calibri"/>
        </w:rPr>
        <w:tab/>
        <w:t xml:space="preserve">Bardelmeyer, G. H. Electrical conduction in hydrated collagen. I. Conductivity mechanisms. </w:t>
      </w:r>
      <w:r w:rsidRPr="004D5AF6">
        <w:rPr>
          <w:rFonts w:ascii="Calibri" w:hAnsi="Calibri" w:cs="Calibri"/>
          <w:i/>
          <w:iCs/>
        </w:rPr>
        <w:t>Biopolymers</w:t>
      </w:r>
      <w:r w:rsidRPr="004D5AF6">
        <w:rPr>
          <w:rFonts w:ascii="Calibri" w:hAnsi="Calibri" w:cs="Calibri"/>
        </w:rPr>
        <w:t xml:space="preserve"> </w:t>
      </w:r>
      <w:r w:rsidRPr="004D5AF6">
        <w:rPr>
          <w:rFonts w:ascii="Calibri" w:hAnsi="Calibri" w:cs="Calibri"/>
          <w:b/>
          <w:bCs/>
        </w:rPr>
        <w:t>12</w:t>
      </w:r>
      <w:r w:rsidRPr="004D5AF6">
        <w:rPr>
          <w:rFonts w:ascii="Calibri" w:hAnsi="Calibri" w:cs="Calibri"/>
        </w:rPr>
        <w:t>, 2289–2302 (1973).</w:t>
      </w:r>
    </w:p>
    <w:p w14:paraId="0EB2055F" w14:textId="6CFB73BF" w:rsidR="009C7ABB" w:rsidRPr="003F481F" w:rsidRDefault="004D5AF6" w:rsidP="004D5AF6">
      <w:pPr>
        <w:spacing w:after="120"/>
        <w:rPr>
          <w:rFonts w:ascii="Calibri" w:hAnsi="Calibri" w:cs="Calibri"/>
        </w:rPr>
      </w:pPr>
      <w:r>
        <w:rPr>
          <w:rFonts w:ascii="Calibri" w:hAnsi="Calibri" w:cs="Calibri"/>
        </w:rPr>
        <w:fldChar w:fldCharType="end"/>
      </w:r>
    </w:p>
    <w:sectPr w:rsidR="009C7ABB" w:rsidRPr="003F481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FABF1" w14:textId="77777777" w:rsidR="00F71C3F" w:rsidRDefault="00F71C3F" w:rsidP="00C5399A">
      <w:r>
        <w:separator/>
      </w:r>
    </w:p>
  </w:endnote>
  <w:endnote w:type="continuationSeparator" w:id="0">
    <w:p w14:paraId="4F05D032" w14:textId="77777777" w:rsidR="00F71C3F" w:rsidRDefault="00F71C3F" w:rsidP="00C53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319E" w14:textId="3FC555D3" w:rsidR="00C5399A" w:rsidRPr="00C5399A" w:rsidRDefault="00C5399A">
    <w:pPr>
      <w:pStyle w:val="Footer"/>
      <w:rPr>
        <w:rFonts w:ascii="Calibri" w:hAnsi="Calibri" w:cs="Calibri"/>
        <w:sz w:val="22"/>
        <w:szCs w:val="22"/>
      </w:rPr>
    </w:pPr>
    <w:r w:rsidRPr="00C5399A">
      <w:rPr>
        <w:rFonts w:ascii="Calibri" w:hAnsi="Calibri" w:cs="Calibri"/>
        <w:sz w:val="22"/>
        <w:szCs w:val="22"/>
      </w:rPr>
      <w:tab/>
    </w:r>
    <w:r w:rsidRPr="00C5399A">
      <w:rPr>
        <w:rFonts w:ascii="Calibri" w:hAnsi="Calibri" w:cs="Calibri"/>
        <w:sz w:val="22"/>
        <w:szCs w:val="22"/>
      </w:rPr>
      <w:tab/>
      <w:t xml:space="preserve">Page </w:t>
    </w:r>
    <w:r w:rsidRPr="00C5399A">
      <w:rPr>
        <w:rFonts w:ascii="Calibri" w:hAnsi="Calibri" w:cs="Calibri"/>
        <w:sz w:val="22"/>
        <w:szCs w:val="22"/>
      </w:rPr>
      <w:fldChar w:fldCharType="begin"/>
    </w:r>
    <w:r w:rsidRPr="00C5399A">
      <w:rPr>
        <w:rFonts w:ascii="Calibri" w:hAnsi="Calibri" w:cs="Calibri"/>
        <w:sz w:val="22"/>
        <w:szCs w:val="22"/>
      </w:rPr>
      <w:instrText xml:space="preserve"> PAGE </w:instrText>
    </w:r>
    <w:r w:rsidRPr="00C5399A">
      <w:rPr>
        <w:rFonts w:ascii="Calibri" w:hAnsi="Calibri" w:cs="Calibri"/>
        <w:sz w:val="22"/>
        <w:szCs w:val="22"/>
      </w:rPr>
      <w:fldChar w:fldCharType="separate"/>
    </w:r>
    <w:r w:rsidRPr="00C5399A">
      <w:rPr>
        <w:rFonts w:ascii="Calibri" w:hAnsi="Calibri" w:cs="Calibri"/>
        <w:noProof/>
        <w:sz w:val="22"/>
        <w:szCs w:val="22"/>
      </w:rPr>
      <w:t>1</w:t>
    </w:r>
    <w:r w:rsidRPr="00C5399A">
      <w:rPr>
        <w:rFonts w:ascii="Calibri" w:hAnsi="Calibri" w:cs="Calibri"/>
        <w:sz w:val="22"/>
        <w:szCs w:val="22"/>
      </w:rPr>
      <w:fldChar w:fldCharType="end"/>
    </w:r>
    <w:r w:rsidRPr="00C5399A">
      <w:rPr>
        <w:rFonts w:ascii="Calibri" w:hAnsi="Calibri" w:cs="Calibri"/>
        <w:sz w:val="22"/>
        <w:szCs w:val="22"/>
      </w:rPr>
      <w:t xml:space="preserve"> of </w:t>
    </w:r>
    <w:r w:rsidRPr="00C5399A">
      <w:rPr>
        <w:rFonts w:ascii="Calibri" w:hAnsi="Calibri" w:cs="Calibri"/>
        <w:sz w:val="22"/>
        <w:szCs w:val="22"/>
      </w:rPr>
      <w:fldChar w:fldCharType="begin"/>
    </w:r>
    <w:r w:rsidRPr="00C5399A">
      <w:rPr>
        <w:rFonts w:ascii="Calibri" w:hAnsi="Calibri" w:cs="Calibri"/>
        <w:sz w:val="22"/>
        <w:szCs w:val="22"/>
      </w:rPr>
      <w:instrText xml:space="preserve"> NUMPAGES </w:instrText>
    </w:r>
    <w:r w:rsidRPr="00C5399A">
      <w:rPr>
        <w:rFonts w:ascii="Calibri" w:hAnsi="Calibri" w:cs="Calibri"/>
        <w:sz w:val="22"/>
        <w:szCs w:val="22"/>
      </w:rPr>
      <w:fldChar w:fldCharType="separate"/>
    </w:r>
    <w:r w:rsidRPr="00C5399A">
      <w:rPr>
        <w:rFonts w:ascii="Calibri" w:hAnsi="Calibri" w:cs="Calibri"/>
        <w:noProof/>
        <w:sz w:val="22"/>
        <w:szCs w:val="22"/>
      </w:rPr>
      <w:t>2</w:t>
    </w:r>
    <w:r w:rsidRPr="00C5399A">
      <w:rPr>
        <w:rFonts w:ascii="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5CC87" w14:textId="77777777" w:rsidR="00F71C3F" w:rsidRDefault="00F71C3F" w:rsidP="00C5399A">
      <w:r>
        <w:separator/>
      </w:r>
    </w:p>
  </w:footnote>
  <w:footnote w:type="continuationSeparator" w:id="0">
    <w:p w14:paraId="705DEE0E" w14:textId="77777777" w:rsidR="00F71C3F" w:rsidRDefault="00F71C3F" w:rsidP="00C53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456E6"/>
    <w:multiLevelType w:val="hybridMultilevel"/>
    <w:tmpl w:val="39980C9C"/>
    <w:lvl w:ilvl="0" w:tplc="69626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512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CB"/>
    <w:rsid w:val="000007AE"/>
    <w:rsid w:val="0001403A"/>
    <w:rsid w:val="00016677"/>
    <w:rsid w:val="00021B15"/>
    <w:rsid w:val="0002214A"/>
    <w:rsid w:val="00026D68"/>
    <w:rsid w:val="000273B3"/>
    <w:rsid w:val="00031133"/>
    <w:rsid w:val="0003587E"/>
    <w:rsid w:val="00041CCE"/>
    <w:rsid w:val="0005724F"/>
    <w:rsid w:val="00065957"/>
    <w:rsid w:val="00065CBB"/>
    <w:rsid w:val="00066920"/>
    <w:rsid w:val="00075698"/>
    <w:rsid w:val="00076D48"/>
    <w:rsid w:val="000934F4"/>
    <w:rsid w:val="00097559"/>
    <w:rsid w:val="000B1593"/>
    <w:rsid w:val="000C6BB4"/>
    <w:rsid w:val="000D38B4"/>
    <w:rsid w:val="000E07C4"/>
    <w:rsid w:val="000E2E57"/>
    <w:rsid w:val="000E6C68"/>
    <w:rsid w:val="000F74DB"/>
    <w:rsid w:val="00103438"/>
    <w:rsid w:val="001068F1"/>
    <w:rsid w:val="00106C5D"/>
    <w:rsid w:val="001109CA"/>
    <w:rsid w:val="001120F4"/>
    <w:rsid w:val="0011419E"/>
    <w:rsid w:val="001149AC"/>
    <w:rsid w:val="00114E05"/>
    <w:rsid w:val="00120484"/>
    <w:rsid w:val="001229A1"/>
    <w:rsid w:val="0012593A"/>
    <w:rsid w:val="00133C45"/>
    <w:rsid w:val="00133D15"/>
    <w:rsid w:val="00140B73"/>
    <w:rsid w:val="00142A33"/>
    <w:rsid w:val="00143799"/>
    <w:rsid w:val="00146E8B"/>
    <w:rsid w:val="00147CC0"/>
    <w:rsid w:val="00150512"/>
    <w:rsid w:val="00180C85"/>
    <w:rsid w:val="001815CE"/>
    <w:rsid w:val="001839ED"/>
    <w:rsid w:val="001937A1"/>
    <w:rsid w:val="001A72E1"/>
    <w:rsid w:val="001B0EDF"/>
    <w:rsid w:val="001B476B"/>
    <w:rsid w:val="001C34B8"/>
    <w:rsid w:val="001D5752"/>
    <w:rsid w:val="001E2A98"/>
    <w:rsid w:val="001E7C4A"/>
    <w:rsid w:val="001F4A13"/>
    <w:rsid w:val="001F68D0"/>
    <w:rsid w:val="00200BF3"/>
    <w:rsid w:val="00201B36"/>
    <w:rsid w:val="0020400D"/>
    <w:rsid w:val="00205178"/>
    <w:rsid w:val="002057DA"/>
    <w:rsid w:val="00216C71"/>
    <w:rsid w:val="002220BC"/>
    <w:rsid w:val="00224D7B"/>
    <w:rsid w:val="002318DD"/>
    <w:rsid w:val="00232277"/>
    <w:rsid w:val="0024277D"/>
    <w:rsid w:val="00243716"/>
    <w:rsid w:val="00253E3C"/>
    <w:rsid w:val="002544F7"/>
    <w:rsid w:val="00255512"/>
    <w:rsid w:val="00257450"/>
    <w:rsid w:val="00273AC0"/>
    <w:rsid w:val="00273D0D"/>
    <w:rsid w:val="00281581"/>
    <w:rsid w:val="00281E11"/>
    <w:rsid w:val="0028277A"/>
    <w:rsid w:val="00286815"/>
    <w:rsid w:val="00293E56"/>
    <w:rsid w:val="002976E5"/>
    <w:rsid w:val="002A225D"/>
    <w:rsid w:val="002A5A22"/>
    <w:rsid w:val="002B780B"/>
    <w:rsid w:val="002D1F6B"/>
    <w:rsid w:val="002E161F"/>
    <w:rsid w:val="002E2709"/>
    <w:rsid w:val="002F58C7"/>
    <w:rsid w:val="002F686D"/>
    <w:rsid w:val="002F7FAD"/>
    <w:rsid w:val="00310309"/>
    <w:rsid w:val="003152BE"/>
    <w:rsid w:val="00322FEE"/>
    <w:rsid w:val="003314E1"/>
    <w:rsid w:val="003336BD"/>
    <w:rsid w:val="00333D2C"/>
    <w:rsid w:val="00333FF4"/>
    <w:rsid w:val="00337FD9"/>
    <w:rsid w:val="003406C4"/>
    <w:rsid w:val="00340C82"/>
    <w:rsid w:val="0035413C"/>
    <w:rsid w:val="00354AE8"/>
    <w:rsid w:val="003666EB"/>
    <w:rsid w:val="00373666"/>
    <w:rsid w:val="0037391F"/>
    <w:rsid w:val="00380767"/>
    <w:rsid w:val="0038605E"/>
    <w:rsid w:val="003909DE"/>
    <w:rsid w:val="00391EE3"/>
    <w:rsid w:val="003A26DB"/>
    <w:rsid w:val="003A3B05"/>
    <w:rsid w:val="003A68D3"/>
    <w:rsid w:val="003A6F5A"/>
    <w:rsid w:val="003B2061"/>
    <w:rsid w:val="003B3C60"/>
    <w:rsid w:val="003B46E4"/>
    <w:rsid w:val="003B488C"/>
    <w:rsid w:val="003B7C70"/>
    <w:rsid w:val="003D0010"/>
    <w:rsid w:val="003D4EEC"/>
    <w:rsid w:val="003E095F"/>
    <w:rsid w:val="003E1A9E"/>
    <w:rsid w:val="003E1FD0"/>
    <w:rsid w:val="003E6919"/>
    <w:rsid w:val="003F2498"/>
    <w:rsid w:val="003F481F"/>
    <w:rsid w:val="003F7E32"/>
    <w:rsid w:val="00407A96"/>
    <w:rsid w:val="00415193"/>
    <w:rsid w:val="00415B6C"/>
    <w:rsid w:val="00420918"/>
    <w:rsid w:val="00427DC4"/>
    <w:rsid w:val="00433971"/>
    <w:rsid w:val="004621E8"/>
    <w:rsid w:val="00465DF6"/>
    <w:rsid w:val="004869DE"/>
    <w:rsid w:val="00487075"/>
    <w:rsid w:val="00487721"/>
    <w:rsid w:val="00497E07"/>
    <w:rsid w:val="004A3717"/>
    <w:rsid w:val="004B08AE"/>
    <w:rsid w:val="004B3422"/>
    <w:rsid w:val="004B4DB7"/>
    <w:rsid w:val="004B554D"/>
    <w:rsid w:val="004B74E8"/>
    <w:rsid w:val="004C004E"/>
    <w:rsid w:val="004C286E"/>
    <w:rsid w:val="004C2CB0"/>
    <w:rsid w:val="004C4552"/>
    <w:rsid w:val="004C47D3"/>
    <w:rsid w:val="004D18EA"/>
    <w:rsid w:val="004D329E"/>
    <w:rsid w:val="004D5AF6"/>
    <w:rsid w:val="004E4CB4"/>
    <w:rsid w:val="004E582B"/>
    <w:rsid w:val="004F0D43"/>
    <w:rsid w:val="004F7087"/>
    <w:rsid w:val="004F7CDB"/>
    <w:rsid w:val="00502EF0"/>
    <w:rsid w:val="00507DA4"/>
    <w:rsid w:val="00511448"/>
    <w:rsid w:val="0051182E"/>
    <w:rsid w:val="00512E01"/>
    <w:rsid w:val="005163D1"/>
    <w:rsid w:val="00526169"/>
    <w:rsid w:val="0053301D"/>
    <w:rsid w:val="005360B1"/>
    <w:rsid w:val="00540853"/>
    <w:rsid w:val="0055670D"/>
    <w:rsid w:val="005676AB"/>
    <w:rsid w:val="00577D79"/>
    <w:rsid w:val="005832C2"/>
    <w:rsid w:val="00585DF8"/>
    <w:rsid w:val="0058644C"/>
    <w:rsid w:val="005902FE"/>
    <w:rsid w:val="0059610F"/>
    <w:rsid w:val="005969F7"/>
    <w:rsid w:val="00597DB9"/>
    <w:rsid w:val="005B2A18"/>
    <w:rsid w:val="005B49E9"/>
    <w:rsid w:val="005C19D4"/>
    <w:rsid w:val="005C7426"/>
    <w:rsid w:val="005D4E1D"/>
    <w:rsid w:val="005E025F"/>
    <w:rsid w:val="005E5BDB"/>
    <w:rsid w:val="005F3604"/>
    <w:rsid w:val="005F367B"/>
    <w:rsid w:val="005F3B4D"/>
    <w:rsid w:val="005F6037"/>
    <w:rsid w:val="00600260"/>
    <w:rsid w:val="00601851"/>
    <w:rsid w:val="00606E79"/>
    <w:rsid w:val="00621892"/>
    <w:rsid w:val="0062252E"/>
    <w:rsid w:val="006230EA"/>
    <w:rsid w:val="00627F9F"/>
    <w:rsid w:val="006358EC"/>
    <w:rsid w:val="006425BB"/>
    <w:rsid w:val="00642FCB"/>
    <w:rsid w:val="00652BA7"/>
    <w:rsid w:val="006562A0"/>
    <w:rsid w:val="00657ABF"/>
    <w:rsid w:val="00660FCB"/>
    <w:rsid w:val="00663FAB"/>
    <w:rsid w:val="006667A5"/>
    <w:rsid w:val="00674C12"/>
    <w:rsid w:val="00680C5A"/>
    <w:rsid w:val="0068315F"/>
    <w:rsid w:val="0068667E"/>
    <w:rsid w:val="0069002E"/>
    <w:rsid w:val="006A38CC"/>
    <w:rsid w:val="006A6C36"/>
    <w:rsid w:val="006C2EEE"/>
    <w:rsid w:val="006C3F75"/>
    <w:rsid w:val="006D128D"/>
    <w:rsid w:val="006E3C8D"/>
    <w:rsid w:val="006E6DA9"/>
    <w:rsid w:val="00702308"/>
    <w:rsid w:val="0071265D"/>
    <w:rsid w:val="00713DC6"/>
    <w:rsid w:val="00720989"/>
    <w:rsid w:val="0072453C"/>
    <w:rsid w:val="0073216D"/>
    <w:rsid w:val="00741D7E"/>
    <w:rsid w:val="00745AC7"/>
    <w:rsid w:val="007460ED"/>
    <w:rsid w:val="00746647"/>
    <w:rsid w:val="007655E9"/>
    <w:rsid w:val="0077009C"/>
    <w:rsid w:val="00770DF2"/>
    <w:rsid w:val="00786433"/>
    <w:rsid w:val="0078678E"/>
    <w:rsid w:val="00791045"/>
    <w:rsid w:val="00792B96"/>
    <w:rsid w:val="00793A6A"/>
    <w:rsid w:val="007C46FB"/>
    <w:rsid w:val="007D6D24"/>
    <w:rsid w:val="007E1E2B"/>
    <w:rsid w:val="007F72D8"/>
    <w:rsid w:val="008046F6"/>
    <w:rsid w:val="008167F3"/>
    <w:rsid w:val="00827C62"/>
    <w:rsid w:val="00846B3D"/>
    <w:rsid w:val="00846EAB"/>
    <w:rsid w:val="008626E1"/>
    <w:rsid w:val="00867F61"/>
    <w:rsid w:val="00875708"/>
    <w:rsid w:val="008847EE"/>
    <w:rsid w:val="00886674"/>
    <w:rsid w:val="00890C81"/>
    <w:rsid w:val="008A2B08"/>
    <w:rsid w:val="008B2359"/>
    <w:rsid w:val="008C06C6"/>
    <w:rsid w:val="008E4252"/>
    <w:rsid w:val="00907855"/>
    <w:rsid w:val="00911D9F"/>
    <w:rsid w:val="00912F1C"/>
    <w:rsid w:val="0093624D"/>
    <w:rsid w:val="00945E29"/>
    <w:rsid w:val="00951968"/>
    <w:rsid w:val="0096630F"/>
    <w:rsid w:val="00967211"/>
    <w:rsid w:val="0096756D"/>
    <w:rsid w:val="00972F91"/>
    <w:rsid w:val="00981513"/>
    <w:rsid w:val="00981AFE"/>
    <w:rsid w:val="00981BC9"/>
    <w:rsid w:val="009827C8"/>
    <w:rsid w:val="00983779"/>
    <w:rsid w:val="00990915"/>
    <w:rsid w:val="0099618E"/>
    <w:rsid w:val="009B7412"/>
    <w:rsid w:val="009C0692"/>
    <w:rsid w:val="009C32A9"/>
    <w:rsid w:val="009C403A"/>
    <w:rsid w:val="009C7ABB"/>
    <w:rsid w:val="009D105B"/>
    <w:rsid w:val="009E5CE5"/>
    <w:rsid w:val="009F59B7"/>
    <w:rsid w:val="009F76E8"/>
    <w:rsid w:val="00A10902"/>
    <w:rsid w:val="00A111C1"/>
    <w:rsid w:val="00A13E8E"/>
    <w:rsid w:val="00A20E46"/>
    <w:rsid w:val="00A22A0A"/>
    <w:rsid w:val="00A25864"/>
    <w:rsid w:val="00A27171"/>
    <w:rsid w:val="00A40B9A"/>
    <w:rsid w:val="00A700CE"/>
    <w:rsid w:val="00A74E00"/>
    <w:rsid w:val="00A750D3"/>
    <w:rsid w:val="00A85E50"/>
    <w:rsid w:val="00A8606A"/>
    <w:rsid w:val="00A870BF"/>
    <w:rsid w:val="00A965E8"/>
    <w:rsid w:val="00AA0E2D"/>
    <w:rsid w:val="00AA26D5"/>
    <w:rsid w:val="00AB14DC"/>
    <w:rsid w:val="00AB18E4"/>
    <w:rsid w:val="00AB1C4C"/>
    <w:rsid w:val="00AB6105"/>
    <w:rsid w:val="00AC08EE"/>
    <w:rsid w:val="00AE123A"/>
    <w:rsid w:val="00AE3DC4"/>
    <w:rsid w:val="00AE56B0"/>
    <w:rsid w:val="00AF4FE3"/>
    <w:rsid w:val="00AF5C10"/>
    <w:rsid w:val="00B01EEC"/>
    <w:rsid w:val="00B03706"/>
    <w:rsid w:val="00B06B30"/>
    <w:rsid w:val="00B161C4"/>
    <w:rsid w:val="00B2457F"/>
    <w:rsid w:val="00B42E68"/>
    <w:rsid w:val="00B435F4"/>
    <w:rsid w:val="00B46697"/>
    <w:rsid w:val="00B5625D"/>
    <w:rsid w:val="00B6031E"/>
    <w:rsid w:val="00B76621"/>
    <w:rsid w:val="00B8613D"/>
    <w:rsid w:val="00B91BE3"/>
    <w:rsid w:val="00B9417A"/>
    <w:rsid w:val="00B96407"/>
    <w:rsid w:val="00B97829"/>
    <w:rsid w:val="00BA39D7"/>
    <w:rsid w:val="00BB7C92"/>
    <w:rsid w:val="00BC160A"/>
    <w:rsid w:val="00BD6E23"/>
    <w:rsid w:val="00BE4430"/>
    <w:rsid w:val="00C05DDF"/>
    <w:rsid w:val="00C064DE"/>
    <w:rsid w:val="00C077B0"/>
    <w:rsid w:val="00C10286"/>
    <w:rsid w:val="00C14FC7"/>
    <w:rsid w:val="00C232DC"/>
    <w:rsid w:val="00C348FF"/>
    <w:rsid w:val="00C34F92"/>
    <w:rsid w:val="00C35646"/>
    <w:rsid w:val="00C36779"/>
    <w:rsid w:val="00C42D84"/>
    <w:rsid w:val="00C5399A"/>
    <w:rsid w:val="00C5586D"/>
    <w:rsid w:val="00C61656"/>
    <w:rsid w:val="00C62687"/>
    <w:rsid w:val="00C67852"/>
    <w:rsid w:val="00C7065D"/>
    <w:rsid w:val="00C77E37"/>
    <w:rsid w:val="00C813BA"/>
    <w:rsid w:val="00C83029"/>
    <w:rsid w:val="00C845E3"/>
    <w:rsid w:val="00C856DB"/>
    <w:rsid w:val="00C86EEA"/>
    <w:rsid w:val="00C95315"/>
    <w:rsid w:val="00C95408"/>
    <w:rsid w:val="00C9648A"/>
    <w:rsid w:val="00C97807"/>
    <w:rsid w:val="00CC27D1"/>
    <w:rsid w:val="00CC6F5E"/>
    <w:rsid w:val="00CD547C"/>
    <w:rsid w:val="00CD6144"/>
    <w:rsid w:val="00CE1A60"/>
    <w:rsid w:val="00CE3807"/>
    <w:rsid w:val="00D11344"/>
    <w:rsid w:val="00D1324D"/>
    <w:rsid w:val="00D205ED"/>
    <w:rsid w:val="00D32548"/>
    <w:rsid w:val="00D34738"/>
    <w:rsid w:val="00D377DE"/>
    <w:rsid w:val="00D408E5"/>
    <w:rsid w:val="00D422C8"/>
    <w:rsid w:val="00D43BC7"/>
    <w:rsid w:val="00D45133"/>
    <w:rsid w:val="00D45531"/>
    <w:rsid w:val="00D56502"/>
    <w:rsid w:val="00D73158"/>
    <w:rsid w:val="00D83300"/>
    <w:rsid w:val="00D91EEF"/>
    <w:rsid w:val="00DA3F60"/>
    <w:rsid w:val="00DA5493"/>
    <w:rsid w:val="00DA7D67"/>
    <w:rsid w:val="00DB05FD"/>
    <w:rsid w:val="00DC7CCF"/>
    <w:rsid w:val="00DD16B4"/>
    <w:rsid w:val="00DD2009"/>
    <w:rsid w:val="00DD34DA"/>
    <w:rsid w:val="00DD3AA2"/>
    <w:rsid w:val="00DE0505"/>
    <w:rsid w:val="00DE6E2E"/>
    <w:rsid w:val="00DF2BDC"/>
    <w:rsid w:val="00E004AB"/>
    <w:rsid w:val="00E10BF0"/>
    <w:rsid w:val="00E3681F"/>
    <w:rsid w:val="00E37D2E"/>
    <w:rsid w:val="00E50FB1"/>
    <w:rsid w:val="00E73D49"/>
    <w:rsid w:val="00EA0B7D"/>
    <w:rsid w:val="00EA2B1C"/>
    <w:rsid w:val="00EA5F47"/>
    <w:rsid w:val="00ED55F2"/>
    <w:rsid w:val="00EF6636"/>
    <w:rsid w:val="00F043E6"/>
    <w:rsid w:val="00F052F5"/>
    <w:rsid w:val="00F10307"/>
    <w:rsid w:val="00F104E9"/>
    <w:rsid w:val="00F222A8"/>
    <w:rsid w:val="00F2683E"/>
    <w:rsid w:val="00F52553"/>
    <w:rsid w:val="00F627C5"/>
    <w:rsid w:val="00F67D23"/>
    <w:rsid w:val="00F71C3F"/>
    <w:rsid w:val="00F71E72"/>
    <w:rsid w:val="00FA6F82"/>
    <w:rsid w:val="00FA7647"/>
    <w:rsid w:val="00FB5A63"/>
    <w:rsid w:val="00FB7CDE"/>
    <w:rsid w:val="00FC2ED5"/>
    <w:rsid w:val="00FD49B5"/>
    <w:rsid w:val="00FE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1A9D"/>
  <w15:chartTrackingRefBased/>
  <w15:docId w15:val="{4150244D-C151-2944-9977-BA77852CB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853"/>
  </w:style>
  <w:style w:type="paragraph" w:styleId="Heading1">
    <w:name w:val="heading 1"/>
    <w:basedOn w:val="Normal"/>
    <w:next w:val="Normal"/>
    <w:link w:val="Heading1Char"/>
    <w:uiPriority w:val="9"/>
    <w:qFormat/>
    <w:rsid w:val="0001667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F367B"/>
    <w:rPr>
      <w:sz w:val="16"/>
      <w:szCs w:val="16"/>
    </w:rPr>
  </w:style>
  <w:style w:type="paragraph" w:styleId="CommentText">
    <w:name w:val="annotation text"/>
    <w:basedOn w:val="Normal"/>
    <w:link w:val="CommentTextChar"/>
    <w:uiPriority w:val="99"/>
    <w:semiHidden/>
    <w:unhideWhenUsed/>
    <w:rsid w:val="005F367B"/>
    <w:rPr>
      <w:sz w:val="20"/>
      <w:szCs w:val="20"/>
    </w:rPr>
  </w:style>
  <w:style w:type="character" w:customStyle="1" w:styleId="CommentTextChar">
    <w:name w:val="Comment Text Char"/>
    <w:basedOn w:val="DefaultParagraphFont"/>
    <w:link w:val="CommentText"/>
    <w:uiPriority w:val="99"/>
    <w:semiHidden/>
    <w:rsid w:val="005F367B"/>
    <w:rPr>
      <w:sz w:val="20"/>
      <w:szCs w:val="20"/>
    </w:rPr>
  </w:style>
  <w:style w:type="character" w:styleId="PlaceholderText">
    <w:name w:val="Placeholder Text"/>
    <w:basedOn w:val="DefaultParagraphFont"/>
    <w:uiPriority w:val="99"/>
    <w:semiHidden/>
    <w:rsid w:val="00621892"/>
    <w:rPr>
      <w:color w:val="808080"/>
    </w:rPr>
  </w:style>
  <w:style w:type="table" w:styleId="TableGrid">
    <w:name w:val="Table Grid"/>
    <w:basedOn w:val="TableNormal"/>
    <w:uiPriority w:val="39"/>
    <w:rsid w:val="00C86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3F60"/>
  </w:style>
  <w:style w:type="paragraph" w:styleId="Header">
    <w:name w:val="header"/>
    <w:basedOn w:val="Normal"/>
    <w:link w:val="HeaderChar"/>
    <w:uiPriority w:val="99"/>
    <w:unhideWhenUsed/>
    <w:rsid w:val="00C5399A"/>
    <w:pPr>
      <w:tabs>
        <w:tab w:val="center" w:pos="4680"/>
        <w:tab w:val="right" w:pos="9360"/>
      </w:tabs>
    </w:pPr>
  </w:style>
  <w:style w:type="character" w:customStyle="1" w:styleId="HeaderChar">
    <w:name w:val="Header Char"/>
    <w:basedOn w:val="DefaultParagraphFont"/>
    <w:link w:val="Header"/>
    <w:uiPriority w:val="99"/>
    <w:rsid w:val="00C5399A"/>
  </w:style>
  <w:style w:type="paragraph" w:styleId="Footer">
    <w:name w:val="footer"/>
    <w:basedOn w:val="Normal"/>
    <w:link w:val="FooterChar"/>
    <w:uiPriority w:val="99"/>
    <w:unhideWhenUsed/>
    <w:rsid w:val="00C5399A"/>
    <w:pPr>
      <w:tabs>
        <w:tab w:val="center" w:pos="4680"/>
        <w:tab w:val="right" w:pos="9360"/>
      </w:tabs>
    </w:pPr>
  </w:style>
  <w:style w:type="character" w:customStyle="1" w:styleId="FooterChar">
    <w:name w:val="Footer Char"/>
    <w:basedOn w:val="DefaultParagraphFont"/>
    <w:link w:val="Footer"/>
    <w:uiPriority w:val="99"/>
    <w:rsid w:val="00C5399A"/>
  </w:style>
  <w:style w:type="paragraph" w:styleId="NoSpacing">
    <w:name w:val="No Spacing"/>
    <w:uiPriority w:val="1"/>
    <w:qFormat/>
    <w:rsid w:val="004D18EA"/>
    <w:rPr>
      <w:rFonts w:ascii="Arial" w:hAnsi="Arial" w:cs="Arial"/>
      <w:sz w:val="20"/>
      <w:szCs w:val="20"/>
    </w:rPr>
  </w:style>
  <w:style w:type="character" w:styleId="Hyperlink">
    <w:name w:val="Hyperlink"/>
    <w:basedOn w:val="DefaultParagraphFont"/>
    <w:uiPriority w:val="99"/>
    <w:unhideWhenUsed/>
    <w:rsid w:val="00C95408"/>
    <w:rPr>
      <w:color w:val="0563C1" w:themeColor="hyperlink"/>
      <w:u w:val="single"/>
    </w:rPr>
  </w:style>
  <w:style w:type="paragraph" w:styleId="Bibliography">
    <w:name w:val="Bibliography"/>
    <w:basedOn w:val="Normal"/>
    <w:next w:val="Normal"/>
    <w:uiPriority w:val="37"/>
    <w:unhideWhenUsed/>
    <w:rsid w:val="004D5AF6"/>
    <w:pPr>
      <w:tabs>
        <w:tab w:val="left" w:pos="260"/>
      </w:tabs>
      <w:spacing w:line="480" w:lineRule="auto"/>
      <w:ind w:left="264" w:hanging="264"/>
    </w:pPr>
  </w:style>
  <w:style w:type="character" w:styleId="FollowedHyperlink">
    <w:name w:val="FollowedHyperlink"/>
    <w:basedOn w:val="DefaultParagraphFont"/>
    <w:uiPriority w:val="99"/>
    <w:semiHidden/>
    <w:unhideWhenUsed/>
    <w:rsid w:val="00DA5493"/>
    <w:rPr>
      <w:color w:val="954F72" w:themeColor="followedHyperlink"/>
      <w:u w:val="single"/>
    </w:rPr>
  </w:style>
  <w:style w:type="character" w:styleId="UnresolvedMention">
    <w:name w:val="Unresolved Mention"/>
    <w:basedOn w:val="DefaultParagraphFont"/>
    <w:uiPriority w:val="99"/>
    <w:semiHidden/>
    <w:unhideWhenUsed/>
    <w:rsid w:val="00B42E68"/>
    <w:rPr>
      <w:color w:val="605E5C"/>
      <w:shd w:val="clear" w:color="auto" w:fill="E1DFDD"/>
    </w:rPr>
  </w:style>
  <w:style w:type="character" w:customStyle="1" w:styleId="Heading1Char">
    <w:name w:val="Heading 1 Char"/>
    <w:basedOn w:val="DefaultParagraphFont"/>
    <w:link w:val="Heading1"/>
    <w:uiPriority w:val="9"/>
    <w:rsid w:val="0001667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3176</Words>
  <Characters>18108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 VERMA</dc:creator>
  <cp:keywords/>
  <dc:description/>
  <cp:lastModifiedBy>NISHANT VERMA</cp:lastModifiedBy>
  <cp:revision>38</cp:revision>
  <cp:lastPrinted>2021-12-01T18:51:00Z</cp:lastPrinted>
  <dcterms:created xsi:type="dcterms:W3CDTF">2022-06-01T15:30:00Z</dcterms:created>
  <dcterms:modified xsi:type="dcterms:W3CDTF">2022-06-27T16:48:00Z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id="ANYk0mfm"/&gt;&lt;style id="http://www.zotero.org/styles/nature" hasBibliography="1" bibliographyStyleHasBeenSet="1"/&gt;&lt;prefs&gt;&lt;pref name="fieldType" value="Field"/&gt;&lt;pref name="automaticJournalAbbreviatio</vt:lpwstr>
  </property>
  <property fmtid="{D5CDD505-2E9C-101B-9397-08002B2CF9AE}" pid="3" name="ZOTERO_PREF_2">
    <vt:lpwstr>ns" value="true"/&gt;&lt;/prefs&gt;&lt;/data&gt;</vt:lpwstr>
  </property>
</Properties>
</file>