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33FF" w14:textId="77777777" w:rsidR="00D8439A" w:rsidRPr="00F9516B" w:rsidRDefault="00D8439A" w:rsidP="00D8439A">
      <w:pPr>
        <w:keepNext/>
        <w:keepLines/>
        <w:spacing w:line="480" w:lineRule="auto"/>
        <w:outlineLvl w:val="0"/>
        <w:rPr>
          <w:b/>
          <w:bCs/>
          <w:u w:val="single"/>
        </w:rPr>
      </w:pPr>
      <w:r w:rsidRPr="00F9516B">
        <w:rPr>
          <w:b/>
          <w:bCs/>
          <w:u w:val="single"/>
        </w:rPr>
        <w:t>Characterisation of Patients Referred to a Tertiary Level Inherited Cardiac</w:t>
      </w:r>
      <w:r>
        <w:rPr>
          <w:b/>
          <w:bCs/>
          <w:u w:val="single"/>
        </w:rPr>
        <w:t xml:space="preserve"> Condition</w:t>
      </w:r>
      <w:r w:rsidRPr="00F9516B">
        <w:rPr>
          <w:b/>
          <w:bCs/>
          <w:u w:val="single"/>
        </w:rPr>
        <w:t xml:space="preserve"> Clinic with Suspected </w:t>
      </w:r>
      <w:r>
        <w:rPr>
          <w:b/>
          <w:bCs/>
          <w:u w:val="single"/>
        </w:rPr>
        <w:t>Arrhythmogenic Right Ventricular Cardiomyopathy (</w:t>
      </w:r>
      <w:r w:rsidRPr="00F9516B">
        <w:rPr>
          <w:b/>
          <w:bCs/>
          <w:u w:val="single"/>
        </w:rPr>
        <w:t>ARVC</w:t>
      </w:r>
      <w:r>
        <w:rPr>
          <w:b/>
          <w:bCs/>
          <w:u w:val="single"/>
        </w:rPr>
        <w:t>)</w:t>
      </w:r>
      <w:r w:rsidRPr="00F9516B">
        <w:rPr>
          <w:b/>
          <w:bCs/>
          <w:u w:val="single"/>
        </w:rPr>
        <w:t xml:space="preserve"> </w:t>
      </w:r>
    </w:p>
    <w:p w14:paraId="7B134D6A" w14:textId="77777777" w:rsidR="00D8439A" w:rsidRDefault="00D8439A" w:rsidP="00F15CA1">
      <w:pPr>
        <w:spacing w:line="480" w:lineRule="auto"/>
        <w:jc w:val="both"/>
        <w:rPr>
          <w:b/>
          <w:bCs/>
          <w:sz w:val="20"/>
          <w:szCs w:val="20"/>
          <w:u w:val="single"/>
        </w:rPr>
      </w:pPr>
    </w:p>
    <w:p w14:paraId="4F26B3EF" w14:textId="509EE711" w:rsidR="00F15CA1" w:rsidRDefault="00F15CA1" w:rsidP="00F15CA1">
      <w:pPr>
        <w:spacing w:line="48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Supplementary </w:t>
      </w:r>
    </w:p>
    <w:p w14:paraId="4CAAF63A" w14:textId="77777777" w:rsidR="00F15CA1" w:rsidRDefault="00F15CA1" w:rsidP="00F15CA1"/>
    <w:p w14:paraId="16249DAB" w14:textId="77777777" w:rsidR="00F15CA1" w:rsidRDefault="00F15CA1" w:rsidP="00F15CA1"/>
    <w:p w14:paraId="15C15E40" w14:textId="77777777" w:rsidR="00F15CA1" w:rsidRDefault="00F15CA1" w:rsidP="00F15CA1"/>
    <w:p w14:paraId="36496869" w14:textId="77777777" w:rsidR="00F15CA1" w:rsidRDefault="00F15CA1" w:rsidP="00F15CA1"/>
    <w:p w14:paraId="39374F99" w14:textId="77777777" w:rsidR="00F15CA1" w:rsidRDefault="00F15CA1" w:rsidP="00F15CA1"/>
    <w:p w14:paraId="19F5770D" w14:textId="77777777" w:rsidR="00F15CA1" w:rsidRDefault="00F15CA1" w:rsidP="00F15CA1"/>
    <w:p w14:paraId="78E4F8B9" w14:textId="77777777" w:rsidR="00F15CA1" w:rsidRDefault="00F15CA1" w:rsidP="00F15CA1"/>
    <w:p w14:paraId="0326CA98" w14:textId="77777777" w:rsidR="00F15CA1" w:rsidRDefault="00F15CA1" w:rsidP="00F15CA1"/>
    <w:p w14:paraId="0236E697" w14:textId="77777777" w:rsidR="00F15CA1" w:rsidRDefault="00F15CA1" w:rsidP="00F15CA1"/>
    <w:p w14:paraId="0F38D945" w14:textId="77777777" w:rsidR="00F15CA1" w:rsidRDefault="00F15CA1" w:rsidP="00F15CA1"/>
    <w:p w14:paraId="12F3EF33" w14:textId="77777777" w:rsidR="00F15CA1" w:rsidRDefault="00F15CA1" w:rsidP="00F15CA1"/>
    <w:p w14:paraId="332C4027" w14:textId="77777777" w:rsidR="00F15CA1" w:rsidRDefault="00F15CA1" w:rsidP="00F15CA1"/>
    <w:p w14:paraId="43A5EA88" w14:textId="77777777" w:rsidR="00F15CA1" w:rsidRDefault="00F15CA1" w:rsidP="00F15CA1"/>
    <w:p w14:paraId="4F234D48" w14:textId="77777777" w:rsidR="00F15CA1" w:rsidRDefault="00F15CA1" w:rsidP="00F15CA1"/>
    <w:p w14:paraId="18588FE3" w14:textId="77777777" w:rsidR="00F15CA1" w:rsidRDefault="00F15CA1" w:rsidP="00F15CA1"/>
    <w:p w14:paraId="1894AAF1" w14:textId="77777777" w:rsidR="00F15CA1" w:rsidRDefault="00F15CA1" w:rsidP="00F15CA1"/>
    <w:p w14:paraId="1A6EB13A" w14:textId="77777777" w:rsidR="00F15CA1" w:rsidRDefault="00F15CA1" w:rsidP="00F15CA1"/>
    <w:p w14:paraId="2391B119" w14:textId="77777777" w:rsidR="00F15CA1" w:rsidRDefault="00F15CA1" w:rsidP="00F15CA1"/>
    <w:p w14:paraId="2743DA4F" w14:textId="77777777" w:rsidR="00F15CA1" w:rsidRDefault="00F15CA1" w:rsidP="00F15CA1"/>
    <w:p w14:paraId="711AD473" w14:textId="77777777" w:rsidR="00F15CA1" w:rsidRDefault="00F15CA1" w:rsidP="00F15CA1"/>
    <w:p w14:paraId="2D55321F" w14:textId="77777777" w:rsidR="00F15CA1" w:rsidRDefault="00F15CA1" w:rsidP="00F15CA1"/>
    <w:p w14:paraId="387089EE" w14:textId="77777777" w:rsidR="00F15CA1" w:rsidRDefault="00F15CA1" w:rsidP="00F15CA1"/>
    <w:p w14:paraId="506851EB" w14:textId="77777777" w:rsidR="00F15CA1" w:rsidRDefault="00F15CA1" w:rsidP="00F15CA1"/>
    <w:p w14:paraId="4D1B71C6" w14:textId="77777777" w:rsidR="00F15CA1" w:rsidRDefault="00F15CA1" w:rsidP="00F15CA1"/>
    <w:p w14:paraId="30E884C2" w14:textId="77777777" w:rsidR="00F15CA1" w:rsidRDefault="00F15CA1" w:rsidP="00F15CA1"/>
    <w:p w14:paraId="6339D96C" w14:textId="77777777" w:rsidR="00F15CA1" w:rsidRDefault="00F15CA1" w:rsidP="00F15CA1"/>
    <w:p w14:paraId="3D56E0FF" w14:textId="77777777" w:rsidR="00F15CA1" w:rsidRDefault="00F15CA1" w:rsidP="00F15CA1"/>
    <w:p w14:paraId="49026B88" w14:textId="77777777" w:rsidR="00F15CA1" w:rsidRDefault="00F15CA1" w:rsidP="00F15CA1"/>
    <w:p w14:paraId="7CE41286" w14:textId="77777777" w:rsidR="00F15CA1" w:rsidRDefault="00F15CA1" w:rsidP="00F15CA1"/>
    <w:p w14:paraId="54A7A1E1" w14:textId="77777777" w:rsidR="00F15CA1" w:rsidRDefault="00F15CA1" w:rsidP="00F15CA1"/>
    <w:p w14:paraId="3DFA10AD" w14:textId="77777777" w:rsidR="00F15CA1" w:rsidRDefault="00F15CA1" w:rsidP="00F15CA1"/>
    <w:p w14:paraId="3D5E91D1" w14:textId="77777777" w:rsidR="00F15CA1" w:rsidRDefault="00F15CA1" w:rsidP="00F15CA1"/>
    <w:p w14:paraId="700CD803" w14:textId="77777777" w:rsidR="00F15CA1" w:rsidRDefault="00F15CA1" w:rsidP="00F15CA1"/>
    <w:p w14:paraId="37C7EA2B" w14:textId="77777777" w:rsidR="00F15CA1" w:rsidRDefault="00F15CA1" w:rsidP="00F15CA1"/>
    <w:p w14:paraId="0B6F4FDD" w14:textId="77777777" w:rsidR="00F15CA1" w:rsidRDefault="00F15CA1" w:rsidP="00F15CA1"/>
    <w:p w14:paraId="48577567" w14:textId="77777777" w:rsidR="00F15CA1" w:rsidRDefault="00F15CA1" w:rsidP="00F15CA1"/>
    <w:p w14:paraId="5E3FB906" w14:textId="77777777" w:rsidR="00F15CA1" w:rsidRDefault="00F15CA1" w:rsidP="00F15CA1"/>
    <w:p w14:paraId="4DA9F565" w14:textId="77777777" w:rsidR="00F15CA1" w:rsidRDefault="00F15CA1" w:rsidP="00F15CA1"/>
    <w:p w14:paraId="0C37F1D8" w14:textId="77777777" w:rsidR="00F15CA1" w:rsidRDefault="00F15CA1" w:rsidP="00F15CA1"/>
    <w:p w14:paraId="5945B040" w14:textId="77777777" w:rsidR="00F15CA1" w:rsidRDefault="00F15CA1" w:rsidP="00F15CA1">
      <w:pPr>
        <w:rPr>
          <w:b/>
          <w:bCs/>
        </w:rPr>
      </w:pPr>
    </w:p>
    <w:p w14:paraId="61877DB6" w14:textId="77777777" w:rsidR="00F15CA1" w:rsidRDefault="00F15CA1" w:rsidP="00F15CA1">
      <w:r w:rsidRPr="00845A48">
        <w:rPr>
          <w:b/>
          <w:bCs/>
        </w:rPr>
        <w:t xml:space="preserve">eTable </w:t>
      </w:r>
      <w:r>
        <w:rPr>
          <w:b/>
          <w:bCs/>
        </w:rPr>
        <w:t>1</w:t>
      </w:r>
      <w:r>
        <w:t xml:space="preserve">. </w:t>
      </w:r>
      <w:r w:rsidRPr="003E0822">
        <w:t>Overview of patient</w:t>
      </w:r>
      <w:r>
        <w:t>s</w:t>
      </w:r>
      <w:r w:rsidRPr="003E0822">
        <w:t xml:space="preserve"> with minor ARVC criteria </w:t>
      </w:r>
      <w:r>
        <w:t xml:space="preserve">only </w:t>
      </w:r>
      <w:r w:rsidRPr="003E0822">
        <w:t xml:space="preserve">and </w:t>
      </w:r>
      <w:r>
        <w:t xml:space="preserve">family members of </w:t>
      </w:r>
      <w:r w:rsidRPr="003E0822">
        <w:t xml:space="preserve">ARVC </w:t>
      </w:r>
      <w:r>
        <w:t xml:space="preserve">patients with ARVC </w:t>
      </w:r>
      <w:r w:rsidRPr="003E0822">
        <w:t xml:space="preserve">excluded </w:t>
      </w:r>
    </w:p>
    <w:p w14:paraId="25EE8FA0" w14:textId="77777777" w:rsidR="00F15CA1" w:rsidRDefault="00F15CA1" w:rsidP="00F15CA1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975"/>
        <w:gridCol w:w="2839"/>
      </w:tblGrid>
      <w:tr w:rsidR="00F15CA1" w:rsidRPr="001107AC" w14:paraId="7037918E" w14:textId="77777777" w:rsidTr="00AB1F75">
        <w:trPr>
          <w:trHeight w:val="299"/>
        </w:trPr>
        <w:tc>
          <w:tcPr>
            <w:tcW w:w="3541" w:type="dxa"/>
          </w:tcPr>
          <w:p w14:paraId="4C08C52A" w14:textId="77777777" w:rsidR="00F15CA1" w:rsidRPr="00245293" w:rsidRDefault="00F15CA1" w:rsidP="00AB1F75">
            <w:pPr>
              <w:rPr>
                <w:b/>
                <w:bCs/>
                <w:sz w:val="20"/>
                <w:szCs w:val="20"/>
              </w:rPr>
            </w:pPr>
            <w:r w:rsidRPr="00245293">
              <w:rPr>
                <w:b/>
                <w:bCs/>
                <w:sz w:val="20"/>
                <w:szCs w:val="20"/>
              </w:rPr>
              <w:t>Demographic</w:t>
            </w:r>
          </w:p>
        </w:tc>
        <w:tc>
          <w:tcPr>
            <w:tcW w:w="2975" w:type="dxa"/>
          </w:tcPr>
          <w:p w14:paraId="0780C683" w14:textId="77777777" w:rsidR="00F15CA1" w:rsidRPr="001107AC" w:rsidRDefault="00F15CA1" w:rsidP="00AB1F75">
            <w:pPr>
              <w:jc w:val="center"/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ARVC excluded based on genetic testing</w:t>
            </w:r>
            <w:r>
              <w:rPr>
                <w:sz w:val="20"/>
                <w:szCs w:val="20"/>
              </w:rPr>
              <w:t xml:space="preserve"> (</w:t>
            </w:r>
            <w:r w:rsidRPr="001107AC">
              <w:rPr>
                <w:sz w:val="20"/>
                <w:szCs w:val="20"/>
              </w:rPr>
              <w:t>n=14)</w:t>
            </w:r>
          </w:p>
        </w:tc>
        <w:tc>
          <w:tcPr>
            <w:tcW w:w="2839" w:type="dxa"/>
          </w:tcPr>
          <w:p w14:paraId="724C326E" w14:textId="77777777" w:rsidR="00F15CA1" w:rsidRPr="001107AC" w:rsidRDefault="00F15CA1" w:rsidP="00AB1F75">
            <w:pPr>
              <w:jc w:val="center"/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Patients with Minor ARVC criteria</w:t>
            </w:r>
            <w:r>
              <w:rPr>
                <w:sz w:val="20"/>
                <w:szCs w:val="20"/>
              </w:rPr>
              <w:t xml:space="preserve"> (</w:t>
            </w:r>
            <w:r w:rsidRPr="001107AC">
              <w:rPr>
                <w:sz w:val="20"/>
                <w:szCs w:val="20"/>
              </w:rPr>
              <w:t>n=27)</w:t>
            </w:r>
          </w:p>
        </w:tc>
      </w:tr>
      <w:tr w:rsidR="00F15CA1" w:rsidRPr="001107AC" w14:paraId="3B5CEC68" w14:textId="77777777" w:rsidTr="00AB1F75">
        <w:tc>
          <w:tcPr>
            <w:tcW w:w="3541" w:type="dxa"/>
          </w:tcPr>
          <w:p w14:paraId="1ED7EE7F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Age</w:t>
            </w:r>
          </w:p>
        </w:tc>
        <w:tc>
          <w:tcPr>
            <w:tcW w:w="2975" w:type="dxa"/>
          </w:tcPr>
          <w:p w14:paraId="5CE545FE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41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18</w:t>
            </w:r>
          </w:p>
        </w:tc>
        <w:tc>
          <w:tcPr>
            <w:tcW w:w="2839" w:type="dxa"/>
          </w:tcPr>
          <w:p w14:paraId="62BB0287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39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±16</w:t>
            </w:r>
          </w:p>
        </w:tc>
      </w:tr>
      <w:tr w:rsidR="00F15CA1" w:rsidRPr="001107AC" w14:paraId="1F247A8A" w14:textId="77777777" w:rsidTr="00AB1F75">
        <w:tc>
          <w:tcPr>
            <w:tcW w:w="3541" w:type="dxa"/>
          </w:tcPr>
          <w:p w14:paraId="76E612D1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>/ Female</w:t>
            </w:r>
          </w:p>
        </w:tc>
        <w:tc>
          <w:tcPr>
            <w:tcW w:w="2975" w:type="dxa"/>
          </w:tcPr>
          <w:p w14:paraId="736CCF3D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7/7</w:t>
            </w:r>
          </w:p>
        </w:tc>
        <w:tc>
          <w:tcPr>
            <w:tcW w:w="2839" w:type="dxa"/>
          </w:tcPr>
          <w:p w14:paraId="305745FB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17/10</w:t>
            </w:r>
          </w:p>
        </w:tc>
      </w:tr>
      <w:tr w:rsidR="00F15CA1" w:rsidRPr="001107AC" w14:paraId="2A8A572E" w14:textId="77777777" w:rsidTr="00AB1F75">
        <w:tc>
          <w:tcPr>
            <w:tcW w:w="3541" w:type="dxa"/>
          </w:tcPr>
          <w:p w14:paraId="557DB721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weight(kg)</w:t>
            </w:r>
          </w:p>
        </w:tc>
        <w:tc>
          <w:tcPr>
            <w:tcW w:w="2975" w:type="dxa"/>
          </w:tcPr>
          <w:p w14:paraId="52E75344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79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13.8</w:t>
            </w:r>
          </w:p>
        </w:tc>
        <w:tc>
          <w:tcPr>
            <w:tcW w:w="2839" w:type="dxa"/>
          </w:tcPr>
          <w:p w14:paraId="0F722F39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79.3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19.4</w:t>
            </w:r>
          </w:p>
        </w:tc>
      </w:tr>
      <w:tr w:rsidR="00F15CA1" w:rsidRPr="001107AC" w14:paraId="398DCC97" w14:textId="77777777" w:rsidTr="00AB1F75">
        <w:tc>
          <w:tcPr>
            <w:tcW w:w="3541" w:type="dxa"/>
          </w:tcPr>
          <w:p w14:paraId="183F3F67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Height(cm)</w:t>
            </w:r>
          </w:p>
        </w:tc>
        <w:tc>
          <w:tcPr>
            <w:tcW w:w="2975" w:type="dxa"/>
          </w:tcPr>
          <w:p w14:paraId="4D701507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168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8.7</w:t>
            </w:r>
          </w:p>
        </w:tc>
        <w:tc>
          <w:tcPr>
            <w:tcW w:w="2839" w:type="dxa"/>
          </w:tcPr>
          <w:p w14:paraId="5FE399BD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172.5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8.6</w:t>
            </w:r>
          </w:p>
        </w:tc>
      </w:tr>
      <w:tr w:rsidR="00F15CA1" w:rsidRPr="001107AC" w14:paraId="6AE64ACF" w14:textId="77777777" w:rsidTr="00AB1F75">
        <w:tc>
          <w:tcPr>
            <w:tcW w:w="3541" w:type="dxa"/>
          </w:tcPr>
          <w:p w14:paraId="0FEE8A09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Body Surface Area BSA(m²)</w:t>
            </w:r>
          </w:p>
        </w:tc>
        <w:tc>
          <w:tcPr>
            <w:tcW w:w="2975" w:type="dxa"/>
          </w:tcPr>
          <w:p w14:paraId="4D323231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1.9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0.2</w:t>
            </w:r>
          </w:p>
        </w:tc>
        <w:tc>
          <w:tcPr>
            <w:tcW w:w="2839" w:type="dxa"/>
          </w:tcPr>
          <w:p w14:paraId="19BC611D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1.9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±0.3</w:t>
            </w:r>
          </w:p>
        </w:tc>
      </w:tr>
      <w:tr w:rsidR="00F15CA1" w:rsidRPr="001107AC" w14:paraId="733723C8" w14:textId="77777777" w:rsidTr="00AB1F75">
        <w:tc>
          <w:tcPr>
            <w:tcW w:w="3541" w:type="dxa"/>
          </w:tcPr>
          <w:p w14:paraId="1FD0C6A9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Body Mass Index BMI (kg/m²)</w:t>
            </w:r>
          </w:p>
        </w:tc>
        <w:tc>
          <w:tcPr>
            <w:tcW w:w="2975" w:type="dxa"/>
          </w:tcPr>
          <w:p w14:paraId="276204C2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27.8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±4.1</w:t>
            </w:r>
          </w:p>
        </w:tc>
        <w:tc>
          <w:tcPr>
            <w:tcW w:w="2839" w:type="dxa"/>
          </w:tcPr>
          <w:p w14:paraId="765D4543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26.8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±6</w:t>
            </w:r>
          </w:p>
        </w:tc>
      </w:tr>
      <w:tr w:rsidR="00F15CA1" w:rsidRPr="001107AC" w14:paraId="21682BEE" w14:textId="77777777" w:rsidTr="00AB1F75">
        <w:tc>
          <w:tcPr>
            <w:tcW w:w="9355" w:type="dxa"/>
            <w:gridSpan w:val="3"/>
          </w:tcPr>
          <w:p w14:paraId="2564A705" w14:textId="77777777" w:rsidR="00F15CA1" w:rsidRPr="00F2301A" w:rsidRDefault="00F15CA1" w:rsidP="00AB1F75">
            <w:pPr>
              <w:rPr>
                <w:b/>
                <w:bCs/>
                <w:sz w:val="20"/>
                <w:szCs w:val="20"/>
              </w:rPr>
            </w:pPr>
            <w:r w:rsidRPr="00F2301A">
              <w:rPr>
                <w:b/>
                <w:bCs/>
                <w:sz w:val="20"/>
                <w:szCs w:val="20"/>
              </w:rPr>
              <w:t xml:space="preserve">Echo </w:t>
            </w:r>
          </w:p>
        </w:tc>
      </w:tr>
      <w:tr w:rsidR="00F15CA1" w:rsidRPr="001107AC" w14:paraId="77BE5415" w14:textId="77777777" w:rsidTr="00AB1F75">
        <w:tc>
          <w:tcPr>
            <w:tcW w:w="3541" w:type="dxa"/>
          </w:tcPr>
          <w:p w14:paraId="346A1D62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2D RA Area (cm2)</w:t>
            </w:r>
          </w:p>
        </w:tc>
        <w:tc>
          <w:tcPr>
            <w:tcW w:w="2975" w:type="dxa"/>
          </w:tcPr>
          <w:p w14:paraId="65F5FCDC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16.4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±3.9</w:t>
            </w:r>
          </w:p>
        </w:tc>
        <w:tc>
          <w:tcPr>
            <w:tcW w:w="2839" w:type="dxa"/>
          </w:tcPr>
          <w:p w14:paraId="28F26FF8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14.7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±3.5</w:t>
            </w:r>
          </w:p>
        </w:tc>
      </w:tr>
      <w:tr w:rsidR="00F15CA1" w:rsidRPr="001107AC" w14:paraId="393378CC" w14:textId="77777777" w:rsidTr="00AB1F75">
        <w:tc>
          <w:tcPr>
            <w:tcW w:w="3541" w:type="dxa"/>
          </w:tcPr>
          <w:p w14:paraId="5BACA569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RVOT PLAX (cm)</w:t>
            </w:r>
          </w:p>
        </w:tc>
        <w:tc>
          <w:tcPr>
            <w:tcW w:w="2975" w:type="dxa"/>
          </w:tcPr>
          <w:p w14:paraId="095289AF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 xml:space="preserve">3.4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0.7</w:t>
            </w:r>
          </w:p>
        </w:tc>
        <w:tc>
          <w:tcPr>
            <w:tcW w:w="2839" w:type="dxa"/>
          </w:tcPr>
          <w:p w14:paraId="3E78BE90" w14:textId="77777777" w:rsidR="00F15CA1" w:rsidRPr="00F2301A" w:rsidRDefault="00F15CA1" w:rsidP="00AB1F75">
            <w:pPr>
              <w:jc w:val="center"/>
              <w:rPr>
                <w:sz w:val="20"/>
                <w:szCs w:val="20"/>
              </w:rPr>
            </w:pPr>
            <w:r w:rsidRPr="00F2301A">
              <w:rPr>
                <w:sz w:val="20"/>
                <w:szCs w:val="20"/>
              </w:rPr>
              <w:t>2.7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±0.4</w:t>
            </w:r>
          </w:p>
        </w:tc>
      </w:tr>
      <w:tr w:rsidR="00F15CA1" w:rsidRPr="001107AC" w14:paraId="6265FC6A" w14:textId="77777777" w:rsidTr="00AB1F75">
        <w:tc>
          <w:tcPr>
            <w:tcW w:w="3541" w:type="dxa"/>
          </w:tcPr>
          <w:p w14:paraId="06AE05D3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Proximal RVOT(RVOT1)PSAX(cm)</w:t>
            </w:r>
          </w:p>
        </w:tc>
        <w:tc>
          <w:tcPr>
            <w:tcW w:w="2975" w:type="dxa"/>
          </w:tcPr>
          <w:p w14:paraId="5D222FB7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2.9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0.4</w:t>
            </w:r>
          </w:p>
        </w:tc>
        <w:tc>
          <w:tcPr>
            <w:tcW w:w="2839" w:type="dxa"/>
          </w:tcPr>
          <w:p w14:paraId="038D64F0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</w:rPr>
              <w:t xml:space="preserve">2.9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±0.4</w:t>
            </w:r>
          </w:p>
        </w:tc>
      </w:tr>
      <w:tr w:rsidR="00F15CA1" w:rsidRPr="001107AC" w14:paraId="52794049" w14:textId="77777777" w:rsidTr="00AB1F75">
        <w:tc>
          <w:tcPr>
            <w:tcW w:w="3541" w:type="dxa"/>
          </w:tcPr>
          <w:p w14:paraId="7D91554E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4C base  RV1(cm)</w:t>
            </w:r>
          </w:p>
        </w:tc>
        <w:tc>
          <w:tcPr>
            <w:tcW w:w="2975" w:type="dxa"/>
          </w:tcPr>
          <w:p w14:paraId="4B8299A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3.3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0.5</w:t>
            </w:r>
          </w:p>
        </w:tc>
        <w:tc>
          <w:tcPr>
            <w:tcW w:w="2839" w:type="dxa"/>
          </w:tcPr>
          <w:p w14:paraId="6C4C9EE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</w:rPr>
              <w:t xml:space="preserve">3.4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0.6</w:t>
            </w:r>
          </w:p>
        </w:tc>
      </w:tr>
      <w:tr w:rsidR="00F15CA1" w:rsidRPr="001107AC" w14:paraId="724552B6" w14:textId="77777777" w:rsidTr="00AB1F75">
        <w:tc>
          <w:tcPr>
            <w:tcW w:w="3541" w:type="dxa"/>
          </w:tcPr>
          <w:p w14:paraId="10A4233D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4C mid  RV2 (cm)</w:t>
            </w:r>
          </w:p>
        </w:tc>
        <w:tc>
          <w:tcPr>
            <w:tcW w:w="2975" w:type="dxa"/>
          </w:tcPr>
          <w:p w14:paraId="03E8922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2.9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±0.5</w:t>
            </w:r>
          </w:p>
        </w:tc>
        <w:tc>
          <w:tcPr>
            <w:tcW w:w="2839" w:type="dxa"/>
          </w:tcPr>
          <w:p w14:paraId="0C3BEED0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</w:rPr>
              <w:t>2.9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±0.4</w:t>
            </w:r>
          </w:p>
        </w:tc>
      </w:tr>
      <w:tr w:rsidR="00F15CA1" w:rsidRPr="001107AC" w14:paraId="07321751" w14:textId="77777777" w:rsidTr="00AB1F75">
        <w:tc>
          <w:tcPr>
            <w:tcW w:w="3541" w:type="dxa"/>
          </w:tcPr>
          <w:p w14:paraId="68831650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4C length RV3 (cm)</w:t>
            </w:r>
          </w:p>
        </w:tc>
        <w:tc>
          <w:tcPr>
            <w:tcW w:w="2975" w:type="dxa"/>
          </w:tcPr>
          <w:p w14:paraId="07FBE132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6.2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0.8</w:t>
            </w:r>
          </w:p>
        </w:tc>
        <w:tc>
          <w:tcPr>
            <w:tcW w:w="2839" w:type="dxa"/>
          </w:tcPr>
          <w:p w14:paraId="64FADE6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7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±0.8</w:t>
            </w:r>
          </w:p>
        </w:tc>
      </w:tr>
      <w:tr w:rsidR="00F15CA1" w:rsidRPr="001107AC" w14:paraId="19B49C4A" w14:textId="77777777" w:rsidTr="00AB1F75">
        <w:tc>
          <w:tcPr>
            <w:tcW w:w="3541" w:type="dxa"/>
          </w:tcPr>
          <w:p w14:paraId="27B53D5E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RVEDA (cm2)</w:t>
            </w:r>
          </w:p>
        </w:tc>
        <w:tc>
          <w:tcPr>
            <w:tcW w:w="2975" w:type="dxa"/>
          </w:tcPr>
          <w:p w14:paraId="6F0008CD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19.8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±3.2</w:t>
            </w:r>
          </w:p>
        </w:tc>
        <w:tc>
          <w:tcPr>
            <w:tcW w:w="2839" w:type="dxa"/>
          </w:tcPr>
          <w:p w14:paraId="6F5E8F84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20.9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±6.1</w:t>
            </w:r>
          </w:p>
        </w:tc>
      </w:tr>
      <w:tr w:rsidR="00F15CA1" w:rsidRPr="001107AC" w14:paraId="659FE687" w14:textId="77777777" w:rsidTr="00AB1F75">
        <w:tc>
          <w:tcPr>
            <w:tcW w:w="3541" w:type="dxa"/>
          </w:tcPr>
          <w:p w14:paraId="40DC7490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RVESA(cm2)</w:t>
            </w:r>
          </w:p>
        </w:tc>
        <w:tc>
          <w:tcPr>
            <w:tcW w:w="2975" w:type="dxa"/>
          </w:tcPr>
          <w:p w14:paraId="64707C32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10.4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±2.2</w:t>
            </w:r>
          </w:p>
        </w:tc>
        <w:tc>
          <w:tcPr>
            <w:tcW w:w="2839" w:type="dxa"/>
          </w:tcPr>
          <w:p w14:paraId="4A5979BB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9.5±3.3</w:t>
            </w:r>
          </w:p>
        </w:tc>
      </w:tr>
      <w:tr w:rsidR="00F15CA1" w:rsidRPr="001107AC" w14:paraId="151410CD" w14:textId="77777777" w:rsidTr="00AB1F75">
        <w:tc>
          <w:tcPr>
            <w:tcW w:w="3541" w:type="dxa"/>
          </w:tcPr>
          <w:p w14:paraId="425BC2F4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FAC(%)</w:t>
            </w:r>
          </w:p>
        </w:tc>
        <w:tc>
          <w:tcPr>
            <w:tcW w:w="2975" w:type="dxa"/>
          </w:tcPr>
          <w:p w14:paraId="5552D26C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47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8</w:t>
            </w:r>
          </w:p>
        </w:tc>
        <w:tc>
          <w:tcPr>
            <w:tcW w:w="2839" w:type="dxa"/>
          </w:tcPr>
          <w:p w14:paraId="655F5385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54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±11</w:t>
            </w:r>
          </w:p>
        </w:tc>
      </w:tr>
      <w:tr w:rsidR="00F15CA1" w:rsidRPr="001107AC" w14:paraId="33ED6309" w14:textId="77777777" w:rsidTr="00AB1F75">
        <w:tc>
          <w:tcPr>
            <w:tcW w:w="3541" w:type="dxa"/>
          </w:tcPr>
          <w:p w14:paraId="3DD54923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TAPSE(cm)</w:t>
            </w:r>
          </w:p>
        </w:tc>
        <w:tc>
          <w:tcPr>
            <w:tcW w:w="2975" w:type="dxa"/>
          </w:tcPr>
          <w:p w14:paraId="3A639430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2.5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0.3</w:t>
            </w:r>
          </w:p>
        </w:tc>
        <w:tc>
          <w:tcPr>
            <w:tcW w:w="2839" w:type="dxa"/>
          </w:tcPr>
          <w:p w14:paraId="1938D26D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2.5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±0.5</w:t>
            </w:r>
          </w:p>
        </w:tc>
      </w:tr>
      <w:tr w:rsidR="00F15CA1" w:rsidRPr="001107AC" w14:paraId="3934F7E2" w14:textId="77777777" w:rsidTr="00AB1F75">
        <w:tc>
          <w:tcPr>
            <w:tcW w:w="3541" w:type="dxa"/>
          </w:tcPr>
          <w:p w14:paraId="34FD1607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EDV(ml)</w:t>
            </w:r>
          </w:p>
        </w:tc>
        <w:tc>
          <w:tcPr>
            <w:tcW w:w="2975" w:type="dxa"/>
          </w:tcPr>
          <w:p w14:paraId="6C42E880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81.8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±16.5</w:t>
            </w:r>
          </w:p>
        </w:tc>
        <w:tc>
          <w:tcPr>
            <w:tcW w:w="2839" w:type="dxa"/>
          </w:tcPr>
          <w:p w14:paraId="5DDE6E2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101.3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±23.2</w:t>
            </w:r>
          </w:p>
        </w:tc>
      </w:tr>
      <w:tr w:rsidR="00F15CA1" w:rsidRPr="001107AC" w14:paraId="4EEB15AE" w14:textId="77777777" w:rsidTr="00AB1F75">
        <w:tc>
          <w:tcPr>
            <w:tcW w:w="3541" w:type="dxa"/>
          </w:tcPr>
          <w:p w14:paraId="40165C8A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ESV(ml)</w:t>
            </w:r>
          </w:p>
        </w:tc>
        <w:tc>
          <w:tcPr>
            <w:tcW w:w="2975" w:type="dxa"/>
          </w:tcPr>
          <w:p w14:paraId="34E8DFE4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25.5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±5.8</w:t>
            </w:r>
          </w:p>
        </w:tc>
        <w:tc>
          <w:tcPr>
            <w:tcW w:w="2839" w:type="dxa"/>
          </w:tcPr>
          <w:p w14:paraId="64E20BC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39.1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±12.7</w:t>
            </w:r>
          </w:p>
        </w:tc>
      </w:tr>
      <w:tr w:rsidR="00F15CA1" w:rsidRPr="001107AC" w14:paraId="6F710251" w14:textId="77777777" w:rsidTr="00AB1F75">
        <w:tc>
          <w:tcPr>
            <w:tcW w:w="3541" w:type="dxa"/>
          </w:tcPr>
          <w:p w14:paraId="2BAB9120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EF (%)</w:t>
            </w:r>
          </w:p>
        </w:tc>
        <w:tc>
          <w:tcPr>
            <w:tcW w:w="2975" w:type="dxa"/>
          </w:tcPr>
          <w:p w14:paraId="6FEB3517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68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6</w:t>
            </w:r>
          </w:p>
        </w:tc>
        <w:tc>
          <w:tcPr>
            <w:tcW w:w="2839" w:type="dxa"/>
          </w:tcPr>
          <w:p w14:paraId="2D60A39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63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±5</w:t>
            </w:r>
          </w:p>
        </w:tc>
      </w:tr>
      <w:tr w:rsidR="00F15CA1" w:rsidRPr="001107AC" w14:paraId="6AAA0BD6" w14:textId="77777777" w:rsidTr="00AB1F75">
        <w:tc>
          <w:tcPr>
            <w:tcW w:w="3541" w:type="dxa"/>
          </w:tcPr>
          <w:p w14:paraId="5D72C02E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LA Area(cm²)</w:t>
            </w:r>
          </w:p>
        </w:tc>
        <w:tc>
          <w:tcPr>
            <w:tcW w:w="2975" w:type="dxa"/>
          </w:tcPr>
          <w:p w14:paraId="16438E23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16.1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±5</w:t>
            </w:r>
          </w:p>
        </w:tc>
        <w:tc>
          <w:tcPr>
            <w:tcW w:w="2839" w:type="dxa"/>
          </w:tcPr>
          <w:p w14:paraId="38B09DFF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16.4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</w:t>
            </w:r>
          </w:p>
        </w:tc>
      </w:tr>
      <w:tr w:rsidR="00F15CA1" w:rsidRPr="001107AC" w14:paraId="4B5A1424" w14:textId="77777777" w:rsidTr="00AB1F75">
        <w:tc>
          <w:tcPr>
            <w:tcW w:w="3541" w:type="dxa"/>
          </w:tcPr>
          <w:p w14:paraId="18950688" w14:textId="77777777" w:rsidR="00F15CA1" w:rsidRPr="00B752C2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  <w:lang w:val="pt-PT"/>
              </w:rPr>
              <w:t>LA Volume(ml)</w:t>
            </w:r>
          </w:p>
        </w:tc>
        <w:tc>
          <w:tcPr>
            <w:tcW w:w="2975" w:type="dxa"/>
          </w:tcPr>
          <w:p w14:paraId="28285790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44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±19.8</w:t>
            </w:r>
          </w:p>
        </w:tc>
        <w:tc>
          <w:tcPr>
            <w:tcW w:w="2839" w:type="dxa"/>
          </w:tcPr>
          <w:p w14:paraId="2EB40615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40.6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±11.6</w:t>
            </w:r>
          </w:p>
        </w:tc>
      </w:tr>
      <w:tr w:rsidR="00F15CA1" w:rsidRPr="001107AC" w14:paraId="3EC4090D" w14:textId="77777777" w:rsidTr="00AB1F75">
        <w:tc>
          <w:tcPr>
            <w:tcW w:w="9355" w:type="dxa"/>
            <w:gridSpan w:val="3"/>
          </w:tcPr>
          <w:p w14:paraId="59C391FA" w14:textId="77777777" w:rsidR="00F15CA1" w:rsidRPr="00F2301A" w:rsidRDefault="00F15CA1" w:rsidP="00AB1F75">
            <w:pPr>
              <w:rPr>
                <w:b/>
                <w:bCs/>
                <w:sz w:val="20"/>
                <w:szCs w:val="20"/>
                <w:lang w:val="pt-PT"/>
              </w:rPr>
            </w:pPr>
            <w:r w:rsidRPr="00F2301A">
              <w:rPr>
                <w:b/>
                <w:bCs/>
                <w:sz w:val="20"/>
                <w:szCs w:val="20"/>
                <w:lang w:val="pt-PT"/>
              </w:rPr>
              <w:t>ECG</w:t>
            </w:r>
          </w:p>
        </w:tc>
      </w:tr>
      <w:tr w:rsidR="00F15CA1" w:rsidRPr="001107AC" w14:paraId="0A85503A" w14:textId="77777777" w:rsidTr="00AB1F75">
        <w:tc>
          <w:tcPr>
            <w:tcW w:w="3541" w:type="dxa"/>
          </w:tcPr>
          <w:p w14:paraId="019BFA6A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HR</w:t>
            </w:r>
          </w:p>
        </w:tc>
        <w:tc>
          <w:tcPr>
            <w:tcW w:w="2975" w:type="dxa"/>
          </w:tcPr>
          <w:p w14:paraId="57E25AF2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67</w:t>
            </w:r>
            <w:r w:rsidRPr="00F2301A">
              <w:rPr>
                <w:sz w:val="20"/>
                <w:szCs w:val="20"/>
              </w:rPr>
              <w:t xml:space="preserve">.7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±13.6</w:t>
            </w:r>
          </w:p>
        </w:tc>
        <w:tc>
          <w:tcPr>
            <w:tcW w:w="2839" w:type="dxa"/>
          </w:tcPr>
          <w:p w14:paraId="21C7D6BA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71.3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±15.1</w:t>
            </w:r>
          </w:p>
        </w:tc>
      </w:tr>
      <w:tr w:rsidR="00F15CA1" w:rsidRPr="001107AC" w14:paraId="595E0C82" w14:textId="77777777" w:rsidTr="00AB1F75">
        <w:tc>
          <w:tcPr>
            <w:tcW w:w="3541" w:type="dxa"/>
          </w:tcPr>
          <w:p w14:paraId="37636C74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PR interval(ms)</w:t>
            </w:r>
          </w:p>
        </w:tc>
        <w:tc>
          <w:tcPr>
            <w:tcW w:w="2975" w:type="dxa"/>
          </w:tcPr>
          <w:p w14:paraId="7C447E7F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157.2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±31</w:t>
            </w:r>
          </w:p>
        </w:tc>
        <w:tc>
          <w:tcPr>
            <w:tcW w:w="2839" w:type="dxa"/>
          </w:tcPr>
          <w:p w14:paraId="6AB5BE9A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144.9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±20.5</w:t>
            </w:r>
          </w:p>
        </w:tc>
      </w:tr>
      <w:tr w:rsidR="00F15CA1" w:rsidRPr="001107AC" w14:paraId="2413D491" w14:textId="77777777" w:rsidTr="00AB1F75">
        <w:tc>
          <w:tcPr>
            <w:tcW w:w="3541" w:type="dxa"/>
          </w:tcPr>
          <w:p w14:paraId="0812CD04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QRS d</w:t>
            </w:r>
            <w:r>
              <w:rPr>
                <w:sz w:val="20"/>
                <w:szCs w:val="20"/>
                <w:lang w:val="pt-PT"/>
              </w:rPr>
              <w:t>urat</w:t>
            </w:r>
            <w:r w:rsidRPr="001107AC">
              <w:rPr>
                <w:sz w:val="20"/>
                <w:szCs w:val="20"/>
                <w:lang w:val="pt-PT"/>
              </w:rPr>
              <w:t>ion(ms)</w:t>
            </w:r>
          </w:p>
        </w:tc>
        <w:tc>
          <w:tcPr>
            <w:tcW w:w="2975" w:type="dxa"/>
          </w:tcPr>
          <w:p w14:paraId="544FDA9C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101.4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38.6</w:t>
            </w:r>
          </w:p>
        </w:tc>
        <w:tc>
          <w:tcPr>
            <w:tcW w:w="2839" w:type="dxa"/>
          </w:tcPr>
          <w:p w14:paraId="1682697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93.6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±11</w:t>
            </w:r>
          </w:p>
        </w:tc>
      </w:tr>
      <w:tr w:rsidR="00F15CA1" w:rsidRPr="001107AC" w14:paraId="6773E71E" w14:textId="77777777" w:rsidTr="00AB1F75">
        <w:tc>
          <w:tcPr>
            <w:tcW w:w="3541" w:type="dxa"/>
          </w:tcPr>
          <w:p w14:paraId="27CE8137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QT(ms)</w:t>
            </w:r>
          </w:p>
        </w:tc>
        <w:tc>
          <w:tcPr>
            <w:tcW w:w="2975" w:type="dxa"/>
          </w:tcPr>
          <w:p w14:paraId="383FD9D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388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±32.3</w:t>
            </w:r>
          </w:p>
        </w:tc>
        <w:tc>
          <w:tcPr>
            <w:tcW w:w="2839" w:type="dxa"/>
          </w:tcPr>
          <w:p w14:paraId="04951C86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384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±36.8</w:t>
            </w:r>
          </w:p>
        </w:tc>
      </w:tr>
      <w:tr w:rsidR="00F15CA1" w:rsidRPr="001107AC" w14:paraId="14E85927" w14:textId="77777777" w:rsidTr="00AB1F75">
        <w:tc>
          <w:tcPr>
            <w:tcW w:w="3541" w:type="dxa"/>
          </w:tcPr>
          <w:p w14:paraId="64764AB4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QTC(ms)</w:t>
            </w:r>
          </w:p>
        </w:tc>
        <w:tc>
          <w:tcPr>
            <w:tcW w:w="2975" w:type="dxa"/>
          </w:tcPr>
          <w:p w14:paraId="291CCF4E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406.3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±28</w:t>
            </w:r>
          </w:p>
        </w:tc>
        <w:tc>
          <w:tcPr>
            <w:tcW w:w="2839" w:type="dxa"/>
          </w:tcPr>
          <w:p w14:paraId="5149BD1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403.5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±25.5</w:t>
            </w:r>
          </w:p>
        </w:tc>
      </w:tr>
      <w:tr w:rsidR="00F15CA1" w:rsidRPr="001107AC" w14:paraId="7EBCE0C1" w14:textId="77777777" w:rsidTr="00AB1F75">
        <w:tc>
          <w:tcPr>
            <w:tcW w:w="3541" w:type="dxa"/>
          </w:tcPr>
          <w:p w14:paraId="30B0E451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P axes</w:t>
            </w:r>
          </w:p>
        </w:tc>
        <w:tc>
          <w:tcPr>
            <w:tcW w:w="2975" w:type="dxa"/>
          </w:tcPr>
          <w:p w14:paraId="0D33C548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39.9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±33.1</w:t>
            </w:r>
          </w:p>
        </w:tc>
        <w:tc>
          <w:tcPr>
            <w:tcW w:w="2839" w:type="dxa"/>
          </w:tcPr>
          <w:p w14:paraId="16240412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44.8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±24</w:t>
            </w:r>
          </w:p>
        </w:tc>
      </w:tr>
      <w:tr w:rsidR="00F15CA1" w:rsidRPr="001107AC" w14:paraId="0B459F2D" w14:textId="77777777" w:rsidTr="00AB1F75">
        <w:tc>
          <w:tcPr>
            <w:tcW w:w="3541" w:type="dxa"/>
          </w:tcPr>
          <w:p w14:paraId="2F07517D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QRS axes</w:t>
            </w:r>
          </w:p>
        </w:tc>
        <w:tc>
          <w:tcPr>
            <w:tcW w:w="2975" w:type="dxa"/>
          </w:tcPr>
          <w:p w14:paraId="46CDE82D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40.6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±35.9</w:t>
            </w:r>
          </w:p>
        </w:tc>
        <w:tc>
          <w:tcPr>
            <w:tcW w:w="2839" w:type="dxa"/>
          </w:tcPr>
          <w:p w14:paraId="6450CFED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38.4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±39.3</w:t>
            </w:r>
          </w:p>
        </w:tc>
      </w:tr>
      <w:tr w:rsidR="00F15CA1" w:rsidRPr="001107AC" w14:paraId="52D00ABE" w14:textId="77777777" w:rsidTr="00AB1F75">
        <w:tc>
          <w:tcPr>
            <w:tcW w:w="3541" w:type="dxa"/>
          </w:tcPr>
          <w:p w14:paraId="08F8404B" w14:textId="77777777" w:rsidR="00F15CA1" w:rsidRPr="001107AC" w:rsidRDefault="00F15CA1" w:rsidP="00AB1F75">
            <w:pPr>
              <w:rPr>
                <w:sz w:val="20"/>
                <w:szCs w:val="20"/>
                <w:lang w:val="pt-PT"/>
              </w:rPr>
            </w:pPr>
            <w:r w:rsidRPr="001107AC">
              <w:rPr>
                <w:sz w:val="20"/>
                <w:szCs w:val="20"/>
                <w:lang w:val="pt-PT"/>
              </w:rPr>
              <w:t>T axes</w:t>
            </w:r>
          </w:p>
        </w:tc>
        <w:tc>
          <w:tcPr>
            <w:tcW w:w="2975" w:type="dxa"/>
          </w:tcPr>
          <w:p w14:paraId="36C7208A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34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±15.1</w:t>
            </w:r>
          </w:p>
        </w:tc>
        <w:tc>
          <w:tcPr>
            <w:tcW w:w="2839" w:type="dxa"/>
          </w:tcPr>
          <w:p w14:paraId="103816D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39.7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±20.3</w:t>
            </w:r>
          </w:p>
        </w:tc>
      </w:tr>
      <w:tr w:rsidR="00F15CA1" w:rsidRPr="001107AC" w14:paraId="3F77F8F3" w14:textId="77777777" w:rsidTr="00AB1F75">
        <w:tc>
          <w:tcPr>
            <w:tcW w:w="3541" w:type="dxa"/>
          </w:tcPr>
          <w:p w14:paraId="12390B6B" w14:textId="77777777" w:rsidR="00F15CA1" w:rsidRPr="00245293" w:rsidRDefault="00F15CA1" w:rsidP="00AB1F75">
            <w:pPr>
              <w:rPr>
                <w:b/>
                <w:bCs/>
                <w:sz w:val="20"/>
                <w:szCs w:val="20"/>
                <w:lang w:val="pt-PT"/>
              </w:rPr>
            </w:pPr>
            <w:r w:rsidRPr="00245293">
              <w:rPr>
                <w:b/>
                <w:bCs/>
                <w:sz w:val="20"/>
                <w:szCs w:val="20"/>
                <w:lang w:val="pt-PT"/>
              </w:rPr>
              <w:t>SAECG</w:t>
            </w:r>
          </w:p>
        </w:tc>
        <w:tc>
          <w:tcPr>
            <w:tcW w:w="2975" w:type="dxa"/>
          </w:tcPr>
          <w:p w14:paraId="3177CD08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2839" w:type="dxa"/>
          </w:tcPr>
          <w:p w14:paraId="5C01787B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F15CA1" w:rsidRPr="001107AC" w14:paraId="011DA844" w14:textId="77777777" w:rsidTr="00AB1F75">
        <w:tc>
          <w:tcPr>
            <w:tcW w:w="3541" w:type="dxa"/>
          </w:tcPr>
          <w:p w14:paraId="78965C30" w14:textId="77777777" w:rsidR="00F15CA1" w:rsidRPr="001107AC" w:rsidRDefault="00F15CA1" w:rsidP="00AB1F75">
            <w:pPr>
              <w:rPr>
                <w:sz w:val="20"/>
                <w:szCs w:val="20"/>
              </w:rPr>
            </w:pPr>
            <w:r w:rsidRPr="001107AC">
              <w:rPr>
                <w:sz w:val="20"/>
                <w:szCs w:val="20"/>
              </w:rPr>
              <w:t>Std.QRS durarion (unfiltered)(ms)</w:t>
            </w:r>
          </w:p>
        </w:tc>
        <w:tc>
          <w:tcPr>
            <w:tcW w:w="2975" w:type="dxa"/>
          </w:tcPr>
          <w:p w14:paraId="3B5B9C7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90.0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±11.8</w:t>
            </w:r>
          </w:p>
        </w:tc>
        <w:tc>
          <w:tcPr>
            <w:tcW w:w="2839" w:type="dxa"/>
          </w:tcPr>
          <w:p w14:paraId="448D7065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94.4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±10.1</w:t>
            </w:r>
          </w:p>
        </w:tc>
      </w:tr>
      <w:tr w:rsidR="00F15CA1" w:rsidRPr="001107AC" w14:paraId="16E0B9EA" w14:textId="77777777" w:rsidTr="00AB1F75">
        <w:tc>
          <w:tcPr>
            <w:tcW w:w="3541" w:type="dxa"/>
          </w:tcPr>
          <w:p w14:paraId="69CCD673" w14:textId="77777777" w:rsidR="00F15CA1" w:rsidRPr="001107AC" w:rsidRDefault="00F15CA1" w:rsidP="00AB1F75">
            <w:pPr>
              <w:rPr>
                <w:sz w:val="20"/>
                <w:szCs w:val="20"/>
                <w:lang w:val="sv-SE"/>
              </w:rPr>
            </w:pPr>
            <w:r w:rsidRPr="001107AC">
              <w:rPr>
                <w:sz w:val="20"/>
                <w:szCs w:val="20"/>
                <w:lang w:val="sv-SE"/>
              </w:rPr>
              <w:t>Total.QRS durartion(filtered)(ms)</w:t>
            </w:r>
          </w:p>
        </w:tc>
        <w:tc>
          <w:tcPr>
            <w:tcW w:w="2975" w:type="dxa"/>
          </w:tcPr>
          <w:p w14:paraId="724BD7E3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sv-SE"/>
              </w:rPr>
            </w:pPr>
            <w:r w:rsidRPr="00F2301A">
              <w:rPr>
                <w:sz w:val="20"/>
                <w:szCs w:val="20"/>
                <w:lang w:val="pt-PT"/>
              </w:rPr>
              <w:t xml:space="preserve">116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27.3</w:t>
            </w:r>
          </w:p>
        </w:tc>
        <w:tc>
          <w:tcPr>
            <w:tcW w:w="2839" w:type="dxa"/>
          </w:tcPr>
          <w:p w14:paraId="62A60A2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pt-PT"/>
              </w:rPr>
            </w:pPr>
            <w:r w:rsidRPr="00F2301A">
              <w:rPr>
                <w:sz w:val="20"/>
                <w:szCs w:val="20"/>
                <w:lang w:val="pt-PT"/>
              </w:rPr>
              <w:t>103.5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±11</w:t>
            </w:r>
          </w:p>
        </w:tc>
      </w:tr>
      <w:tr w:rsidR="00F15CA1" w:rsidRPr="001107AC" w14:paraId="76FDD829" w14:textId="77777777" w:rsidTr="00AB1F75">
        <w:tc>
          <w:tcPr>
            <w:tcW w:w="3541" w:type="dxa"/>
          </w:tcPr>
          <w:p w14:paraId="4648F284" w14:textId="77777777" w:rsidR="00F15CA1" w:rsidRPr="001107AC" w:rsidRDefault="00F15CA1" w:rsidP="00AB1F75">
            <w:pPr>
              <w:rPr>
                <w:sz w:val="20"/>
                <w:szCs w:val="20"/>
                <w:lang w:val="en-US"/>
              </w:rPr>
            </w:pPr>
            <w:r w:rsidRPr="001107AC">
              <w:rPr>
                <w:sz w:val="20"/>
                <w:szCs w:val="20"/>
                <w:lang w:val="en-US"/>
              </w:rPr>
              <w:t>Duration of HFLA signals&lt;40mv(ms)</w:t>
            </w:r>
          </w:p>
        </w:tc>
        <w:tc>
          <w:tcPr>
            <w:tcW w:w="2975" w:type="dxa"/>
          </w:tcPr>
          <w:p w14:paraId="778C87BE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sv-SE"/>
              </w:rPr>
              <w:t xml:space="preserve">42.5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±24.9</w:t>
            </w:r>
          </w:p>
        </w:tc>
        <w:tc>
          <w:tcPr>
            <w:tcW w:w="2839" w:type="dxa"/>
          </w:tcPr>
          <w:p w14:paraId="65408366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sv-SE"/>
              </w:rPr>
            </w:pPr>
            <w:r w:rsidRPr="00F2301A">
              <w:rPr>
                <w:sz w:val="20"/>
                <w:szCs w:val="20"/>
                <w:lang w:val="sv-SE"/>
              </w:rPr>
              <w:t>29.5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±9.8</w:t>
            </w:r>
          </w:p>
        </w:tc>
      </w:tr>
      <w:tr w:rsidR="00F15CA1" w:rsidRPr="001107AC" w14:paraId="54C4EA82" w14:textId="77777777" w:rsidTr="00AB1F75">
        <w:tc>
          <w:tcPr>
            <w:tcW w:w="3541" w:type="dxa"/>
          </w:tcPr>
          <w:p w14:paraId="035AA39F" w14:textId="77777777" w:rsidR="00F15CA1" w:rsidRPr="001107AC" w:rsidRDefault="00F15CA1" w:rsidP="00AB1F75">
            <w:pPr>
              <w:rPr>
                <w:sz w:val="20"/>
                <w:szCs w:val="20"/>
                <w:lang w:val="en-US"/>
              </w:rPr>
            </w:pPr>
            <w:r w:rsidRPr="001107AC">
              <w:rPr>
                <w:sz w:val="20"/>
                <w:szCs w:val="20"/>
                <w:lang w:val="en-US"/>
              </w:rPr>
              <w:t>RMS voltage in terminal 40 ms(mv)</w:t>
            </w:r>
          </w:p>
        </w:tc>
        <w:tc>
          <w:tcPr>
            <w:tcW w:w="2975" w:type="dxa"/>
          </w:tcPr>
          <w:p w14:paraId="4743AEA7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 xml:space="preserve">31.8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 22.3</w:t>
            </w:r>
          </w:p>
        </w:tc>
        <w:tc>
          <w:tcPr>
            <w:tcW w:w="2839" w:type="dxa"/>
          </w:tcPr>
          <w:p w14:paraId="0A9016BC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44.1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±27.2</w:t>
            </w:r>
          </w:p>
        </w:tc>
      </w:tr>
      <w:tr w:rsidR="00F15CA1" w:rsidRPr="001107AC" w14:paraId="1CD70C14" w14:textId="77777777" w:rsidTr="00AB1F75">
        <w:tc>
          <w:tcPr>
            <w:tcW w:w="3541" w:type="dxa"/>
          </w:tcPr>
          <w:p w14:paraId="2165709E" w14:textId="77777777" w:rsidR="00F15CA1" w:rsidRPr="001107AC" w:rsidRDefault="00F15CA1" w:rsidP="00AB1F75">
            <w:pPr>
              <w:rPr>
                <w:sz w:val="20"/>
                <w:szCs w:val="20"/>
                <w:lang w:val="en-US"/>
              </w:rPr>
            </w:pPr>
            <w:r w:rsidRPr="001107AC">
              <w:rPr>
                <w:sz w:val="20"/>
                <w:szCs w:val="20"/>
                <w:lang w:val="en-US"/>
              </w:rPr>
              <w:t>Mean voltage in terminal 40 ms(mv)</w:t>
            </w:r>
          </w:p>
        </w:tc>
        <w:tc>
          <w:tcPr>
            <w:tcW w:w="2975" w:type="dxa"/>
          </w:tcPr>
          <w:p w14:paraId="4B9E2CBF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 xml:space="preserve">23.6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±12.5</w:t>
            </w:r>
          </w:p>
        </w:tc>
        <w:tc>
          <w:tcPr>
            <w:tcW w:w="2839" w:type="dxa"/>
          </w:tcPr>
          <w:p w14:paraId="0E2782F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28.6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±16.8</w:t>
            </w:r>
          </w:p>
        </w:tc>
      </w:tr>
      <w:tr w:rsidR="00F15CA1" w:rsidRPr="001107AC" w14:paraId="22E32AD7" w14:textId="77777777" w:rsidTr="00AB1F75">
        <w:tc>
          <w:tcPr>
            <w:tcW w:w="9355" w:type="dxa"/>
            <w:gridSpan w:val="3"/>
          </w:tcPr>
          <w:p w14:paraId="00F71B69" w14:textId="77777777" w:rsidR="00F15CA1" w:rsidRPr="00F2301A" w:rsidRDefault="00F15CA1" w:rsidP="00AB1F7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2301A">
              <w:rPr>
                <w:b/>
                <w:bCs/>
                <w:sz w:val="20"/>
                <w:szCs w:val="20"/>
                <w:lang w:val="en-US"/>
              </w:rPr>
              <w:t>Bio markers</w:t>
            </w:r>
          </w:p>
        </w:tc>
      </w:tr>
      <w:tr w:rsidR="00F15CA1" w:rsidRPr="001107AC" w14:paraId="5ECB1C1D" w14:textId="77777777" w:rsidTr="00AB1F75">
        <w:tc>
          <w:tcPr>
            <w:tcW w:w="3541" w:type="dxa"/>
          </w:tcPr>
          <w:p w14:paraId="7FEF4D93" w14:textId="77777777" w:rsidR="00F15CA1" w:rsidRPr="001107AC" w:rsidRDefault="00F15CA1" w:rsidP="00AB1F75">
            <w:pPr>
              <w:rPr>
                <w:sz w:val="20"/>
                <w:szCs w:val="20"/>
                <w:lang w:val="en-US"/>
              </w:rPr>
            </w:pPr>
            <w:r w:rsidRPr="001107AC">
              <w:rPr>
                <w:sz w:val="20"/>
                <w:szCs w:val="20"/>
                <w:lang w:val="en-US"/>
              </w:rPr>
              <w:t>Na(mmol/L)</w:t>
            </w:r>
          </w:p>
        </w:tc>
        <w:tc>
          <w:tcPr>
            <w:tcW w:w="2975" w:type="dxa"/>
          </w:tcPr>
          <w:p w14:paraId="1A7FF315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140.3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±1.7</w:t>
            </w:r>
          </w:p>
        </w:tc>
        <w:tc>
          <w:tcPr>
            <w:tcW w:w="2839" w:type="dxa"/>
          </w:tcPr>
          <w:p w14:paraId="399D3370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140.4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±1.9</w:t>
            </w:r>
          </w:p>
        </w:tc>
      </w:tr>
      <w:tr w:rsidR="00F15CA1" w:rsidRPr="001107AC" w14:paraId="3BCFEFDD" w14:textId="77777777" w:rsidTr="00AB1F75">
        <w:tc>
          <w:tcPr>
            <w:tcW w:w="3541" w:type="dxa"/>
          </w:tcPr>
          <w:p w14:paraId="310268DE" w14:textId="77777777" w:rsidR="00F15CA1" w:rsidRPr="001107AC" w:rsidRDefault="00F15CA1" w:rsidP="00AB1F75">
            <w:pPr>
              <w:rPr>
                <w:sz w:val="20"/>
                <w:szCs w:val="20"/>
                <w:lang w:val="en-US"/>
              </w:rPr>
            </w:pPr>
            <w:r w:rsidRPr="001107AC">
              <w:rPr>
                <w:sz w:val="20"/>
                <w:szCs w:val="20"/>
                <w:lang w:val="en-US"/>
              </w:rPr>
              <w:t>K(mmol/L)</w:t>
            </w:r>
          </w:p>
        </w:tc>
        <w:tc>
          <w:tcPr>
            <w:tcW w:w="2975" w:type="dxa"/>
          </w:tcPr>
          <w:p w14:paraId="447DC871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 xml:space="preserve">3.8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±0.3</w:t>
            </w:r>
          </w:p>
        </w:tc>
        <w:tc>
          <w:tcPr>
            <w:tcW w:w="2839" w:type="dxa"/>
          </w:tcPr>
          <w:p w14:paraId="287F6EF2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4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±0.2</w:t>
            </w:r>
          </w:p>
        </w:tc>
      </w:tr>
      <w:tr w:rsidR="00F15CA1" w:rsidRPr="001107AC" w14:paraId="36D41C84" w14:textId="77777777" w:rsidTr="00AB1F75">
        <w:tc>
          <w:tcPr>
            <w:tcW w:w="3541" w:type="dxa"/>
          </w:tcPr>
          <w:p w14:paraId="3331C2BC" w14:textId="086C875D" w:rsidR="00F15CA1" w:rsidRPr="001107AC" w:rsidRDefault="00F15CA1" w:rsidP="00AB1F75">
            <w:pPr>
              <w:rPr>
                <w:sz w:val="20"/>
                <w:szCs w:val="20"/>
                <w:lang w:val="en-US"/>
              </w:rPr>
            </w:pPr>
            <w:r w:rsidRPr="001107AC">
              <w:rPr>
                <w:sz w:val="20"/>
                <w:szCs w:val="20"/>
                <w:lang w:val="en-US"/>
              </w:rPr>
              <w:t>Creat</w:t>
            </w:r>
            <w:r w:rsidR="007115EB">
              <w:rPr>
                <w:sz w:val="20"/>
                <w:szCs w:val="20"/>
                <w:lang w:val="en-US"/>
              </w:rPr>
              <w:t xml:space="preserve">inine </w:t>
            </w:r>
            <w:r w:rsidRPr="001107AC">
              <w:rPr>
                <w:sz w:val="20"/>
                <w:szCs w:val="20"/>
                <w:lang w:val="en-US"/>
              </w:rPr>
              <w:t>(umol/L)</w:t>
            </w:r>
          </w:p>
        </w:tc>
        <w:tc>
          <w:tcPr>
            <w:tcW w:w="2975" w:type="dxa"/>
          </w:tcPr>
          <w:p w14:paraId="17086AC9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 xml:space="preserve">75.7 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±10</w:t>
            </w:r>
          </w:p>
        </w:tc>
        <w:tc>
          <w:tcPr>
            <w:tcW w:w="2839" w:type="dxa"/>
          </w:tcPr>
          <w:p w14:paraId="38F5553F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69.8±13.7</w:t>
            </w:r>
          </w:p>
        </w:tc>
      </w:tr>
      <w:tr w:rsidR="00F15CA1" w:rsidRPr="001107AC" w14:paraId="43D926A5" w14:textId="77777777" w:rsidTr="00AB1F75">
        <w:tc>
          <w:tcPr>
            <w:tcW w:w="3541" w:type="dxa"/>
          </w:tcPr>
          <w:p w14:paraId="0256CA80" w14:textId="5E7161E7" w:rsidR="00F15CA1" w:rsidRPr="00EE57B8" w:rsidRDefault="00F15CA1">
            <w:pPr>
              <w:rPr>
                <w:sz w:val="20"/>
                <w:szCs w:val="20"/>
                <w:lang w:val="de-DE"/>
              </w:rPr>
            </w:pPr>
            <w:r w:rsidRPr="00EE57B8">
              <w:rPr>
                <w:sz w:val="20"/>
                <w:szCs w:val="20"/>
                <w:lang w:val="de-DE"/>
              </w:rPr>
              <w:t>NT</w:t>
            </w:r>
            <w:r w:rsidR="007115EB" w:rsidRPr="00EE57B8">
              <w:rPr>
                <w:sz w:val="20"/>
                <w:szCs w:val="20"/>
                <w:lang w:val="de-DE"/>
              </w:rPr>
              <w:t>-</w:t>
            </w:r>
            <w:r w:rsidRPr="00EE57B8">
              <w:rPr>
                <w:sz w:val="20"/>
                <w:szCs w:val="20"/>
                <w:lang w:val="de-DE"/>
              </w:rPr>
              <w:t>pro BNP</w:t>
            </w:r>
            <w:r w:rsidR="007115EB" w:rsidRPr="00EE57B8">
              <w:rPr>
                <w:sz w:val="20"/>
                <w:szCs w:val="20"/>
                <w:lang w:val="de-DE"/>
              </w:rPr>
              <w:t xml:space="preserve"> (ng/L)</w:t>
            </w:r>
          </w:p>
        </w:tc>
        <w:tc>
          <w:tcPr>
            <w:tcW w:w="2975" w:type="dxa"/>
          </w:tcPr>
          <w:p w14:paraId="56A33C1B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39" w:type="dxa"/>
          </w:tcPr>
          <w:p w14:paraId="4F45CD13" w14:textId="77777777" w:rsidR="00F15CA1" w:rsidRPr="00F2301A" w:rsidRDefault="00F15CA1" w:rsidP="00AB1F75">
            <w:pPr>
              <w:jc w:val="center"/>
              <w:rPr>
                <w:sz w:val="20"/>
                <w:szCs w:val="20"/>
                <w:lang w:val="en-US"/>
              </w:rPr>
            </w:pPr>
            <w:r w:rsidRPr="00F2301A">
              <w:rPr>
                <w:sz w:val="20"/>
                <w:szCs w:val="20"/>
                <w:lang w:val="en-US"/>
              </w:rPr>
              <w:t>78.5</w:t>
            </w:r>
            <w:r w:rsidRPr="00F2301A">
              <w:rPr>
                <w:color w:val="202124"/>
                <w:sz w:val="20"/>
                <w:szCs w:val="20"/>
                <w:shd w:val="clear" w:color="auto" w:fill="FFFFFF"/>
              </w:rPr>
              <w:t>±43.5</w:t>
            </w:r>
          </w:p>
        </w:tc>
      </w:tr>
    </w:tbl>
    <w:p w14:paraId="7CAC727C" w14:textId="7B2962F5" w:rsidR="00F15CA1" w:rsidRDefault="00F15CA1" w:rsidP="00F15CA1">
      <w:pPr>
        <w:jc w:val="both"/>
        <w:rPr>
          <w:i/>
          <w:iCs/>
          <w:color w:val="262626"/>
          <w:sz w:val="20"/>
          <w:szCs w:val="20"/>
          <w:shd w:val="clear" w:color="auto" w:fill="FFFFFF"/>
        </w:rPr>
      </w:pPr>
      <w:r w:rsidRPr="00BF0A0B">
        <w:rPr>
          <w:i/>
          <w:iCs/>
          <w:sz w:val="20"/>
          <w:szCs w:val="20"/>
        </w:rPr>
        <w:t xml:space="preserve">Abbreviations: </w:t>
      </w:r>
      <w:r w:rsidRPr="00BF0A0B">
        <w:rPr>
          <w:i/>
          <w:iCs/>
          <w:color w:val="262626"/>
          <w:sz w:val="20"/>
          <w:szCs w:val="20"/>
          <w:shd w:val="clear" w:color="auto" w:fill="FFFFFF"/>
        </w:rPr>
        <w:t>Body surface area</w:t>
      </w:r>
      <w:r w:rsidRPr="00BF0A0B">
        <w:rPr>
          <w:i/>
          <w:iCs/>
          <w:sz w:val="20"/>
          <w:szCs w:val="20"/>
        </w:rPr>
        <w:t xml:space="preserve"> BSA, </w:t>
      </w:r>
      <w:r w:rsidRPr="00BF0A0B">
        <w:rPr>
          <w:i/>
          <w:iCs/>
          <w:color w:val="262626"/>
          <w:sz w:val="20"/>
          <w:szCs w:val="20"/>
          <w:shd w:val="clear" w:color="auto" w:fill="FFFFFF"/>
        </w:rPr>
        <w:t>Body Mass Index</w:t>
      </w:r>
      <w:r w:rsidRPr="00BF0A0B">
        <w:rPr>
          <w:i/>
          <w:iCs/>
          <w:sz w:val="20"/>
          <w:szCs w:val="20"/>
        </w:rPr>
        <w:t xml:space="preserve"> BMI,</w:t>
      </w:r>
      <w:r w:rsidR="007115EB">
        <w:rPr>
          <w:i/>
          <w:iCs/>
          <w:sz w:val="20"/>
          <w:szCs w:val="20"/>
        </w:rPr>
        <w:t xml:space="preserve"> N-terminal pro-</w:t>
      </w:r>
      <w:r w:rsidRPr="00BF0A0B">
        <w:rPr>
          <w:i/>
          <w:iCs/>
          <w:color w:val="000000"/>
          <w:sz w:val="20"/>
          <w:szCs w:val="20"/>
        </w:rPr>
        <w:t xml:space="preserve">B-type natriuretic peptide NT-proBNP, Sodium Na, Potassium K, </w:t>
      </w:r>
      <w:r w:rsidRPr="00384550">
        <w:rPr>
          <w:i/>
          <w:iCs/>
          <w:sz w:val="20"/>
          <w:szCs w:val="20"/>
        </w:rPr>
        <w:t xml:space="preserve">right atrial area RA area,, Right ventricular outflow tract Parasternal long axis </w:t>
      </w:r>
      <w:r w:rsidRPr="00384550">
        <w:rPr>
          <w:i/>
          <w:iCs/>
          <w:color w:val="000000"/>
          <w:sz w:val="20"/>
          <w:szCs w:val="20"/>
        </w:rPr>
        <w:t>RVOT PLAX,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 Right   </w:t>
      </w:r>
      <w:r>
        <w:rPr>
          <w:i/>
          <w:iCs/>
          <w:color w:val="262626"/>
          <w:sz w:val="20"/>
          <w:szCs w:val="20"/>
          <w:shd w:val="clear" w:color="auto" w:fill="FFFFFF"/>
        </w:rPr>
        <w:t xml:space="preserve">   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ventricular outflow tract Parasternal short axis </w:t>
      </w:r>
      <w:r w:rsidRPr="00384550">
        <w:rPr>
          <w:i/>
          <w:iCs/>
          <w:color w:val="000000"/>
          <w:sz w:val="20"/>
          <w:szCs w:val="20"/>
        </w:rPr>
        <w:t xml:space="preserve">RVOT PSAX, 4 chamber 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Right ventricular basal diameter </w:t>
      </w:r>
      <w:r w:rsidRPr="00384550">
        <w:rPr>
          <w:i/>
          <w:iCs/>
          <w:color w:val="000000"/>
          <w:sz w:val="20"/>
          <w:szCs w:val="20"/>
        </w:rPr>
        <w:t>4C base RV1,</w:t>
      </w:r>
      <w:r>
        <w:rPr>
          <w:i/>
          <w:iCs/>
          <w:color w:val="000000"/>
          <w:sz w:val="20"/>
          <w:szCs w:val="20"/>
        </w:rPr>
        <w:t xml:space="preserve"> </w:t>
      </w:r>
      <w:r w:rsidRPr="00384550">
        <w:rPr>
          <w:i/>
          <w:iCs/>
          <w:color w:val="000000"/>
          <w:sz w:val="20"/>
          <w:szCs w:val="20"/>
        </w:rPr>
        <w:t xml:space="preserve">4 chamber 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Right ventricular mid diameter </w:t>
      </w:r>
      <w:r w:rsidRPr="00384550">
        <w:rPr>
          <w:i/>
          <w:iCs/>
          <w:color w:val="000000"/>
          <w:sz w:val="20"/>
          <w:szCs w:val="20"/>
        </w:rPr>
        <w:t xml:space="preserve">4C mid RV2, 4 chamber  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Right ventricular length </w:t>
      </w:r>
      <w:r w:rsidRPr="00384550">
        <w:rPr>
          <w:i/>
          <w:iCs/>
          <w:color w:val="000000"/>
          <w:sz w:val="20"/>
          <w:szCs w:val="20"/>
        </w:rPr>
        <w:t>4C length RV3,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 Right ventricular end diastolic area </w:t>
      </w:r>
      <w:r w:rsidRPr="00384550">
        <w:rPr>
          <w:i/>
          <w:iCs/>
          <w:color w:val="000000"/>
          <w:sz w:val="20"/>
          <w:szCs w:val="20"/>
        </w:rPr>
        <w:t xml:space="preserve">RVEDA, 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Right ventricular end systolic area </w:t>
      </w:r>
      <w:r w:rsidRPr="00384550">
        <w:rPr>
          <w:i/>
          <w:iCs/>
          <w:color w:val="000000"/>
          <w:sz w:val="20"/>
          <w:szCs w:val="20"/>
        </w:rPr>
        <w:t>RVESA,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 xml:space="preserve"> Right </w:t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lastRenderedPageBreak/>
        <w:t xml:space="preserve">ventricular fractional area change RVFAC, Tricuspid Annular Plane Systolic Excursion TAPSE, Left Ventricular End-Diastolic Volume LVEDD, Left Ventricular End-Systolic Volume LVESV, ejection fraction EF, Left atrial area </w:t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585D65" wp14:editId="56039ECB">
            <wp:simplePos x="0" y="0"/>
            <wp:positionH relativeFrom="column">
              <wp:posOffset>101959</wp:posOffset>
            </wp:positionH>
            <wp:positionV relativeFrom="paragraph">
              <wp:posOffset>389255</wp:posOffset>
            </wp:positionV>
            <wp:extent cx="6122035" cy="7827645"/>
            <wp:effectExtent l="0" t="0" r="0" b="1905"/>
            <wp:wrapSquare wrapText="bothSides"/>
            <wp:docPr id="2" name="Picture 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2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550">
        <w:rPr>
          <w:i/>
          <w:iCs/>
          <w:color w:val="262626"/>
          <w:sz w:val="20"/>
          <w:szCs w:val="20"/>
          <w:shd w:val="clear" w:color="auto" w:fill="FFFFFF"/>
        </w:rPr>
        <w:t>LA area, Left atrial volume LA volume</w:t>
      </w:r>
    </w:p>
    <w:p w14:paraId="7EB10A7C" w14:textId="3A1978A5" w:rsidR="00F15CA1" w:rsidRPr="00966561" w:rsidRDefault="00F15CA1" w:rsidP="00F15CA1">
      <w:pPr>
        <w:jc w:val="both"/>
        <w:rPr>
          <w:i/>
          <w:iCs/>
          <w:color w:val="262626"/>
          <w:sz w:val="20"/>
          <w:szCs w:val="20"/>
          <w:shd w:val="clear" w:color="auto" w:fill="FFFFFF"/>
        </w:rPr>
      </w:pPr>
      <w:proofErr w:type="spellStart"/>
      <w:r w:rsidRPr="00845A48">
        <w:rPr>
          <w:b/>
          <w:bCs/>
        </w:rPr>
        <w:lastRenderedPageBreak/>
        <w:t>e</w:t>
      </w:r>
      <w:r>
        <w:rPr>
          <w:b/>
          <w:bCs/>
        </w:rPr>
        <w:t>Figure</w:t>
      </w:r>
      <w:proofErr w:type="spellEnd"/>
      <w:r>
        <w:rPr>
          <w:b/>
          <w:bCs/>
        </w:rPr>
        <w:t xml:space="preserve"> 1</w:t>
      </w:r>
      <w:r w:rsidRPr="002B05A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18 year old male with early stage ARVC </w:t>
      </w:r>
      <w:r w:rsidR="007115EB">
        <w:rPr>
          <w:sz w:val="22"/>
          <w:szCs w:val="22"/>
        </w:rPr>
        <w:t xml:space="preserve">and hence </w:t>
      </w:r>
      <w:r>
        <w:rPr>
          <w:sz w:val="22"/>
          <w:szCs w:val="22"/>
        </w:rPr>
        <w:t xml:space="preserve">mild phenotype. Echocardiography shows normal RV and LV size and function (A and B). 12 lead ECG shows normal T wave with no epsilon wave (C). </w:t>
      </w:r>
      <w:r w:rsidR="007115EB">
        <w:rPr>
          <w:sz w:val="22"/>
          <w:szCs w:val="22"/>
        </w:rPr>
        <w:t>S</w:t>
      </w:r>
      <w:r w:rsidRPr="00603EBE">
        <w:rPr>
          <w:sz w:val="22"/>
          <w:szCs w:val="22"/>
        </w:rPr>
        <w:t>ignal-averaged ECG is</w:t>
      </w:r>
      <w:r>
        <w:rPr>
          <w:sz w:val="22"/>
          <w:szCs w:val="22"/>
        </w:rPr>
        <w:t xml:space="preserve"> </w:t>
      </w:r>
      <w:r w:rsidRPr="00603EBE">
        <w:rPr>
          <w:sz w:val="22"/>
          <w:szCs w:val="22"/>
        </w:rPr>
        <w:t xml:space="preserve">positive </w:t>
      </w:r>
      <w:r w:rsidR="007115EB">
        <w:rPr>
          <w:sz w:val="22"/>
          <w:szCs w:val="22"/>
        </w:rPr>
        <w:t>for</w:t>
      </w:r>
      <w:r w:rsidRPr="00603EBE">
        <w:rPr>
          <w:sz w:val="22"/>
          <w:szCs w:val="22"/>
        </w:rPr>
        <w:t xml:space="preserve"> two of the three criteria. QRS duration filtered is 120</w:t>
      </w:r>
      <w:r>
        <w:rPr>
          <w:sz w:val="22"/>
          <w:szCs w:val="22"/>
        </w:rPr>
        <w:t xml:space="preserve"> </w:t>
      </w:r>
      <w:r w:rsidRPr="00603EBE">
        <w:rPr>
          <w:sz w:val="22"/>
          <w:szCs w:val="22"/>
        </w:rPr>
        <w:t xml:space="preserve">ms </w:t>
      </w:r>
      <w:r>
        <w:rPr>
          <w:sz w:val="22"/>
          <w:szCs w:val="22"/>
        </w:rPr>
        <w:t>and</w:t>
      </w:r>
      <w:r w:rsidRPr="00603EBE">
        <w:rPr>
          <w:sz w:val="22"/>
          <w:szCs w:val="22"/>
        </w:rPr>
        <w:t xml:space="preserve">  duration of</w:t>
      </w:r>
      <w:r>
        <w:rPr>
          <w:sz w:val="22"/>
          <w:szCs w:val="22"/>
        </w:rPr>
        <w:t xml:space="preserve"> </w:t>
      </w:r>
      <w:r w:rsidRPr="00603EBE">
        <w:rPr>
          <w:sz w:val="22"/>
          <w:szCs w:val="22"/>
        </w:rPr>
        <w:t>high low frequency signal is less than 40</w:t>
      </w:r>
      <w:r w:rsidR="007115EB">
        <w:rPr>
          <w:sz w:val="22"/>
          <w:szCs w:val="22"/>
        </w:rPr>
        <w:t xml:space="preserve"> </w:t>
      </w:r>
      <w:r w:rsidRPr="00603EBE">
        <w:rPr>
          <w:sz w:val="22"/>
          <w:szCs w:val="22"/>
        </w:rPr>
        <w:t>μV at 39</w:t>
      </w:r>
      <w:r w:rsidR="007115EB">
        <w:rPr>
          <w:sz w:val="22"/>
          <w:szCs w:val="22"/>
        </w:rPr>
        <w:t xml:space="preserve"> </w:t>
      </w:r>
      <w:r w:rsidRPr="00603EBE">
        <w:rPr>
          <w:sz w:val="22"/>
          <w:szCs w:val="22"/>
        </w:rPr>
        <w:t>ms.</w:t>
      </w:r>
    </w:p>
    <w:p w14:paraId="68EC3899" w14:textId="77777777" w:rsidR="00F15CA1" w:rsidRDefault="00F15CA1" w:rsidP="00F15CA1">
      <w:pPr>
        <w:spacing w:line="480" w:lineRule="auto"/>
        <w:jc w:val="both"/>
        <w:rPr>
          <w:b/>
          <w:bCs/>
          <w:sz w:val="20"/>
          <w:szCs w:val="20"/>
          <w:u w:val="single"/>
          <w:lang w:val="en-US"/>
        </w:rPr>
      </w:pPr>
    </w:p>
    <w:p w14:paraId="494421AB" w14:textId="77777777" w:rsidR="00F15CA1" w:rsidRDefault="00F15CA1" w:rsidP="00F15CA1">
      <w:pPr>
        <w:spacing w:line="480" w:lineRule="auto"/>
        <w:jc w:val="both"/>
        <w:rPr>
          <w:b/>
          <w:bCs/>
          <w:sz w:val="20"/>
          <w:szCs w:val="20"/>
          <w:u w:val="single"/>
          <w:lang w:val="en-US"/>
        </w:rPr>
      </w:pPr>
    </w:p>
    <w:p w14:paraId="55CC8007" w14:textId="77777777" w:rsidR="00F15CA1" w:rsidRDefault="00F15CA1" w:rsidP="00F15CA1">
      <w:pPr>
        <w:spacing w:line="480" w:lineRule="auto"/>
        <w:jc w:val="both"/>
        <w:rPr>
          <w:b/>
          <w:bCs/>
          <w:sz w:val="20"/>
          <w:szCs w:val="20"/>
          <w:u w:val="single"/>
          <w:lang w:val="en-US"/>
        </w:rPr>
      </w:pPr>
    </w:p>
    <w:p w14:paraId="48F6B4E3" w14:textId="77777777" w:rsidR="00291382" w:rsidRPr="00F15CA1" w:rsidRDefault="00291382">
      <w:pPr>
        <w:rPr>
          <w:lang w:val="en-US"/>
        </w:rPr>
      </w:pPr>
    </w:p>
    <w:sectPr w:rsidR="00291382" w:rsidRPr="00F15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A1"/>
    <w:rsid w:val="00291382"/>
    <w:rsid w:val="007115EB"/>
    <w:rsid w:val="00D8439A"/>
    <w:rsid w:val="00EE57B8"/>
    <w:rsid w:val="00F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93DD"/>
  <w15:chartTrackingRefBased/>
  <w15:docId w15:val="{F4E994A9-99ED-4992-9964-B17E8356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A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1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5E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5E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EB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EE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Aljehani (PhD Cardiovas Scienc FT (A300))</dc:creator>
  <cp:keywords/>
  <dc:description/>
  <cp:lastModifiedBy>Areej Aljehani (PhD Cardiovas Scienc FT (A300))</cp:lastModifiedBy>
  <cp:revision>3</cp:revision>
  <dcterms:created xsi:type="dcterms:W3CDTF">2022-06-23T15:38:00Z</dcterms:created>
  <dcterms:modified xsi:type="dcterms:W3CDTF">2022-06-28T11:27:00Z</dcterms:modified>
</cp:coreProperties>
</file>