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4826B" w14:textId="54C08174" w:rsidR="00A62CB7" w:rsidRDefault="00A62CB7" w:rsidP="00745D53">
      <w:pPr>
        <w:snapToGrid w:val="0"/>
        <w:rPr>
          <w:rFonts w:ascii="Arial" w:hAnsi="Arial" w:cs="Arial"/>
          <w:sz w:val="24"/>
          <w:szCs w:val="28"/>
        </w:rPr>
      </w:pPr>
      <w:r w:rsidRPr="00A62CB7">
        <w:rPr>
          <w:rFonts w:ascii="Arial" w:hAnsi="Arial" w:cs="Arial"/>
          <w:sz w:val="24"/>
          <w:szCs w:val="28"/>
        </w:rPr>
        <w:t>Supplementary Materials 3. Characteristics of included patients, and details of sedatives and opioids.</w:t>
      </w:r>
    </w:p>
    <w:p w14:paraId="78332664" w14:textId="77777777" w:rsidR="00A62CB7" w:rsidRPr="00A62CB7" w:rsidRDefault="00A62CB7" w:rsidP="00745D53">
      <w:pPr>
        <w:snapToGrid w:val="0"/>
        <w:rPr>
          <w:rFonts w:ascii="Arial" w:hAnsi="Arial" w:cs="Arial"/>
          <w:sz w:val="24"/>
          <w:szCs w:val="28"/>
        </w:rPr>
      </w:pPr>
    </w:p>
    <w:tbl>
      <w:tblPr>
        <w:tblStyle w:val="a5"/>
        <w:tblW w:w="55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5"/>
        <w:gridCol w:w="1247"/>
        <w:gridCol w:w="959"/>
        <w:gridCol w:w="994"/>
        <w:gridCol w:w="1134"/>
        <w:gridCol w:w="1276"/>
        <w:gridCol w:w="3896"/>
        <w:gridCol w:w="3835"/>
      </w:tblGrid>
      <w:tr w:rsidR="006B3A25" w:rsidRPr="006A41E2" w14:paraId="5DADD984" w14:textId="77777777" w:rsidTr="00745D53">
        <w:trPr>
          <w:trHeight w:val="1090"/>
        </w:trPr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4F91F65" w14:textId="40DE8EA5" w:rsidR="009F0EF7" w:rsidRPr="006A41E2" w:rsidRDefault="00540A31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Authors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2AAA36F" w14:textId="55151657" w:rsidR="009F0EF7" w:rsidRPr="006A41E2" w:rsidRDefault="009F0EF7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Intervention</w:t>
            </w:r>
            <w:r w:rsidR="00540A31" w:rsidRPr="006A41E2">
              <w:rPr>
                <w:rFonts w:ascii="Arial" w:hAnsi="Arial" w:cs="Arial"/>
                <w:sz w:val="18"/>
                <w:szCs w:val="18"/>
              </w:rPr>
              <w:t xml:space="preserve"> and</w:t>
            </w:r>
          </w:p>
          <w:p w14:paraId="21A7766D" w14:textId="351337CB" w:rsidR="009F0EF7" w:rsidRPr="006A41E2" w:rsidRDefault="00540A31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c</w:t>
            </w:r>
            <w:r w:rsidR="009F0EF7" w:rsidRPr="006A41E2">
              <w:rPr>
                <w:rFonts w:ascii="Arial" w:hAnsi="Arial" w:cs="Arial"/>
                <w:sz w:val="18"/>
                <w:szCs w:val="18"/>
              </w:rPr>
              <w:t>omparison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436393E" w14:textId="3B667322" w:rsidR="009F0EF7" w:rsidRPr="006A41E2" w:rsidRDefault="009F0EF7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Age</w:t>
            </w:r>
            <w:r w:rsidR="00A82602" w:rsidRPr="006A41E2">
              <w:rPr>
                <w:rFonts w:ascii="Arial" w:hAnsi="Arial" w:cs="Arial"/>
                <w:sz w:val="18"/>
                <w:szCs w:val="18"/>
              </w:rPr>
              <w:t>,</w:t>
            </w:r>
            <w:r w:rsidR="00540A31" w:rsidRPr="006A41E2">
              <w:rPr>
                <w:rFonts w:ascii="Arial" w:hAnsi="Arial" w:cs="Arial"/>
                <w:sz w:val="18"/>
                <w:szCs w:val="18"/>
              </w:rPr>
              <w:t xml:space="preserve"> years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F3EA0F1" w14:textId="3C5BB522" w:rsidR="009F0EF7" w:rsidRPr="006A41E2" w:rsidRDefault="009F0EF7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Male</w:t>
            </w:r>
            <w:r w:rsidR="00540A31" w:rsidRPr="006A41E2">
              <w:rPr>
                <w:rFonts w:ascii="Arial" w:hAnsi="Arial" w:cs="Arial"/>
                <w:sz w:val="18"/>
                <w:szCs w:val="18"/>
              </w:rPr>
              <w:t xml:space="preserve"> sex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DF152E4" w14:textId="55EB80D8" w:rsidR="009F0EF7" w:rsidRPr="006A41E2" w:rsidRDefault="009F0EF7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GCS score</w:t>
            </w:r>
          </w:p>
          <w:p w14:paraId="10B117D8" w14:textId="34FC4BB6" w:rsidR="009F0EF7" w:rsidRPr="006A41E2" w:rsidRDefault="009F0EF7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4EC6839" w14:textId="3D503725" w:rsidR="009F0EF7" w:rsidRPr="006A41E2" w:rsidRDefault="009F0EF7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APACHE</w:t>
            </w:r>
            <w:r w:rsidR="00540A31" w:rsidRPr="006A41E2">
              <w:rPr>
                <w:rFonts w:ascii="Arial" w:hAnsi="Arial" w:cs="Arial"/>
                <w:sz w:val="18"/>
                <w:szCs w:val="18"/>
              </w:rPr>
              <w:t xml:space="preserve"> II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 score</w:t>
            </w:r>
          </w:p>
        </w:tc>
        <w:tc>
          <w:tcPr>
            <w:tcW w:w="1340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7998F6D" w14:textId="434167FF" w:rsidR="009F0EF7" w:rsidRPr="006A41E2" w:rsidRDefault="009F0EF7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Co-intervention sedatives</w:t>
            </w:r>
          </w:p>
        </w:tc>
        <w:tc>
          <w:tcPr>
            <w:tcW w:w="1319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92007E9" w14:textId="033EB55F" w:rsidR="009F0EF7" w:rsidRPr="006A41E2" w:rsidRDefault="009F0EF7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Opioid regulation</w:t>
            </w:r>
          </w:p>
        </w:tc>
      </w:tr>
      <w:tr w:rsidR="004B3D1F" w:rsidRPr="006A41E2" w14:paraId="0F3CB19D" w14:textId="77777777" w:rsidTr="00E5058C">
        <w:trPr>
          <w:trHeight w:val="1080"/>
        </w:trPr>
        <w:tc>
          <w:tcPr>
            <w:tcW w:w="411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C139B27" w14:textId="3574FE2B" w:rsidR="004F435E" w:rsidRPr="00063294" w:rsidRDefault="004F435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proofErr w:type="spellStart"/>
            <w:r w:rsidRPr="006A41E2">
              <w:rPr>
                <w:rFonts w:ascii="Arial" w:hAnsi="Arial" w:cs="Arial"/>
                <w:sz w:val="18"/>
                <w:szCs w:val="18"/>
              </w:rPr>
              <w:t>Cevik</w:t>
            </w:r>
            <w:proofErr w:type="spellEnd"/>
            <w:r w:rsidRPr="006A41E2">
              <w:rPr>
                <w:rFonts w:ascii="Arial" w:hAnsi="Arial" w:cs="Arial"/>
                <w:sz w:val="18"/>
                <w:szCs w:val="18"/>
              </w:rPr>
              <w:t xml:space="preserve"> et al.</w:t>
            </w:r>
            <w:r w:rsidR="00697EAE">
              <w:rPr>
                <w:rFonts w:ascii="Arial" w:hAnsi="Arial" w:cs="Arial" w:hint="eastAsia"/>
                <w:sz w:val="18"/>
                <w:szCs w:val="18"/>
                <w:vertAlign w:val="superscript"/>
              </w:rPr>
              <w:t xml:space="preserve"> </w:t>
            </w:r>
            <w:r w:rsidR="00697EAE">
              <w:rPr>
                <w:rFonts w:ascii="Arial" w:hAnsi="Arial" w:cs="Arial"/>
                <w:sz w:val="18"/>
                <w:szCs w:val="18"/>
              </w:rPr>
              <w:t>[17]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260A8118" w14:textId="073CA69E" w:rsidR="004F435E" w:rsidRPr="006A41E2" w:rsidRDefault="004F435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Fentanyl</w:t>
            </w:r>
          </w:p>
        </w:tc>
        <w:tc>
          <w:tcPr>
            <w:tcW w:w="33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7340163" w14:textId="1BC9D3CC" w:rsidR="004F435E" w:rsidRPr="006A41E2" w:rsidRDefault="004F435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51.88 (20.77)</w:t>
            </w:r>
          </w:p>
        </w:tc>
        <w:tc>
          <w:tcPr>
            <w:tcW w:w="3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125DAC0" w14:textId="5BAC4B77" w:rsidR="004F435E" w:rsidRPr="006A41E2" w:rsidRDefault="004F435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10</w:t>
            </w:r>
            <w:r w:rsidR="001620D0" w:rsidRPr="006A41E2">
              <w:rPr>
                <w:rFonts w:ascii="Arial" w:hAnsi="Arial" w:cs="Arial"/>
                <w:sz w:val="18"/>
                <w:szCs w:val="18"/>
              </w:rPr>
              <w:t>/16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 (62.5</w:t>
            </w:r>
            <w:r w:rsidR="00AA4945" w:rsidRPr="006A41E2">
              <w:rPr>
                <w:rFonts w:ascii="Arial" w:hAnsi="Arial" w:cs="Arial"/>
                <w:sz w:val="18"/>
                <w:szCs w:val="18"/>
              </w:rPr>
              <w:t>%</w:t>
            </w:r>
            <w:r w:rsidRPr="006A41E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9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445E2E6" w14:textId="1D1CD04D" w:rsidR="004F435E" w:rsidRPr="006A41E2" w:rsidRDefault="004F435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10.06 (4.74)</w:t>
            </w:r>
          </w:p>
        </w:tc>
        <w:tc>
          <w:tcPr>
            <w:tcW w:w="439" w:type="pct"/>
            <w:tcBorders>
              <w:top w:val="single" w:sz="4" w:space="0" w:color="auto"/>
            </w:tcBorders>
            <w:vAlign w:val="center"/>
          </w:tcPr>
          <w:p w14:paraId="181E61CE" w14:textId="112E1B89" w:rsidR="004F435E" w:rsidRPr="006A41E2" w:rsidRDefault="004F435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11.94 (6.4)</w:t>
            </w:r>
          </w:p>
        </w:tc>
        <w:tc>
          <w:tcPr>
            <w:tcW w:w="1340" w:type="pct"/>
            <w:vMerge w:val="restart"/>
            <w:tcBorders>
              <w:top w:val="single" w:sz="4" w:space="0" w:color="auto"/>
            </w:tcBorders>
            <w:vAlign w:val="center"/>
          </w:tcPr>
          <w:p w14:paraId="5513EFEC" w14:textId="41FF51BC" w:rsidR="004F435E" w:rsidRPr="006A41E2" w:rsidRDefault="004F435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Both groups received midazolam infusion at an initial dose of 0.03</w:t>
            </w:r>
            <w:r w:rsidR="00540A31" w:rsidRPr="006A41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41E2">
              <w:rPr>
                <w:rFonts w:ascii="Arial" w:hAnsi="Arial" w:cs="Arial"/>
                <w:sz w:val="18"/>
                <w:szCs w:val="18"/>
              </w:rPr>
              <w:t>mg/kg/h</w:t>
            </w:r>
            <w:r w:rsidR="00E5058C" w:rsidRPr="006A41E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19" w:type="pct"/>
            <w:tcBorders>
              <w:top w:val="single" w:sz="4" w:space="0" w:color="auto"/>
            </w:tcBorders>
            <w:vAlign w:val="center"/>
          </w:tcPr>
          <w:p w14:paraId="78E8197B" w14:textId="79CA58A8" w:rsidR="004F435E" w:rsidRPr="006A41E2" w:rsidRDefault="004F435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 xml:space="preserve">If </w:t>
            </w:r>
            <w:r w:rsidR="00540A31" w:rsidRPr="006A41E2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6A41E2">
              <w:rPr>
                <w:rFonts w:ascii="Arial" w:hAnsi="Arial" w:cs="Arial"/>
                <w:sz w:val="18"/>
                <w:szCs w:val="18"/>
              </w:rPr>
              <w:t>Ramsey scale</w:t>
            </w:r>
            <w:r w:rsidR="00540A31" w:rsidRPr="006A41E2">
              <w:rPr>
                <w:rFonts w:ascii="Arial" w:hAnsi="Arial" w:cs="Arial"/>
                <w:sz w:val="18"/>
                <w:szCs w:val="18"/>
              </w:rPr>
              <w:t xml:space="preserve"> score was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 ≤ 3, </w:t>
            </w:r>
            <w:r w:rsidR="00540A31" w:rsidRPr="006A41E2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fentanyl dose </w:t>
            </w:r>
            <w:r w:rsidR="00A82602" w:rsidRPr="006A41E2">
              <w:rPr>
                <w:rFonts w:ascii="Arial" w:hAnsi="Arial" w:cs="Arial"/>
                <w:sz w:val="18"/>
                <w:szCs w:val="18"/>
              </w:rPr>
              <w:t xml:space="preserve">was </w:t>
            </w:r>
            <w:r w:rsidRPr="006A41E2">
              <w:rPr>
                <w:rFonts w:ascii="Arial" w:hAnsi="Arial" w:cs="Arial"/>
                <w:sz w:val="18"/>
                <w:szCs w:val="18"/>
              </w:rPr>
              <w:t>increased by 0.01 μg/kg/min</w:t>
            </w:r>
            <w:r w:rsidR="00E5058C" w:rsidRPr="006A41E2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4B3D1F" w:rsidRPr="006A41E2" w14:paraId="54240CF2" w14:textId="77777777" w:rsidTr="00745D53">
        <w:trPr>
          <w:trHeight w:val="1080"/>
        </w:trPr>
        <w:tc>
          <w:tcPr>
            <w:tcW w:w="411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267680C5" w14:textId="32CFC26D" w:rsidR="004F435E" w:rsidRPr="006A41E2" w:rsidRDefault="004F435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14:paraId="3B79212E" w14:textId="654054BD" w:rsidR="004F435E" w:rsidRPr="006A41E2" w:rsidRDefault="004F435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Remifentanil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noWrap/>
            <w:vAlign w:val="center"/>
          </w:tcPr>
          <w:p w14:paraId="2B36C9E7" w14:textId="78CD4D54" w:rsidR="004F435E" w:rsidRPr="006A41E2" w:rsidRDefault="004F435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50.63 (25.24)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noWrap/>
            <w:vAlign w:val="center"/>
          </w:tcPr>
          <w:p w14:paraId="6FEC6F91" w14:textId="49605C75" w:rsidR="004F435E" w:rsidRPr="006A41E2" w:rsidRDefault="004F435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7</w:t>
            </w:r>
            <w:r w:rsidR="001620D0" w:rsidRPr="006A41E2">
              <w:rPr>
                <w:rFonts w:ascii="Arial" w:hAnsi="Arial" w:cs="Arial"/>
                <w:sz w:val="18"/>
                <w:szCs w:val="18"/>
              </w:rPr>
              <w:t xml:space="preserve">/16 </w:t>
            </w:r>
            <w:r w:rsidRPr="006A41E2">
              <w:rPr>
                <w:rFonts w:ascii="Arial" w:hAnsi="Arial" w:cs="Arial"/>
                <w:sz w:val="18"/>
                <w:szCs w:val="18"/>
              </w:rPr>
              <w:t>(43.8</w:t>
            </w:r>
            <w:r w:rsidR="00AA4945" w:rsidRPr="006A41E2">
              <w:rPr>
                <w:rFonts w:ascii="Arial" w:hAnsi="Arial" w:cs="Arial"/>
                <w:sz w:val="18"/>
                <w:szCs w:val="18"/>
              </w:rPr>
              <w:t>%</w:t>
            </w:r>
            <w:r w:rsidRPr="006A41E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noWrap/>
            <w:vAlign w:val="center"/>
          </w:tcPr>
          <w:p w14:paraId="5C8106E9" w14:textId="2D723B50" w:rsidR="004F435E" w:rsidRPr="006A41E2" w:rsidRDefault="004F435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11 (3.97)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5CF2EE96" w14:textId="288B46E7" w:rsidR="004F435E" w:rsidRPr="006A41E2" w:rsidRDefault="004F435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9.56 (3.83)</w:t>
            </w:r>
          </w:p>
        </w:tc>
        <w:tc>
          <w:tcPr>
            <w:tcW w:w="1340" w:type="pct"/>
            <w:vMerge/>
            <w:tcBorders>
              <w:bottom w:val="single" w:sz="4" w:space="0" w:color="auto"/>
            </w:tcBorders>
            <w:vAlign w:val="center"/>
          </w:tcPr>
          <w:p w14:paraId="17134A9E" w14:textId="4483CDB9" w:rsidR="004F435E" w:rsidRPr="006A41E2" w:rsidRDefault="004F435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9" w:type="pct"/>
            <w:tcBorders>
              <w:bottom w:val="single" w:sz="4" w:space="0" w:color="auto"/>
            </w:tcBorders>
            <w:vAlign w:val="center"/>
          </w:tcPr>
          <w:p w14:paraId="5A22548E" w14:textId="10C7E26D" w:rsidR="004F435E" w:rsidRPr="006A41E2" w:rsidRDefault="004F435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 xml:space="preserve">If </w:t>
            </w:r>
            <w:r w:rsidR="00540A31" w:rsidRPr="006A41E2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6A41E2">
              <w:rPr>
                <w:rFonts w:ascii="Arial" w:hAnsi="Arial" w:cs="Arial"/>
                <w:sz w:val="18"/>
                <w:szCs w:val="18"/>
              </w:rPr>
              <w:t>Ramsey scale</w:t>
            </w:r>
            <w:r w:rsidR="00540A31" w:rsidRPr="006A41E2">
              <w:rPr>
                <w:rFonts w:ascii="Arial" w:hAnsi="Arial" w:cs="Arial"/>
                <w:sz w:val="18"/>
                <w:szCs w:val="18"/>
              </w:rPr>
              <w:t xml:space="preserve"> was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 ≤ 3, </w:t>
            </w:r>
            <w:r w:rsidR="00540A31" w:rsidRPr="006A41E2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6A41E2">
              <w:rPr>
                <w:rFonts w:ascii="Arial" w:hAnsi="Arial" w:cs="Arial"/>
                <w:sz w:val="18"/>
                <w:szCs w:val="18"/>
              </w:rPr>
              <w:t>remifentanil dose</w:t>
            </w:r>
            <w:r w:rsidR="00540A31" w:rsidRPr="006A41E2">
              <w:rPr>
                <w:rFonts w:ascii="Arial" w:hAnsi="Arial" w:cs="Arial"/>
                <w:sz w:val="18"/>
                <w:szCs w:val="18"/>
              </w:rPr>
              <w:t xml:space="preserve"> was </w:t>
            </w:r>
            <w:r w:rsidRPr="006A41E2">
              <w:rPr>
                <w:rFonts w:ascii="Arial" w:hAnsi="Arial" w:cs="Arial"/>
                <w:sz w:val="18"/>
                <w:szCs w:val="18"/>
              </w:rPr>
              <w:t>increased by 0.05</w:t>
            </w:r>
            <w:r w:rsidR="00540A31" w:rsidRPr="006A41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41E2">
              <w:rPr>
                <w:rFonts w:ascii="Arial" w:hAnsi="Arial" w:cs="Arial"/>
                <w:sz w:val="18"/>
                <w:szCs w:val="18"/>
              </w:rPr>
              <w:t>μg/kg/min</w:t>
            </w:r>
            <w:r w:rsidR="00E5058C" w:rsidRPr="006A41E2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F35B5" w:rsidRPr="006A41E2" w14:paraId="6E22EE35" w14:textId="77777777" w:rsidTr="002560C2">
        <w:trPr>
          <w:trHeight w:val="1531"/>
        </w:trPr>
        <w:tc>
          <w:tcPr>
            <w:tcW w:w="411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B34D9DC" w14:textId="64478552" w:rsidR="007F35B5" w:rsidRPr="006A41E2" w:rsidRDefault="007F35B5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Cheng et al.</w:t>
            </w:r>
            <w:r w:rsidR="00697EAE">
              <w:rPr>
                <w:rFonts w:ascii="Arial" w:hAnsi="Arial" w:cs="Arial"/>
                <w:sz w:val="18"/>
                <w:szCs w:val="18"/>
              </w:rPr>
              <w:t xml:space="preserve"> [18]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75969347" w14:textId="2CC681E0" w:rsidR="007F35B5" w:rsidRPr="006A41E2" w:rsidRDefault="007F35B5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Fentanyl</w:t>
            </w:r>
          </w:p>
        </w:tc>
        <w:tc>
          <w:tcPr>
            <w:tcW w:w="330" w:type="pct"/>
            <w:tcBorders>
              <w:top w:val="single" w:sz="4" w:space="0" w:color="auto"/>
            </w:tcBorders>
            <w:noWrap/>
            <w:vAlign w:val="center"/>
          </w:tcPr>
          <w:p w14:paraId="2C9CFA23" w14:textId="1F0AECD5" w:rsidR="007F35B5" w:rsidRPr="006A41E2" w:rsidRDefault="007F35B5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63 (10)</w:t>
            </w:r>
          </w:p>
        </w:tc>
        <w:tc>
          <w:tcPr>
            <w:tcW w:w="342" w:type="pct"/>
            <w:tcBorders>
              <w:top w:val="single" w:sz="4" w:space="0" w:color="auto"/>
            </w:tcBorders>
            <w:noWrap/>
            <w:vAlign w:val="center"/>
          </w:tcPr>
          <w:p w14:paraId="1D34E78F" w14:textId="5379ECB9" w:rsidR="007F35B5" w:rsidRPr="006A41E2" w:rsidRDefault="007F35B5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128/154 (83.1%)</w:t>
            </w:r>
          </w:p>
        </w:tc>
        <w:tc>
          <w:tcPr>
            <w:tcW w:w="390" w:type="pct"/>
            <w:tcBorders>
              <w:top w:val="single" w:sz="4" w:space="0" w:color="auto"/>
            </w:tcBorders>
            <w:noWrap/>
            <w:vAlign w:val="center"/>
          </w:tcPr>
          <w:p w14:paraId="11A4206F" w14:textId="296E0BEE" w:rsidR="007F35B5" w:rsidRPr="006A41E2" w:rsidRDefault="007F35B5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439" w:type="pct"/>
            <w:tcBorders>
              <w:top w:val="single" w:sz="4" w:space="0" w:color="auto"/>
            </w:tcBorders>
            <w:vAlign w:val="center"/>
          </w:tcPr>
          <w:p w14:paraId="607D00BD" w14:textId="5CE1F689" w:rsidR="007F35B5" w:rsidRPr="006A41E2" w:rsidRDefault="007F35B5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1340" w:type="pct"/>
            <w:vMerge w:val="restart"/>
            <w:tcBorders>
              <w:top w:val="single" w:sz="4" w:space="0" w:color="auto"/>
            </w:tcBorders>
            <w:vAlign w:val="center"/>
          </w:tcPr>
          <w:p w14:paraId="36923844" w14:textId="25008932" w:rsidR="007F35B5" w:rsidRPr="006A41E2" w:rsidRDefault="0029709F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 xml:space="preserve">Both groups received preoperative midazolam and morphine intravenously. Anesthesia was administered with propofol and </w:t>
            </w:r>
            <w:proofErr w:type="spellStart"/>
            <w:r w:rsidRPr="006A41E2">
              <w:rPr>
                <w:rFonts w:ascii="Arial" w:hAnsi="Arial" w:cs="Arial"/>
                <w:sz w:val="18"/>
                <w:szCs w:val="18"/>
              </w:rPr>
              <w:t>cisatracurium</w:t>
            </w:r>
            <w:proofErr w:type="spellEnd"/>
            <w:r w:rsidRPr="006A41E2">
              <w:rPr>
                <w:rFonts w:ascii="Arial" w:hAnsi="Arial" w:cs="Arial"/>
                <w:sz w:val="18"/>
                <w:szCs w:val="18"/>
              </w:rPr>
              <w:t xml:space="preserve"> besylate or vecuronium, and isoflurane was administered after intubation. Propofol was started during rewarming in the bypass and continued until ICU</w:t>
            </w:r>
            <w:r w:rsidR="00A82602" w:rsidRPr="006A41E2">
              <w:rPr>
                <w:rFonts w:ascii="Arial" w:hAnsi="Arial" w:cs="Arial"/>
                <w:sz w:val="18"/>
                <w:szCs w:val="18"/>
              </w:rPr>
              <w:t xml:space="preserve"> admission</w:t>
            </w:r>
            <w:r w:rsidRPr="006A41E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19" w:type="pct"/>
            <w:tcBorders>
              <w:top w:val="single" w:sz="4" w:space="0" w:color="auto"/>
            </w:tcBorders>
            <w:vAlign w:val="center"/>
          </w:tcPr>
          <w:p w14:paraId="228547DF" w14:textId="69B4F9A8" w:rsidR="007F35B5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 xml:space="preserve">Blinded fentanyl was administered at </w:t>
            </w:r>
            <w:r w:rsidR="00540A31" w:rsidRPr="006A41E2">
              <w:rPr>
                <w:rFonts w:ascii="Arial" w:hAnsi="Arial" w:cs="Arial"/>
                <w:sz w:val="18"/>
                <w:szCs w:val="18"/>
              </w:rPr>
              <w:t xml:space="preserve">a 10 </w:t>
            </w:r>
            <w:r w:rsidRPr="006A41E2">
              <w:rPr>
                <w:rFonts w:ascii="Arial" w:hAnsi="Arial" w:cs="Arial"/>
                <w:sz w:val="18"/>
                <w:szCs w:val="18"/>
              </w:rPr>
              <w:t>µg/kg bolus during induction of anesthesia and administered during the maintenance period. After the patient's condition was settled postoperative</w:t>
            </w:r>
            <w:r w:rsidR="00540A31" w:rsidRPr="006A41E2">
              <w:rPr>
                <w:rFonts w:ascii="Arial" w:hAnsi="Arial" w:cs="Arial"/>
                <w:sz w:val="18"/>
                <w:szCs w:val="18"/>
              </w:rPr>
              <w:t>ly in the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 ICU, the blinded drug was tapered at 10-min intervals.</w:t>
            </w:r>
          </w:p>
        </w:tc>
      </w:tr>
      <w:tr w:rsidR="007607EE" w:rsidRPr="006A41E2" w14:paraId="49128D96" w14:textId="77777777" w:rsidTr="002560C2">
        <w:trPr>
          <w:trHeight w:val="1531"/>
        </w:trPr>
        <w:tc>
          <w:tcPr>
            <w:tcW w:w="411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4D1949EF" w14:textId="77777777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14:paraId="5E363834" w14:textId="567130C3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Remifentanil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noWrap/>
            <w:vAlign w:val="center"/>
          </w:tcPr>
          <w:p w14:paraId="61170FAF" w14:textId="268444C4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63 (10)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noWrap/>
            <w:vAlign w:val="center"/>
          </w:tcPr>
          <w:p w14:paraId="4CC1A2E3" w14:textId="041803C1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128 (85.3%)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noWrap/>
            <w:vAlign w:val="center"/>
          </w:tcPr>
          <w:p w14:paraId="3B92B109" w14:textId="7DCC779C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059E868E" w14:textId="281586D2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1340" w:type="pct"/>
            <w:vMerge/>
            <w:tcBorders>
              <w:bottom w:val="single" w:sz="4" w:space="0" w:color="auto"/>
            </w:tcBorders>
            <w:vAlign w:val="center"/>
          </w:tcPr>
          <w:p w14:paraId="2D9CB8B9" w14:textId="77777777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9" w:type="pct"/>
            <w:tcBorders>
              <w:bottom w:val="single" w:sz="4" w:space="0" w:color="auto"/>
            </w:tcBorders>
            <w:vAlign w:val="center"/>
          </w:tcPr>
          <w:p w14:paraId="70676174" w14:textId="4414650E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 xml:space="preserve">Blinded remifentanil was administered at </w:t>
            </w:r>
            <w:r w:rsidR="00540A31" w:rsidRPr="006A41E2"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Pr="006A41E2">
              <w:rPr>
                <w:rFonts w:ascii="Arial" w:hAnsi="Arial" w:cs="Arial"/>
                <w:sz w:val="18"/>
                <w:szCs w:val="18"/>
              </w:rPr>
              <w:t>µg/kg/min during anesthesia and titrated during the maintenance period. After the patient</w:t>
            </w:r>
            <w:r w:rsidR="00540A31" w:rsidRPr="006A41E2">
              <w:rPr>
                <w:rFonts w:ascii="Arial" w:hAnsi="Arial" w:cs="Arial"/>
                <w:sz w:val="18"/>
                <w:szCs w:val="18"/>
              </w:rPr>
              <w:t>’</w:t>
            </w:r>
            <w:r w:rsidRPr="006A41E2">
              <w:rPr>
                <w:rFonts w:ascii="Arial" w:hAnsi="Arial" w:cs="Arial"/>
                <w:sz w:val="18"/>
                <w:szCs w:val="18"/>
              </w:rPr>
              <w:t>s condition was settled postoperative</w:t>
            </w:r>
            <w:r w:rsidR="00540A31" w:rsidRPr="006A41E2">
              <w:rPr>
                <w:rFonts w:ascii="Arial" w:hAnsi="Arial" w:cs="Arial"/>
                <w:sz w:val="18"/>
                <w:szCs w:val="18"/>
              </w:rPr>
              <w:t>ly in the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 ICU, blinded remifentanil was tapered at 10-min intervals.</w:t>
            </w:r>
          </w:p>
        </w:tc>
      </w:tr>
      <w:tr w:rsidR="007607EE" w:rsidRPr="006A41E2" w14:paraId="7280EB77" w14:textId="77777777" w:rsidTr="002560C2">
        <w:trPr>
          <w:trHeight w:val="1701"/>
        </w:trPr>
        <w:tc>
          <w:tcPr>
            <w:tcW w:w="411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61179E8" w14:textId="26D2827E" w:rsidR="007607EE" w:rsidRPr="00697EAE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A41E2">
              <w:rPr>
                <w:rFonts w:ascii="Arial" w:hAnsi="Arial" w:cs="Arial"/>
                <w:sz w:val="18"/>
                <w:szCs w:val="18"/>
              </w:rPr>
              <w:lastRenderedPageBreak/>
              <w:t>Karabinis</w:t>
            </w:r>
            <w:proofErr w:type="spellEnd"/>
            <w:r w:rsidRPr="006A41E2">
              <w:rPr>
                <w:rFonts w:ascii="Arial" w:hAnsi="Arial" w:cs="Arial"/>
                <w:sz w:val="18"/>
                <w:szCs w:val="18"/>
              </w:rPr>
              <w:t xml:space="preserve"> et al.</w:t>
            </w:r>
            <w:r w:rsidR="00697EAE">
              <w:rPr>
                <w:rFonts w:ascii="Arial" w:hAnsi="Arial" w:cs="Arial"/>
                <w:sz w:val="18"/>
                <w:szCs w:val="18"/>
              </w:rPr>
              <w:t xml:space="preserve"> [19]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1C0B7824" w14:textId="3841EE65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Fentanyl</w:t>
            </w:r>
          </w:p>
        </w:tc>
        <w:tc>
          <w:tcPr>
            <w:tcW w:w="330" w:type="pct"/>
            <w:tcBorders>
              <w:top w:val="single" w:sz="4" w:space="0" w:color="auto"/>
            </w:tcBorders>
            <w:noWrap/>
            <w:vAlign w:val="center"/>
          </w:tcPr>
          <w:p w14:paraId="677E7286" w14:textId="36B11CE1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49.6 (16.9)</w:t>
            </w:r>
          </w:p>
        </w:tc>
        <w:tc>
          <w:tcPr>
            <w:tcW w:w="342" w:type="pct"/>
            <w:tcBorders>
              <w:top w:val="single" w:sz="4" w:space="0" w:color="auto"/>
            </w:tcBorders>
            <w:noWrap/>
            <w:vAlign w:val="center"/>
          </w:tcPr>
          <w:p w14:paraId="78FC7630" w14:textId="63FCF359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24/37 (64.9%)</w:t>
            </w:r>
          </w:p>
        </w:tc>
        <w:tc>
          <w:tcPr>
            <w:tcW w:w="390" w:type="pct"/>
            <w:tcBorders>
              <w:top w:val="single" w:sz="4" w:space="0" w:color="auto"/>
            </w:tcBorders>
            <w:noWrap/>
            <w:vAlign w:val="center"/>
          </w:tcPr>
          <w:p w14:paraId="084F04C7" w14:textId="24836702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8.8 (2.9)</w:t>
            </w:r>
          </w:p>
        </w:tc>
        <w:tc>
          <w:tcPr>
            <w:tcW w:w="439" w:type="pct"/>
            <w:tcBorders>
              <w:top w:val="single" w:sz="4" w:space="0" w:color="auto"/>
            </w:tcBorders>
            <w:vAlign w:val="center"/>
          </w:tcPr>
          <w:p w14:paraId="5A770B27" w14:textId="416DE7B5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1340" w:type="pct"/>
            <w:tcBorders>
              <w:top w:val="single" w:sz="4" w:space="0" w:color="auto"/>
            </w:tcBorders>
            <w:vAlign w:val="center"/>
          </w:tcPr>
          <w:p w14:paraId="6ED7A922" w14:textId="5D75A2BA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 xml:space="preserve">Opioids and sedatives were adjusted to achieve SAS targets of 1 to 3. The sedative medication was propofol for the first </w:t>
            </w:r>
            <w:r w:rsidR="00540A31" w:rsidRPr="006A41E2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Pr="006A41E2">
              <w:rPr>
                <w:rFonts w:ascii="Arial" w:hAnsi="Arial" w:cs="Arial"/>
                <w:sz w:val="18"/>
                <w:szCs w:val="18"/>
              </w:rPr>
              <w:t>days of the study. For patients who still required analgesia and sedation after the third day of the study, propofol was discontinued, and midazolam was administered instead.</w:t>
            </w:r>
          </w:p>
        </w:tc>
        <w:tc>
          <w:tcPr>
            <w:tcW w:w="1319" w:type="pct"/>
            <w:tcBorders>
              <w:top w:val="single" w:sz="4" w:space="0" w:color="auto"/>
            </w:tcBorders>
            <w:vAlign w:val="center"/>
          </w:tcPr>
          <w:p w14:paraId="62807EAD" w14:textId="04F08ED8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The infusion rates of fentanyl were not specified in the protocol</w:t>
            </w:r>
            <w:r w:rsidR="00A82602" w:rsidRPr="006A41E2">
              <w:rPr>
                <w:rFonts w:ascii="Arial" w:hAnsi="Arial" w:cs="Arial"/>
                <w:sz w:val="18"/>
                <w:szCs w:val="18"/>
              </w:rPr>
              <w:t>,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 but were used as part of routine clinical practice at each investigati</w:t>
            </w:r>
            <w:r w:rsidR="00EE0CA4" w:rsidRPr="006A41E2">
              <w:rPr>
                <w:rFonts w:ascii="Arial" w:hAnsi="Arial" w:cs="Arial"/>
                <w:sz w:val="18"/>
                <w:szCs w:val="18"/>
              </w:rPr>
              <w:t>on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 site.</w:t>
            </w:r>
          </w:p>
        </w:tc>
      </w:tr>
      <w:tr w:rsidR="007607EE" w:rsidRPr="006A41E2" w14:paraId="1CCB1809" w14:textId="77777777" w:rsidTr="002560C2">
        <w:trPr>
          <w:trHeight w:val="1701"/>
        </w:trPr>
        <w:tc>
          <w:tcPr>
            <w:tcW w:w="411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56D62658" w14:textId="0A865E61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14:paraId="278A2A7B" w14:textId="0CDAA027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Remifentanil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noWrap/>
            <w:vAlign w:val="center"/>
          </w:tcPr>
          <w:p w14:paraId="7089F062" w14:textId="64CDDE41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46.8 (16.3)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noWrap/>
            <w:vAlign w:val="center"/>
          </w:tcPr>
          <w:p w14:paraId="76D7C773" w14:textId="463CA7E3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44/84 (52.4%)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noWrap/>
            <w:vAlign w:val="center"/>
          </w:tcPr>
          <w:p w14:paraId="4F0B7DB0" w14:textId="64BE7C06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8.4 (2.7)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06E1ACF8" w14:textId="0B379B29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1340" w:type="pct"/>
            <w:tcBorders>
              <w:bottom w:val="single" w:sz="4" w:space="0" w:color="auto"/>
            </w:tcBorders>
            <w:vAlign w:val="center"/>
          </w:tcPr>
          <w:p w14:paraId="70DAAE58" w14:textId="595894E9" w:rsidR="007607EE" w:rsidRPr="006A41E2" w:rsidRDefault="00CF6A92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 xml:space="preserve">If the target scores for </w:t>
            </w:r>
            <w:r w:rsidR="00EE0CA4" w:rsidRPr="006A41E2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6A41E2">
              <w:rPr>
                <w:rFonts w:ascii="Arial" w:hAnsi="Arial" w:cs="Arial"/>
                <w:sz w:val="18"/>
                <w:szCs w:val="18"/>
              </w:rPr>
              <w:t>patient</w:t>
            </w:r>
            <w:r w:rsidR="00EE0CA4" w:rsidRPr="006A41E2">
              <w:rPr>
                <w:rFonts w:ascii="Arial" w:hAnsi="Arial" w:cs="Arial"/>
                <w:sz w:val="18"/>
                <w:szCs w:val="18"/>
              </w:rPr>
              <w:t>’s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 comfort (SAS = 1</w:t>
            </w:r>
            <w:r w:rsidR="00EE0CA4" w:rsidRPr="006A41E2">
              <w:rPr>
                <w:rFonts w:ascii="Arial" w:hAnsi="Arial" w:cs="Arial"/>
                <w:sz w:val="18"/>
                <w:szCs w:val="18"/>
              </w:rPr>
              <w:t>-</w:t>
            </w:r>
            <w:r w:rsidRPr="006A41E2">
              <w:rPr>
                <w:rFonts w:ascii="Arial" w:hAnsi="Arial" w:cs="Arial"/>
                <w:sz w:val="18"/>
                <w:szCs w:val="18"/>
              </w:rPr>
              <w:t>3; PI = 1</w:t>
            </w:r>
            <w:r w:rsidR="00EE0CA4" w:rsidRPr="006A41E2">
              <w:rPr>
                <w:rFonts w:ascii="Arial" w:hAnsi="Arial" w:cs="Arial"/>
                <w:sz w:val="18"/>
                <w:szCs w:val="18"/>
              </w:rPr>
              <w:t>-</w:t>
            </w:r>
            <w:r w:rsidRPr="006A41E2">
              <w:rPr>
                <w:rFonts w:ascii="Arial" w:hAnsi="Arial" w:cs="Arial"/>
                <w:sz w:val="18"/>
                <w:szCs w:val="18"/>
              </w:rPr>
              <w:t>2) were not achieved with remifentanil alone (infusion rate at 18 μg/kg/h), additional sedation was provided by administering propofol, at the investigator</w:t>
            </w:r>
            <w:r w:rsidR="00EE0CA4" w:rsidRPr="006A41E2">
              <w:rPr>
                <w:rFonts w:ascii="Arial" w:hAnsi="Arial" w:cs="Arial"/>
                <w:sz w:val="18"/>
                <w:szCs w:val="18"/>
              </w:rPr>
              <w:t>’</w:t>
            </w:r>
            <w:r w:rsidRPr="006A41E2">
              <w:rPr>
                <w:rFonts w:ascii="Arial" w:hAnsi="Arial" w:cs="Arial"/>
                <w:sz w:val="18"/>
                <w:szCs w:val="18"/>
              </w:rPr>
              <w:t>s discretion.</w:t>
            </w:r>
          </w:p>
        </w:tc>
        <w:tc>
          <w:tcPr>
            <w:tcW w:w="1319" w:type="pct"/>
            <w:tcBorders>
              <w:bottom w:val="single" w:sz="4" w:space="0" w:color="auto"/>
            </w:tcBorders>
            <w:vAlign w:val="center"/>
          </w:tcPr>
          <w:p w14:paraId="105F5697" w14:textId="0496932E" w:rsidR="0091553E" w:rsidRPr="0091553E" w:rsidRDefault="00EE0CA4" w:rsidP="0091553E">
            <w:pPr>
              <w:snapToGrid w:val="0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R</w:t>
            </w:r>
            <w:r w:rsidR="007607EE" w:rsidRPr="006A41E2">
              <w:rPr>
                <w:rFonts w:ascii="Arial" w:hAnsi="Arial" w:cs="Arial"/>
                <w:sz w:val="18"/>
                <w:szCs w:val="18"/>
              </w:rPr>
              <w:t>emifentanil infusion was started at an initial rate of 9 μg/kg/h and was increased in increments of at least 1.5 μg/kg/h at intervals of 5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 to </w:t>
            </w:r>
            <w:r w:rsidR="007607EE" w:rsidRPr="006A41E2">
              <w:rPr>
                <w:rFonts w:ascii="Arial" w:hAnsi="Arial" w:cs="Arial"/>
                <w:sz w:val="18"/>
                <w:szCs w:val="18"/>
              </w:rPr>
              <w:t>10 min</w:t>
            </w:r>
            <w:r w:rsidRPr="006A41E2">
              <w:rPr>
                <w:rFonts w:ascii="Arial" w:hAnsi="Arial" w:cs="Arial"/>
                <w:sz w:val="18"/>
                <w:szCs w:val="18"/>
              </w:rPr>
              <w:t>,</w:t>
            </w:r>
            <w:r w:rsidR="007607EE" w:rsidRPr="006A41E2">
              <w:rPr>
                <w:rFonts w:ascii="Arial" w:hAnsi="Arial" w:cs="Arial"/>
                <w:sz w:val="18"/>
                <w:szCs w:val="18"/>
              </w:rPr>
              <w:t xml:space="preserve"> depending on 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7607EE" w:rsidRPr="006A41E2">
              <w:rPr>
                <w:rFonts w:ascii="Arial" w:hAnsi="Arial" w:cs="Arial"/>
                <w:sz w:val="18"/>
                <w:szCs w:val="18"/>
              </w:rPr>
              <w:t xml:space="preserve">clinical 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requirement </w:t>
            </w:r>
            <w:r w:rsidR="007607EE" w:rsidRPr="006A41E2">
              <w:rPr>
                <w:rFonts w:ascii="Arial" w:hAnsi="Arial" w:cs="Arial"/>
                <w:sz w:val="18"/>
                <w:szCs w:val="18"/>
              </w:rPr>
              <w:t xml:space="preserve">or 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7607EE" w:rsidRPr="006A41E2">
              <w:rPr>
                <w:rFonts w:ascii="Arial" w:hAnsi="Arial" w:cs="Arial"/>
                <w:sz w:val="18"/>
                <w:szCs w:val="18"/>
              </w:rPr>
              <w:t xml:space="preserve">severity of illness up to 18 μg /kg/h. </w:t>
            </w:r>
          </w:p>
        </w:tc>
      </w:tr>
      <w:tr w:rsidR="007607EE" w:rsidRPr="006A41E2" w14:paraId="4C31BE7E" w14:textId="77777777" w:rsidTr="002560C2">
        <w:trPr>
          <w:trHeight w:val="1587"/>
        </w:trPr>
        <w:tc>
          <w:tcPr>
            <w:tcW w:w="411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665DA2D" w14:textId="08F719DC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A41E2">
              <w:rPr>
                <w:rFonts w:ascii="Arial" w:hAnsi="Arial" w:cs="Arial"/>
                <w:sz w:val="18"/>
                <w:szCs w:val="18"/>
              </w:rPr>
              <w:t>Khanykin</w:t>
            </w:r>
            <w:proofErr w:type="spellEnd"/>
            <w:r w:rsidRPr="006A41E2">
              <w:rPr>
                <w:rFonts w:ascii="Arial" w:hAnsi="Arial" w:cs="Arial"/>
                <w:sz w:val="18"/>
                <w:szCs w:val="18"/>
              </w:rPr>
              <w:t xml:space="preserve"> et al.</w:t>
            </w:r>
            <w:r w:rsidR="001F1A6E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="00145037" w:rsidRPr="00063294">
              <w:rPr>
                <w:rFonts w:ascii="Arial" w:hAnsi="Arial" w:cs="Arial"/>
                <w:sz w:val="18"/>
                <w:szCs w:val="18"/>
              </w:rPr>
              <w:t>20</w:t>
            </w:r>
            <w:r w:rsidR="001F1A6E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79582EA1" w14:textId="1B9E2B5D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Fentanyl</w:t>
            </w:r>
          </w:p>
        </w:tc>
        <w:tc>
          <w:tcPr>
            <w:tcW w:w="330" w:type="pct"/>
            <w:tcBorders>
              <w:top w:val="single" w:sz="4" w:space="0" w:color="auto"/>
            </w:tcBorders>
            <w:noWrap/>
            <w:vAlign w:val="center"/>
          </w:tcPr>
          <w:p w14:paraId="7C6FC011" w14:textId="7A49EAA0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65 (10)</w:t>
            </w:r>
          </w:p>
        </w:tc>
        <w:tc>
          <w:tcPr>
            <w:tcW w:w="342" w:type="pct"/>
            <w:tcBorders>
              <w:top w:val="single" w:sz="4" w:space="0" w:color="auto"/>
            </w:tcBorders>
            <w:noWrap/>
            <w:vAlign w:val="center"/>
          </w:tcPr>
          <w:p w14:paraId="66285691" w14:textId="0DB52C03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23/31 (76.7%)</w:t>
            </w:r>
          </w:p>
        </w:tc>
        <w:tc>
          <w:tcPr>
            <w:tcW w:w="390" w:type="pct"/>
            <w:tcBorders>
              <w:top w:val="single" w:sz="4" w:space="0" w:color="auto"/>
            </w:tcBorders>
            <w:noWrap/>
            <w:vAlign w:val="center"/>
          </w:tcPr>
          <w:p w14:paraId="348DE566" w14:textId="59AF1744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439" w:type="pct"/>
            <w:tcBorders>
              <w:top w:val="single" w:sz="4" w:space="0" w:color="auto"/>
            </w:tcBorders>
            <w:vAlign w:val="center"/>
          </w:tcPr>
          <w:p w14:paraId="42A64309" w14:textId="6C701A50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1340" w:type="pct"/>
            <w:tcBorders>
              <w:top w:val="single" w:sz="4" w:space="0" w:color="auto"/>
            </w:tcBorders>
            <w:noWrap/>
            <w:vAlign w:val="center"/>
          </w:tcPr>
          <w:p w14:paraId="09A2A5A2" w14:textId="451A8BC2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Patients were anesthetized with triazolam orally before surgery and with midazolam, propofol, rocuronium, and sevoflurane during surgery.</w:t>
            </w:r>
          </w:p>
        </w:tc>
        <w:tc>
          <w:tcPr>
            <w:tcW w:w="1319" w:type="pct"/>
            <w:tcBorders>
              <w:top w:val="single" w:sz="4" w:space="0" w:color="auto"/>
            </w:tcBorders>
            <w:noWrap/>
            <w:vAlign w:val="center"/>
          </w:tcPr>
          <w:p w14:paraId="3FB8FE0F" w14:textId="1E648D0D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 xml:space="preserve">Fentanyl </w:t>
            </w:r>
            <w:r w:rsidR="00A82602" w:rsidRPr="006A41E2">
              <w:rPr>
                <w:rFonts w:ascii="Arial" w:hAnsi="Arial" w:cs="Arial"/>
                <w:sz w:val="18"/>
                <w:szCs w:val="18"/>
              </w:rPr>
              <w:t xml:space="preserve">at </w:t>
            </w:r>
            <w:r w:rsidRPr="006A41E2">
              <w:rPr>
                <w:rFonts w:ascii="Arial" w:hAnsi="Arial" w:cs="Arial"/>
                <w:sz w:val="18"/>
                <w:szCs w:val="18"/>
              </w:rPr>
              <w:t>3</w:t>
            </w:r>
            <w:r w:rsidR="00EE0CA4" w:rsidRPr="006A41E2">
              <w:rPr>
                <w:rFonts w:ascii="Arial" w:hAnsi="Arial" w:cs="Arial"/>
                <w:sz w:val="18"/>
                <w:szCs w:val="18"/>
              </w:rPr>
              <w:t xml:space="preserve"> to 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4 μg/kg was administered during surgery as </w:t>
            </w:r>
            <w:r w:rsidR="00EE0CA4" w:rsidRPr="006A41E2">
              <w:rPr>
                <w:rFonts w:ascii="Arial" w:hAnsi="Arial" w:cs="Arial"/>
                <w:sz w:val="18"/>
                <w:szCs w:val="18"/>
              </w:rPr>
              <w:t>required.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E0CA4" w:rsidRPr="006A41E2">
              <w:rPr>
                <w:rFonts w:ascii="Arial" w:hAnsi="Arial" w:cs="Arial"/>
                <w:sz w:val="18"/>
                <w:szCs w:val="18"/>
              </w:rPr>
              <w:t>P</w:t>
            </w:r>
            <w:r w:rsidRPr="006A41E2">
              <w:rPr>
                <w:rFonts w:ascii="Arial" w:hAnsi="Arial" w:cs="Arial"/>
                <w:sz w:val="18"/>
                <w:szCs w:val="18"/>
              </w:rPr>
              <w:t>ostoperatively, the patient was transferred to the ICU without sedation and managed until weaning</w:t>
            </w:r>
            <w:r w:rsidR="00EE0CA4" w:rsidRPr="006A41E2">
              <w:rPr>
                <w:rFonts w:ascii="Arial" w:hAnsi="Arial" w:cs="Arial"/>
                <w:sz w:val="18"/>
                <w:szCs w:val="18"/>
              </w:rPr>
              <w:t xml:space="preserve"> from MV</w:t>
            </w:r>
            <w:r w:rsidRPr="006A41E2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607EE" w:rsidRPr="006A41E2" w14:paraId="1DB7B583" w14:textId="77777777" w:rsidTr="002560C2">
        <w:trPr>
          <w:trHeight w:val="1587"/>
        </w:trPr>
        <w:tc>
          <w:tcPr>
            <w:tcW w:w="411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3AD24001" w14:textId="77777777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14:paraId="2B5FA404" w14:textId="5445BA56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Remifentanil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noWrap/>
            <w:vAlign w:val="center"/>
          </w:tcPr>
          <w:p w14:paraId="2EEE448D" w14:textId="1B9CE0F8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64.7 (8)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noWrap/>
            <w:vAlign w:val="center"/>
          </w:tcPr>
          <w:p w14:paraId="05C89511" w14:textId="13EFD020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25/33 (75.8%)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noWrap/>
            <w:vAlign w:val="center"/>
          </w:tcPr>
          <w:p w14:paraId="7B0B575B" w14:textId="2D1C7727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7D23485F" w14:textId="3813D8C7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1340" w:type="pct"/>
            <w:tcBorders>
              <w:bottom w:val="single" w:sz="4" w:space="0" w:color="auto"/>
            </w:tcBorders>
            <w:noWrap/>
            <w:vAlign w:val="center"/>
          </w:tcPr>
          <w:p w14:paraId="4D9C70B4" w14:textId="35171F13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Patients were anesthetized with triazolam orally before surgery and with propofol, rocuronium, and sevoflurane during surgery.</w:t>
            </w:r>
          </w:p>
        </w:tc>
        <w:tc>
          <w:tcPr>
            <w:tcW w:w="1319" w:type="pct"/>
            <w:tcBorders>
              <w:bottom w:val="single" w:sz="4" w:space="0" w:color="auto"/>
            </w:tcBorders>
            <w:noWrap/>
            <w:vAlign w:val="center"/>
          </w:tcPr>
          <w:p w14:paraId="059C7D8A" w14:textId="2B5418C5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Intraoperatively, anesthesia was maintained with an infusion of 0.2</w:t>
            </w:r>
            <w:r w:rsidR="00304141" w:rsidRPr="006A41E2">
              <w:rPr>
                <w:rFonts w:ascii="Arial" w:hAnsi="Arial" w:cs="Arial"/>
                <w:sz w:val="18"/>
                <w:szCs w:val="18"/>
              </w:rPr>
              <w:t xml:space="preserve"> to </w:t>
            </w:r>
            <w:r w:rsidRPr="006A41E2">
              <w:rPr>
                <w:rFonts w:ascii="Arial" w:hAnsi="Arial" w:cs="Arial"/>
                <w:sz w:val="18"/>
                <w:szCs w:val="18"/>
              </w:rPr>
              <w:t>0.5 μg/kg/min of remifentanil</w:t>
            </w:r>
            <w:r w:rsidR="00304141" w:rsidRPr="006A41E2">
              <w:rPr>
                <w:rFonts w:ascii="Arial" w:hAnsi="Arial" w:cs="Arial"/>
                <w:sz w:val="18"/>
                <w:szCs w:val="18"/>
              </w:rPr>
              <w:t>.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04141" w:rsidRPr="006A41E2">
              <w:rPr>
                <w:rFonts w:ascii="Arial" w:hAnsi="Arial" w:cs="Arial"/>
                <w:sz w:val="18"/>
                <w:szCs w:val="18"/>
              </w:rPr>
              <w:t>P</w:t>
            </w:r>
            <w:r w:rsidRPr="006A41E2">
              <w:rPr>
                <w:rFonts w:ascii="Arial" w:hAnsi="Arial" w:cs="Arial"/>
                <w:sz w:val="18"/>
                <w:szCs w:val="18"/>
              </w:rPr>
              <w:t>ostoperatively, patients were transferred to the ICU and managed with 0.1</w:t>
            </w:r>
            <w:r w:rsidR="00304141" w:rsidRPr="006A41E2">
              <w:rPr>
                <w:rFonts w:ascii="Arial" w:hAnsi="Arial" w:cs="Arial"/>
                <w:sz w:val="18"/>
                <w:szCs w:val="18"/>
              </w:rPr>
              <w:t xml:space="preserve"> to </w:t>
            </w:r>
            <w:r w:rsidRPr="006A41E2">
              <w:rPr>
                <w:rFonts w:ascii="Arial" w:hAnsi="Arial" w:cs="Arial"/>
                <w:sz w:val="18"/>
                <w:szCs w:val="18"/>
              </w:rPr>
              <w:t>0.2 μg/kg of remifentanil. In the ICU</w:t>
            </w:r>
            <w:r w:rsidR="00A82602" w:rsidRPr="006A41E2">
              <w:rPr>
                <w:rFonts w:ascii="Arial" w:hAnsi="Arial" w:cs="Arial"/>
                <w:sz w:val="18"/>
                <w:szCs w:val="18"/>
              </w:rPr>
              <w:t>.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82602" w:rsidRPr="006A41E2">
              <w:rPr>
                <w:rFonts w:ascii="Arial" w:hAnsi="Arial" w:cs="Arial"/>
                <w:sz w:val="18"/>
                <w:szCs w:val="18"/>
              </w:rPr>
              <w:t>T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he authors reduced </w:t>
            </w:r>
            <w:r w:rsidR="00304141" w:rsidRPr="006A41E2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remifentanil dosage by 25% </w:t>
            </w:r>
            <w:r w:rsidR="00304141" w:rsidRPr="006A41E2">
              <w:rPr>
                <w:rFonts w:ascii="Arial" w:hAnsi="Arial" w:cs="Arial"/>
                <w:sz w:val="18"/>
                <w:szCs w:val="18"/>
              </w:rPr>
              <w:t xml:space="preserve">in </w:t>
            </w:r>
            <w:r w:rsidRPr="006A41E2">
              <w:rPr>
                <w:rFonts w:ascii="Arial" w:hAnsi="Arial" w:cs="Arial"/>
                <w:sz w:val="18"/>
                <w:szCs w:val="18"/>
              </w:rPr>
              <w:t>patients who showed no signs of pain and were hemodynamically stable.</w:t>
            </w:r>
          </w:p>
        </w:tc>
      </w:tr>
      <w:tr w:rsidR="007607EE" w:rsidRPr="006A41E2" w14:paraId="53E257C4" w14:textId="77777777" w:rsidTr="002560C2">
        <w:trPr>
          <w:trHeight w:val="1304"/>
        </w:trPr>
        <w:tc>
          <w:tcPr>
            <w:tcW w:w="411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2BBB1458" w14:textId="480EE529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Liu et al.</w:t>
            </w:r>
            <w:r w:rsidR="001F1A6E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="00145037" w:rsidRPr="00063294">
              <w:rPr>
                <w:rFonts w:ascii="Arial" w:hAnsi="Arial" w:cs="Arial"/>
                <w:sz w:val="18"/>
                <w:szCs w:val="18"/>
              </w:rPr>
              <w:t>21</w:t>
            </w:r>
            <w:r w:rsidR="001F1A6E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72E8490C" w14:textId="566940C6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Fentanyl</w:t>
            </w:r>
          </w:p>
        </w:tc>
        <w:tc>
          <w:tcPr>
            <w:tcW w:w="330" w:type="pct"/>
            <w:tcBorders>
              <w:top w:val="single" w:sz="4" w:space="0" w:color="auto"/>
            </w:tcBorders>
            <w:noWrap/>
            <w:vAlign w:val="center"/>
          </w:tcPr>
          <w:p w14:paraId="43083ED2" w14:textId="285220BC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62 (9.96)</w:t>
            </w:r>
          </w:p>
        </w:tc>
        <w:tc>
          <w:tcPr>
            <w:tcW w:w="342" w:type="pct"/>
            <w:tcBorders>
              <w:top w:val="single" w:sz="4" w:space="0" w:color="auto"/>
            </w:tcBorders>
            <w:noWrap/>
            <w:vAlign w:val="center"/>
          </w:tcPr>
          <w:p w14:paraId="2E5EE9BD" w14:textId="2DE48C29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17/35 (48.6%)</w:t>
            </w:r>
          </w:p>
        </w:tc>
        <w:tc>
          <w:tcPr>
            <w:tcW w:w="390" w:type="pct"/>
            <w:tcBorders>
              <w:top w:val="single" w:sz="4" w:space="0" w:color="auto"/>
            </w:tcBorders>
            <w:noWrap/>
            <w:vAlign w:val="center"/>
          </w:tcPr>
          <w:p w14:paraId="0A39BD46" w14:textId="69A5CD99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439" w:type="pct"/>
            <w:tcBorders>
              <w:top w:val="single" w:sz="4" w:space="0" w:color="auto"/>
            </w:tcBorders>
            <w:vAlign w:val="center"/>
          </w:tcPr>
          <w:p w14:paraId="641ED017" w14:textId="138D3704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20.2 (5.04)</w:t>
            </w:r>
          </w:p>
        </w:tc>
        <w:tc>
          <w:tcPr>
            <w:tcW w:w="1340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D21DBE6" w14:textId="7A8C7D91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 xml:space="preserve">Midazolam was administered at a loading dose of 0.05 mg/kg followed by 0.02 ± 0.1 mg/kg/h. The sedative effect was assessed every 4 h using </w:t>
            </w:r>
            <w:r w:rsidR="00304141" w:rsidRPr="006A41E2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RASS to ensure that the RASS score was within the range of </w:t>
            </w:r>
            <w:r w:rsidR="00304141" w:rsidRPr="006A41E2">
              <w:rPr>
                <w:rFonts w:ascii="Arial" w:hAnsi="Arial" w:cs="Arial"/>
                <w:sz w:val="18"/>
                <w:szCs w:val="18"/>
              </w:rPr>
              <w:t>−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1 to </w:t>
            </w:r>
            <w:r w:rsidR="00304141" w:rsidRPr="006A41E2">
              <w:rPr>
                <w:rFonts w:ascii="Arial" w:hAnsi="Arial" w:cs="Arial"/>
                <w:sz w:val="18"/>
                <w:szCs w:val="18"/>
              </w:rPr>
              <w:t>−</w:t>
            </w:r>
            <w:r w:rsidRPr="006A41E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319" w:type="pct"/>
            <w:tcBorders>
              <w:top w:val="single" w:sz="4" w:space="0" w:color="auto"/>
            </w:tcBorders>
            <w:noWrap/>
            <w:vAlign w:val="center"/>
          </w:tcPr>
          <w:p w14:paraId="66FDBC5A" w14:textId="5EA25A27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Fentanyl 1</w:t>
            </w:r>
            <w:r w:rsidR="00304141" w:rsidRPr="006A41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41E2">
              <w:rPr>
                <w:rFonts w:ascii="Arial" w:hAnsi="Arial" w:cs="Arial"/>
                <w:sz w:val="18"/>
                <w:szCs w:val="18"/>
              </w:rPr>
              <w:t>μg/kg/h</w:t>
            </w:r>
          </w:p>
        </w:tc>
      </w:tr>
      <w:tr w:rsidR="007607EE" w:rsidRPr="006A41E2" w14:paraId="00463B21" w14:textId="77777777" w:rsidTr="002560C2">
        <w:trPr>
          <w:trHeight w:val="1304"/>
        </w:trPr>
        <w:tc>
          <w:tcPr>
            <w:tcW w:w="411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2D4DD40B" w14:textId="32836C5B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14:paraId="4C845057" w14:textId="7D8EA6C7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Remifentanil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noWrap/>
            <w:vAlign w:val="center"/>
          </w:tcPr>
          <w:p w14:paraId="1DCC7BAC" w14:textId="1763F0D8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66.11 (11.94)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noWrap/>
            <w:vAlign w:val="center"/>
          </w:tcPr>
          <w:p w14:paraId="48B12883" w14:textId="505E2A3D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21/35 (60%)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noWrap/>
            <w:vAlign w:val="center"/>
          </w:tcPr>
          <w:p w14:paraId="4F6BF7D0" w14:textId="18CD5CF9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7C0ED8AD" w14:textId="035A3C6A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19.2 (4.19)</w:t>
            </w:r>
          </w:p>
        </w:tc>
        <w:tc>
          <w:tcPr>
            <w:tcW w:w="1340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609B5730" w14:textId="77777777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9" w:type="pct"/>
            <w:tcBorders>
              <w:bottom w:val="single" w:sz="4" w:space="0" w:color="auto"/>
            </w:tcBorders>
            <w:noWrap/>
            <w:vAlign w:val="center"/>
          </w:tcPr>
          <w:p w14:paraId="426CAD78" w14:textId="7F46EA95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Remifentanil 1</w:t>
            </w:r>
            <w:r w:rsidR="00304141" w:rsidRPr="006A41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41E2">
              <w:rPr>
                <w:rFonts w:ascii="Arial" w:hAnsi="Arial" w:cs="Arial"/>
                <w:sz w:val="18"/>
                <w:szCs w:val="18"/>
              </w:rPr>
              <w:t>μg/kg/h</w:t>
            </w:r>
          </w:p>
        </w:tc>
      </w:tr>
      <w:tr w:rsidR="007607EE" w:rsidRPr="006A41E2" w14:paraId="69264CB9" w14:textId="77777777" w:rsidTr="008D14F9">
        <w:trPr>
          <w:trHeight w:val="1701"/>
        </w:trPr>
        <w:tc>
          <w:tcPr>
            <w:tcW w:w="411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21570674" w14:textId="61526173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A41E2">
              <w:rPr>
                <w:rFonts w:ascii="Arial" w:hAnsi="Arial" w:cs="Arial"/>
                <w:sz w:val="18"/>
                <w:szCs w:val="18"/>
              </w:rPr>
              <w:t>Maddali</w:t>
            </w:r>
            <w:proofErr w:type="spellEnd"/>
            <w:r w:rsidRPr="006A41E2">
              <w:rPr>
                <w:rFonts w:ascii="Arial" w:hAnsi="Arial" w:cs="Arial"/>
                <w:sz w:val="18"/>
                <w:szCs w:val="18"/>
              </w:rPr>
              <w:t xml:space="preserve"> et al.</w:t>
            </w:r>
            <w:r w:rsidR="001F1A6E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="00145037" w:rsidRPr="00063294">
              <w:rPr>
                <w:rFonts w:ascii="Arial" w:hAnsi="Arial" w:cs="Arial"/>
                <w:sz w:val="18"/>
                <w:szCs w:val="18"/>
              </w:rPr>
              <w:t>22</w:t>
            </w:r>
            <w:r w:rsidR="001F1A6E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404F3563" w14:textId="04F516CA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Fentanyl</w:t>
            </w:r>
          </w:p>
        </w:tc>
        <w:tc>
          <w:tcPr>
            <w:tcW w:w="330" w:type="pct"/>
            <w:tcBorders>
              <w:top w:val="single" w:sz="4" w:space="0" w:color="auto"/>
            </w:tcBorders>
            <w:noWrap/>
            <w:vAlign w:val="center"/>
          </w:tcPr>
          <w:p w14:paraId="229F6317" w14:textId="026BB5DC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57.8 (8.9)</w:t>
            </w:r>
          </w:p>
        </w:tc>
        <w:tc>
          <w:tcPr>
            <w:tcW w:w="342" w:type="pct"/>
            <w:tcBorders>
              <w:top w:val="single" w:sz="4" w:space="0" w:color="auto"/>
            </w:tcBorders>
            <w:noWrap/>
            <w:vAlign w:val="center"/>
          </w:tcPr>
          <w:p w14:paraId="57A92E23" w14:textId="3D8C08B0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39/59 (66.1%)</w:t>
            </w:r>
          </w:p>
        </w:tc>
        <w:tc>
          <w:tcPr>
            <w:tcW w:w="390" w:type="pct"/>
            <w:tcBorders>
              <w:top w:val="single" w:sz="4" w:space="0" w:color="auto"/>
            </w:tcBorders>
            <w:noWrap/>
            <w:vAlign w:val="center"/>
          </w:tcPr>
          <w:p w14:paraId="105BEB2E" w14:textId="45639E85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439" w:type="pct"/>
            <w:tcBorders>
              <w:top w:val="single" w:sz="4" w:space="0" w:color="auto"/>
            </w:tcBorders>
            <w:vAlign w:val="center"/>
          </w:tcPr>
          <w:p w14:paraId="3159FDDB" w14:textId="530EDDF6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1340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646C9299" w14:textId="5DC1F69C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 xml:space="preserve">All patients received midazolam orally before surgery and anesthesia with intravenous thiopental sodium, midazolam, and </w:t>
            </w:r>
            <w:proofErr w:type="spellStart"/>
            <w:r w:rsidRPr="006A41E2">
              <w:rPr>
                <w:rFonts w:ascii="Arial" w:hAnsi="Arial" w:cs="Arial"/>
                <w:sz w:val="18"/>
                <w:szCs w:val="18"/>
              </w:rPr>
              <w:t>pancuronium</w:t>
            </w:r>
            <w:proofErr w:type="spellEnd"/>
            <w:r w:rsidRPr="006A41E2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304141" w:rsidRPr="006A41E2">
              <w:rPr>
                <w:rFonts w:ascii="Arial" w:hAnsi="Arial" w:cs="Arial"/>
                <w:sz w:val="18"/>
                <w:szCs w:val="18"/>
              </w:rPr>
              <w:t>A</w:t>
            </w:r>
            <w:r w:rsidRPr="006A41E2">
              <w:rPr>
                <w:rFonts w:ascii="Arial" w:hAnsi="Arial" w:cs="Arial"/>
                <w:sz w:val="18"/>
                <w:szCs w:val="18"/>
              </w:rPr>
              <w:t>ddition</w:t>
            </w:r>
            <w:r w:rsidR="00304141" w:rsidRPr="006A41E2">
              <w:rPr>
                <w:rFonts w:ascii="Arial" w:hAnsi="Arial" w:cs="Arial"/>
                <w:sz w:val="18"/>
                <w:szCs w:val="18"/>
              </w:rPr>
              <w:t>ally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, isoflurane was used as an intraoperative volatile anesthetic. Postoperatively, intravenous propofol was continued until weaning </w:t>
            </w:r>
            <w:r w:rsidR="00304141" w:rsidRPr="006A41E2">
              <w:rPr>
                <w:rFonts w:ascii="Arial" w:hAnsi="Arial" w:cs="Arial"/>
                <w:sz w:val="18"/>
                <w:szCs w:val="18"/>
              </w:rPr>
              <w:t xml:space="preserve">from </w:t>
            </w:r>
            <w:r w:rsidRPr="006A41E2">
              <w:rPr>
                <w:rFonts w:ascii="Arial" w:hAnsi="Arial" w:cs="Arial"/>
                <w:sz w:val="18"/>
                <w:szCs w:val="18"/>
              </w:rPr>
              <w:t>MV.</w:t>
            </w:r>
          </w:p>
        </w:tc>
        <w:tc>
          <w:tcPr>
            <w:tcW w:w="1319" w:type="pct"/>
            <w:tcBorders>
              <w:top w:val="single" w:sz="4" w:space="0" w:color="auto"/>
            </w:tcBorders>
            <w:noWrap/>
            <w:vAlign w:val="center"/>
          </w:tcPr>
          <w:p w14:paraId="3440E1D5" w14:textId="751E9C54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After induction of anesthesia, continuous intravenous infusion of fentanyl (0.025-0.15 µg/kg/min) was administered until the end of surgery. After surgery, a reduced dose of intravenous fentanyl (0.25-1.5 µg/kg/h) was continued until weaning</w:t>
            </w:r>
            <w:r w:rsidR="00304141" w:rsidRPr="006A41E2">
              <w:rPr>
                <w:rFonts w:ascii="Arial" w:hAnsi="Arial" w:cs="Arial"/>
                <w:sz w:val="18"/>
                <w:szCs w:val="18"/>
              </w:rPr>
              <w:t xml:space="preserve"> from MV</w:t>
            </w:r>
            <w:r w:rsidRPr="006A41E2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607EE" w:rsidRPr="006A41E2" w14:paraId="2A633418" w14:textId="77777777" w:rsidTr="008D14F9">
        <w:trPr>
          <w:trHeight w:val="1701"/>
        </w:trPr>
        <w:tc>
          <w:tcPr>
            <w:tcW w:w="411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52EF808F" w14:textId="278678B5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14:paraId="107AE38F" w14:textId="79724865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Remifentanil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noWrap/>
            <w:vAlign w:val="center"/>
          </w:tcPr>
          <w:p w14:paraId="4923DE31" w14:textId="63F80269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57.3 (7.6)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noWrap/>
            <w:vAlign w:val="center"/>
          </w:tcPr>
          <w:p w14:paraId="000FDB64" w14:textId="5017EF68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42/58 (72.4%)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noWrap/>
            <w:vAlign w:val="center"/>
          </w:tcPr>
          <w:p w14:paraId="7B6039C8" w14:textId="19C520AC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35959F2D" w14:textId="3A831D7B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1340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480849A7" w14:textId="77777777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9" w:type="pct"/>
            <w:tcBorders>
              <w:bottom w:val="single" w:sz="4" w:space="0" w:color="auto"/>
            </w:tcBorders>
            <w:noWrap/>
            <w:vAlign w:val="center"/>
          </w:tcPr>
          <w:p w14:paraId="00FE7060" w14:textId="1E64FEB7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Intraoperatively, remifentanil (1 µg/kg/min) was administered as a continuous intravenous infusion</w:t>
            </w:r>
            <w:r w:rsidR="00304141" w:rsidRPr="006A41E2">
              <w:rPr>
                <w:rFonts w:ascii="Arial" w:hAnsi="Arial" w:cs="Arial"/>
                <w:sz w:val="18"/>
                <w:szCs w:val="18"/>
              </w:rPr>
              <w:t>.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04141" w:rsidRPr="006A41E2">
              <w:rPr>
                <w:rFonts w:ascii="Arial" w:hAnsi="Arial" w:cs="Arial"/>
                <w:sz w:val="18"/>
                <w:szCs w:val="18"/>
              </w:rPr>
              <w:t>U</w:t>
            </w:r>
            <w:r w:rsidRPr="006A41E2">
              <w:rPr>
                <w:rFonts w:ascii="Arial" w:hAnsi="Arial" w:cs="Arial"/>
                <w:sz w:val="18"/>
                <w:szCs w:val="18"/>
              </w:rPr>
              <w:t>pon transfer to the PCSU, remifentanil infusion was discontinued, and fentanyl infusion (1 µg/kg) was administered as a bolus</w:t>
            </w:r>
            <w:r w:rsidR="00304141" w:rsidRPr="006A41E2">
              <w:rPr>
                <w:rFonts w:ascii="Arial" w:hAnsi="Arial" w:cs="Arial"/>
                <w:sz w:val="18"/>
                <w:szCs w:val="18"/>
              </w:rPr>
              <w:t>.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04141" w:rsidRPr="006A41E2">
              <w:rPr>
                <w:rFonts w:ascii="Arial" w:hAnsi="Arial" w:cs="Arial"/>
                <w:sz w:val="18"/>
                <w:szCs w:val="18"/>
              </w:rPr>
              <w:t>F</w:t>
            </w:r>
            <w:r w:rsidRPr="006A41E2">
              <w:rPr>
                <w:rFonts w:ascii="Arial" w:hAnsi="Arial" w:cs="Arial"/>
                <w:sz w:val="18"/>
                <w:szCs w:val="18"/>
              </w:rPr>
              <w:t>entanyl (0.25-1.5 µg/kg/h) was administered as a continuous intravenous infusion until weaning</w:t>
            </w:r>
            <w:r w:rsidR="00304141" w:rsidRPr="006A41E2">
              <w:rPr>
                <w:rFonts w:ascii="Arial" w:hAnsi="Arial" w:cs="Arial"/>
                <w:sz w:val="18"/>
                <w:szCs w:val="18"/>
              </w:rPr>
              <w:t xml:space="preserve"> from MV</w:t>
            </w:r>
            <w:r w:rsidRPr="006A41E2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607EE" w:rsidRPr="006A41E2" w14:paraId="46B23471" w14:textId="77777777" w:rsidTr="008D14F9">
        <w:trPr>
          <w:trHeight w:val="1701"/>
        </w:trPr>
        <w:tc>
          <w:tcPr>
            <w:tcW w:w="411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29A23C2B" w14:textId="461F81BC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A41E2">
              <w:rPr>
                <w:rFonts w:ascii="Arial" w:hAnsi="Arial" w:cs="Arial"/>
                <w:sz w:val="18"/>
                <w:szCs w:val="18"/>
              </w:rPr>
              <w:t>Mollhoff</w:t>
            </w:r>
            <w:proofErr w:type="spellEnd"/>
            <w:r w:rsidRPr="006A41E2">
              <w:rPr>
                <w:rFonts w:ascii="Arial" w:hAnsi="Arial" w:cs="Arial"/>
                <w:sz w:val="18"/>
                <w:szCs w:val="18"/>
              </w:rPr>
              <w:t xml:space="preserve"> et al.</w:t>
            </w:r>
            <w:r w:rsidR="001F1A6E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="00145037" w:rsidRPr="00063294">
              <w:rPr>
                <w:rFonts w:ascii="Arial" w:hAnsi="Arial" w:cs="Arial"/>
                <w:sz w:val="18"/>
                <w:szCs w:val="18"/>
              </w:rPr>
              <w:t>23</w:t>
            </w:r>
            <w:r w:rsidR="001F1A6E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4FEAF764" w14:textId="069C43D8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Fentanyl</w:t>
            </w:r>
          </w:p>
        </w:tc>
        <w:tc>
          <w:tcPr>
            <w:tcW w:w="330" w:type="pct"/>
            <w:tcBorders>
              <w:top w:val="single" w:sz="4" w:space="0" w:color="auto"/>
            </w:tcBorders>
            <w:noWrap/>
            <w:vAlign w:val="center"/>
          </w:tcPr>
          <w:p w14:paraId="042192E5" w14:textId="1707FD45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63 (8.4)</w:t>
            </w:r>
          </w:p>
        </w:tc>
        <w:tc>
          <w:tcPr>
            <w:tcW w:w="342" w:type="pct"/>
            <w:tcBorders>
              <w:top w:val="single" w:sz="4" w:space="0" w:color="auto"/>
            </w:tcBorders>
            <w:noWrap/>
            <w:vAlign w:val="center"/>
          </w:tcPr>
          <w:p w14:paraId="170D0D52" w14:textId="1D2ADE3C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132/149 (88.6%)</w:t>
            </w:r>
          </w:p>
        </w:tc>
        <w:tc>
          <w:tcPr>
            <w:tcW w:w="390" w:type="pct"/>
            <w:tcBorders>
              <w:top w:val="single" w:sz="4" w:space="0" w:color="auto"/>
            </w:tcBorders>
            <w:noWrap/>
            <w:vAlign w:val="center"/>
          </w:tcPr>
          <w:p w14:paraId="6AC4CA1E" w14:textId="707E51F2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439" w:type="pct"/>
            <w:tcBorders>
              <w:top w:val="single" w:sz="4" w:space="0" w:color="auto"/>
            </w:tcBorders>
            <w:vAlign w:val="center"/>
          </w:tcPr>
          <w:p w14:paraId="1A8ADE1B" w14:textId="391A9D7C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1340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5C77795D" w14:textId="43EEFDF8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 xml:space="preserve">All patients were administered diazepam orally before surgery. Propofol and </w:t>
            </w:r>
            <w:proofErr w:type="spellStart"/>
            <w:r w:rsidRPr="006A41E2">
              <w:rPr>
                <w:rFonts w:ascii="Arial" w:hAnsi="Arial" w:cs="Arial"/>
                <w:sz w:val="18"/>
                <w:szCs w:val="18"/>
              </w:rPr>
              <w:t>pancuronium</w:t>
            </w:r>
            <w:proofErr w:type="spellEnd"/>
            <w:r w:rsidRPr="006A41E2">
              <w:rPr>
                <w:rFonts w:ascii="Arial" w:hAnsi="Arial" w:cs="Arial"/>
                <w:sz w:val="18"/>
                <w:szCs w:val="18"/>
              </w:rPr>
              <w:t xml:space="preserve"> were administered for induction of anesthesia, and propofol was administered continuously for maintenance of anesthesia. After surgery, propofol was continued until the patient was settled in the ICU.</w:t>
            </w:r>
          </w:p>
        </w:tc>
        <w:tc>
          <w:tcPr>
            <w:tcW w:w="1319" w:type="pct"/>
            <w:tcBorders>
              <w:top w:val="single" w:sz="4" w:space="0" w:color="auto"/>
            </w:tcBorders>
            <w:noWrap/>
            <w:vAlign w:val="center"/>
          </w:tcPr>
          <w:p w14:paraId="6E77D088" w14:textId="1356FDD0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 xml:space="preserve">During induction of anesthesia, a bolus dose of blinded fentanyl (15 µg/kg) was </w:t>
            </w:r>
            <w:r w:rsidR="00580E45" w:rsidRPr="006A41E2">
              <w:rPr>
                <w:rFonts w:ascii="Arial" w:hAnsi="Arial" w:cs="Arial"/>
                <w:sz w:val="18"/>
                <w:szCs w:val="18"/>
              </w:rPr>
              <w:t>admin</w:t>
            </w:r>
            <w:r w:rsidR="002D3C15" w:rsidRPr="006A41E2">
              <w:rPr>
                <w:rFonts w:ascii="Arial" w:hAnsi="Arial" w:cs="Arial"/>
                <w:sz w:val="18"/>
                <w:szCs w:val="18"/>
              </w:rPr>
              <w:t>i</w:t>
            </w:r>
            <w:r w:rsidR="00580E45" w:rsidRPr="006A41E2">
              <w:rPr>
                <w:rFonts w:ascii="Arial" w:hAnsi="Arial" w:cs="Arial"/>
                <w:sz w:val="18"/>
                <w:szCs w:val="18"/>
              </w:rPr>
              <w:t>stered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, and a placebo was administered continuously. During surgery, </w:t>
            </w:r>
            <w:r w:rsidR="00580E45" w:rsidRPr="006A41E2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fentanyl (2 µg/kg) bolus was </w:t>
            </w:r>
            <w:r w:rsidR="00580E45" w:rsidRPr="006A41E2">
              <w:rPr>
                <w:rFonts w:ascii="Arial" w:hAnsi="Arial" w:cs="Arial"/>
                <w:sz w:val="18"/>
                <w:szCs w:val="18"/>
              </w:rPr>
              <w:t>provided.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80E45" w:rsidRPr="006A41E2">
              <w:rPr>
                <w:rFonts w:ascii="Arial" w:hAnsi="Arial" w:cs="Arial"/>
                <w:sz w:val="18"/>
                <w:szCs w:val="18"/>
              </w:rPr>
              <w:t>C</w:t>
            </w:r>
            <w:r w:rsidRPr="006A41E2">
              <w:rPr>
                <w:rFonts w:ascii="Arial" w:hAnsi="Arial" w:cs="Arial"/>
                <w:sz w:val="18"/>
                <w:szCs w:val="18"/>
              </w:rPr>
              <w:t>ontinuous placebo administration was terminated after the patient was settled in the ICU.</w:t>
            </w:r>
          </w:p>
        </w:tc>
      </w:tr>
      <w:tr w:rsidR="007607EE" w:rsidRPr="006A41E2" w14:paraId="76C62FD2" w14:textId="77777777" w:rsidTr="008D14F9">
        <w:trPr>
          <w:trHeight w:val="1701"/>
        </w:trPr>
        <w:tc>
          <w:tcPr>
            <w:tcW w:w="411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3D92B50F" w14:textId="77777777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14:paraId="4038CA67" w14:textId="4F3D2F36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Remifentanil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noWrap/>
            <w:vAlign w:val="center"/>
          </w:tcPr>
          <w:p w14:paraId="5DB9B5F8" w14:textId="00BCA520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62 (8.8)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noWrap/>
            <w:vAlign w:val="center"/>
          </w:tcPr>
          <w:p w14:paraId="3886E228" w14:textId="674270F8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147/172 (85.5%)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noWrap/>
            <w:vAlign w:val="center"/>
          </w:tcPr>
          <w:p w14:paraId="299EE410" w14:textId="3FE143F2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4F9FF0E2" w14:textId="4D187F87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1340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45E8FB59" w14:textId="77777777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9" w:type="pct"/>
            <w:tcBorders>
              <w:bottom w:val="single" w:sz="4" w:space="0" w:color="auto"/>
            </w:tcBorders>
            <w:noWrap/>
            <w:vAlign w:val="center"/>
          </w:tcPr>
          <w:p w14:paraId="15FF58BB" w14:textId="5C27E6DD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 xml:space="preserve">Continuous remifentanil administration was started after induction of anesthesia, and the dose was adjusted accordingly during surgery (0.5-1.0 µg/kg/min). Continuous remifentanil administration was terminated after the patient was settled in </w:t>
            </w:r>
            <w:r w:rsidR="00580E45" w:rsidRPr="006A41E2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6A41E2">
              <w:rPr>
                <w:rFonts w:ascii="Arial" w:hAnsi="Arial" w:cs="Arial"/>
                <w:sz w:val="18"/>
                <w:szCs w:val="18"/>
              </w:rPr>
              <w:t>ICU.</w:t>
            </w:r>
          </w:p>
        </w:tc>
      </w:tr>
      <w:tr w:rsidR="007607EE" w:rsidRPr="006A41E2" w14:paraId="2810EC63" w14:textId="77777777" w:rsidTr="002560C2">
        <w:trPr>
          <w:trHeight w:val="1474"/>
        </w:trPr>
        <w:tc>
          <w:tcPr>
            <w:tcW w:w="411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498137A6" w14:textId="36FD414C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A41E2">
              <w:rPr>
                <w:rFonts w:ascii="Arial" w:hAnsi="Arial" w:cs="Arial"/>
                <w:sz w:val="18"/>
                <w:szCs w:val="18"/>
              </w:rPr>
              <w:lastRenderedPageBreak/>
              <w:t>Muellejans</w:t>
            </w:r>
            <w:proofErr w:type="spellEnd"/>
            <w:r w:rsidRPr="006A41E2">
              <w:rPr>
                <w:rFonts w:ascii="Arial" w:hAnsi="Arial" w:cs="Arial"/>
                <w:sz w:val="18"/>
                <w:szCs w:val="18"/>
              </w:rPr>
              <w:t xml:space="preserve"> et al.</w:t>
            </w:r>
            <w:r w:rsidR="001F1A6E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="00145037" w:rsidRPr="00063294">
              <w:rPr>
                <w:rFonts w:ascii="Arial" w:hAnsi="Arial" w:cs="Arial"/>
                <w:sz w:val="18"/>
                <w:szCs w:val="18"/>
              </w:rPr>
              <w:t>24</w:t>
            </w:r>
            <w:r w:rsidR="001F1A6E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7D40BDAF" w14:textId="1D49AA70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Fentanyl</w:t>
            </w:r>
          </w:p>
        </w:tc>
        <w:tc>
          <w:tcPr>
            <w:tcW w:w="330" w:type="pct"/>
            <w:tcBorders>
              <w:top w:val="single" w:sz="4" w:space="0" w:color="auto"/>
            </w:tcBorders>
            <w:noWrap/>
            <w:vAlign w:val="center"/>
          </w:tcPr>
          <w:p w14:paraId="37B9CF5F" w14:textId="585EBAE6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58.7 (13.9)</w:t>
            </w:r>
          </w:p>
        </w:tc>
        <w:tc>
          <w:tcPr>
            <w:tcW w:w="342" w:type="pct"/>
            <w:tcBorders>
              <w:top w:val="single" w:sz="4" w:space="0" w:color="auto"/>
            </w:tcBorders>
            <w:noWrap/>
            <w:vAlign w:val="center"/>
          </w:tcPr>
          <w:p w14:paraId="6E553F75" w14:textId="417D3EF9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52/75 (69.3%)</w:t>
            </w:r>
          </w:p>
        </w:tc>
        <w:tc>
          <w:tcPr>
            <w:tcW w:w="390" w:type="pct"/>
            <w:tcBorders>
              <w:top w:val="single" w:sz="4" w:space="0" w:color="auto"/>
            </w:tcBorders>
            <w:noWrap/>
            <w:vAlign w:val="center"/>
          </w:tcPr>
          <w:p w14:paraId="57706470" w14:textId="25779B16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439" w:type="pct"/>
            <w:tcBorders>
              <w:top w:val="single" w:sz="4" w:space="0" w:color="auto"/>
            </w:tcBorders>
            <w:vAlign w:val="center"/>
          </w:tcPr>
          <w:p w14:paraId="0DC9FD20" w14:textId="78856BC3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1340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19005F56" w14:textId="1110E6CE" w:rsidR="007607EE" w:rsidRPr="006A41E2" w:rsidRDefault="007607EE" w:rsidP="0026090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 xml:space="preserve">Propofol was administered at an initial bolus dose of up to 0.5 mg/kg only when opioids reached the prescribed dose. </w:t>
            </w:r>
            <w:r w:rsidR="00794AF7" w:rsidRPr="00794AF7">
              <w:rPr>
                <w:rFonts w:ascii="Arial" w:hAnsi="Arial" w:cs="Arial"/>
                <w:sz w:val="18"/>
                <w:szCs w:val="18"/>
              </w:rPr>
              <w:t xml:space="preserve">Thereafter, propofol </w:t>
            </w:r>
            <w:r w:rsidR="007E78C5">
              <w:rPr>
                <w:rFonts w:ascii="Arial" w:hAnsi="Arial" w:cs="Arial"/>
                <w:sz w:val="18"/>
                <w:szCs w:val="18"/>
              </w:rPr>
              <w:t xml:space="preserve">was </w:t>
            </w:r>
            <w:r w:rsidR="00794AF7" w:rsidRPr="00794AF7">
              <w:rPr>
                <w:rFonts w:ascii="Arial" w:hAnsi="Arial" w:cs="Arial"/>
                <w:sz w:val="18"/>
                <w:szCs w:val="18"/>
              </w:rPr>
              <w:t xml:space="preserve">administered as a bolus dose of up to 0.5 mg/kg every hour and a continuous dose of 0.5 mg/kg/h, with the continuous dose increased by 25%. In case of excessive sedation (SAS score: </w:t>
            </w:r>
            <w:r w:rsidR="007E78C5">
              <w:rPr>
                <w:rFonts w:ascii="Arial" w:hAnsi="Arial" w:cs="Arial"/>
                <w:sz w:val="18"/>
                <w:szCs w:val="18"/>
              </w:rPr>
              <w:t>&lt;</w:t>
            </w:r>
            <w:r w:rsidR="00794AF7" w:rsidRPr="00794AF7">
              <w:rPr>
                <w:rFonts w:ascii="Arial" w:hAnsi="Arial" w:cs="Arial"/>
                <w:sz w:val="18"/>
                <w:szCs w:val="18"/>
              </w:rPr>
              <w:t xml:space="preserve"> 4), the sustained dose of propofol was reduced by 25%.</w:t>
            </w:r>
          </w:p>
        </w:tc>
        <w:tc>
          <w:tcPr>
            <w:tcW w:w="1319" w:type="pct"/>
            <w:tcBorders>
              <w:top w:val="single" w:sz="4" w:space="0" w:color="auto"/>
            </w:tcBorders>
            <w:noWrap/>
            <w:vAlign w:val="center"/>
          </w:tcPr>
          <w:p w14:paraId="3E562E40" w14:textId="643C974E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Blinded fentanyl (1 μg/kg bolus + 1.5 μg/kg</w:t>
            </w:r>
            <w:r w:rsidR="004A664E" w:rsidRPr="006A41E2">
              <w:rPr>
                <w:rFonts w:ascii="Arial" w:hAnsi="Arial" w:cs="Arial"/>
                <w:sz w:val="18"/>
                <w:szCs w:val="18"/>
              </w:rPr>
              <w:t>/h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 infusion at 6 ml/h) was administered initially, followed by titration of the infusion rate in 1</w:t>
            </w:r>
            <w:r w:rsidR="004A664E" w:rsidRPr="006A41E2">
              <w:rPr>
                <w:rFonts w:ascii="Arial" w:hAnsi="Arial" w:cs="Arial"/>
                <w:sz w:val="18"/>
                <w:szCs w:val="18"/>
              </w:rPr>
              <w:t>-</w:t>
            </w:r>
            <w:r w:rsidRPr="006A41E2">
              <w:rPr>
                <w:rFonts w:ascii="Arial" w:hAnsi="Arial" w:cs="Arial"/>
                <w:sz w:val="18"/>
                <w:szCs w:val="18"/>
              </w:rPr>
              <w:t>ml/h increments (fentanyl 0.25 μg/kg</w:t>
            </w:r>
            <w:r w:rsidR="004A664E" w:rsidRPr="006A41E2">
              <w:rPr>
                <w:rFonts w:ascii="Arial" w:hAnsi="Arial" w:cs="Arial"/>
                <w:sz w:val="18"/>
                <w:szCs w:val="18"/>
              </w:rPr>
              <w:t>/h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 rate increase).</w:t>
            </w:r>
          </w:p>
        </w:tc>
      </w:tr>
      <w:tr w:rsidR="007607EE" w:rsidRPr="006A41E2" w14:paraId="29F79136" w14:textId="77777777" w:rsidTr="002560C2">
        <w:trPr>
          <w:trHeight w:val="1474"/>
        </w:trPr>
        <w:tc>
          <w:tcPr>
            <w:tcW w:w="411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0338538B" w14:textId="77777777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14:paraId="22E9ACCD" w14:textId="08F20907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Remifentanil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noWrap/>
            <w:vAlign w:val="center"/>
          </w:tcPr>
          <w:p w14:paraId="7996FBE1" w14:textId="06FEA2C8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61.5 (13.4)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noWrap/>
            <w:vAlign w:val="center"/>
          </w:tcPr>
          <w:p w14:paraId="3049DB8E" w14:textId="2E9A7754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55/77 (71.4%)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noWrap/>
            <w:vAlign w:val="center"/>
          </w:tcPr>
          <w:p w14:paraId="1C7890F5" w14:textId="32817C6B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585DCD96" w14:textId="318410B3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1340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21A4D161" w14:textId="77777777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9" w:type="pct"/>
            <w:tcBorders>
              <w:bottom w:val="single" w:sz="4" w:space="0" w:color="auto"/>
            </w:tcBorders>
            <w:noWrap/>
            <w:vAlign w:val="center"/>
          </w:tcPr>
          <w:p w14:paraId="4B014091" w14:textId="52BAE404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Blinded opioids (placebo bolus dose + 9 μg/kg</w:t>
            </w:r>
            <w:r w:rsidR="004A664E" w:rsidRPr="006A41E2">
              <w:rPr>
                <w:rFonts w:ascii="Arial" w:hAnsi="Arial" w:cs="Arial"/>
                <w:sz w:val="18"/>
                <w:szCs w:val="18"/>
              </w:rPr>
              <w:t>/h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 infusion at 6 ml/h) were initially administered, followed by titration of </w:t>
            </w:r>
            <w:r w:rsidR="004A664E" w:rsidRPr="006A41E2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6A41E2">
              <w:rPr>
                <w:rFonts w:ascii="Arial" w:hAnsi="Arial" w:cs="Arial"/>
                <w:sz w:val="18"/>
                <w:szCs w:val="18"/>
              </w:rPr>
              <w:t>infusion volume in 1</w:t>
            </w:r>
            <w:r w:rsidR="004A664E" w:rsidRPr="006A41E2">
              <w:rPr>
                <w:rFonts w:ascii="Arial" w:hAnsi="Arial" w:cs="Arial"/>
                <w:sz w:val="18"/>
                <w:szCs w:val="18"/>
              </w:rPr>
              <w:t>-</w:t>
            </w:r>
            <w:r w:rsidRPr="006A41E2">
              <w:rPr>
                <w:rFonts w:ascii="Arial" w:hAnsi="Arial" w:cs="Arial"/>
                <w:sz w:val="18"/>
                <w:szCs w:val="18"/>
              </w:rPr>
              <w:t>ml/h increments (remifentanil 1.5 μg/kg/</w:t>
            </w:r>
            <w:proofErr w:type="spellStart"/>
            <w:r w:rsidRPr="006A41E2">
              <w:rPr>
                <w:rFonts w:ascii="Arial" w:hAnsi="Arial" w:cs="Arial"/>
                <w:sz w:val="18"/>
                <w:szCs w:val="18"/>
              </w:rPr>
              <w:t>hr</w:t>
            </w:r>
            <w:proofErr w:type="spellEnd"/>
            <w:r w:rsidRPr="006A41E2">
              <w:rPr>
                <w:rFonts w:ascii="Arial" w:hAnsi="Arial" w:cs="Arial"/>
                <w:sz w:val="18"/>
                <w:szCs w:val="18"/>
              </w:rPr>
              <w:t>) for optimal sedation (SAS score</w:t>
            </w:r>
            <w:r w:rsidR="004A664E" w:rsidRPr="006A41E2">
              <w:rPr>
                <w:rFonts w:ascii="Arial" w:hAnsi="Arial" w:cs="Arial"/>
                <w:sz w:val="18"/>
                <w:szCs w:val="18"/>
              </w:rPr>
              <w:t>: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 4) </w:t>
            </w:r>
            <w:r w:rsidR="004A664E" w:rsidRPr="006A41E2">
              <w:rPr>
                <w:rFonts w:ascii="Arial" w:hAnsi="Arial" w:cs="Arial"/>
                <w:sz w:val="18"/>
                <w:szCs w:val="18"/>
              </w:rPr>
              <w:t xml:space="preserve">with an </w:t>
            </w:r>
            <w:r w:rsidRPr="006A41E2">
              <w:rPr>
                <w:rFonts w:ascii="Arial" w:hAnsi="Arial" w:cs="Arial"/>
                <w:sz w:val="18"/>
                <w:szCs w:val="18"/>
              </w:rPr>
              <w:t>increase in dose.</w:t>
            </w:r>
          </w:p>
        </w:tc>
      </w:tr>
      <w:tr w:rsidR="007607EE" w:rsidRPr="006A41E2" w14:paraId="22EDB3E3" w14:textId="77777777" w:rsidTr="008D14F9">
        <w:trPr>
          <w:trHeight w:val="1701"/>
        </w:trPr>
        <w:tc>
          <w:tcPr>
            <w:tcW w:w="411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B473EE6" w14:textId="46D6B5D0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A41E2">
              <w:rPr>
                <w:rFonts w:ascii="Arial" w:hAnsi="Arial" w:cs="Arial"/>
                <w:sz w:val="18"/>
                <w:szCs w:val="18"/>
              </w:rPr>
              <w:t>Muellejans</w:t>
            </w:r>
            <w:proofErr w:type="spellEnd"/>
            <w:r w:rsidRPr="006A41E2">
              <w:rPr>
                <w:rFonts w:ascii="Arial" w:hAnsi="Arial" w:cs="Arial"/>
                <w:sz w:val="18"/>
                <w:szCs w:val="18"/>
              </w:rPr>
              <w:t xml:space="preserve"> et al.</w:t>
            </w:r>
            <w:r w:rsidR="001F1A6E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="00145037" w:rsidRPr="00063294">
              <w:rPr>
                <w:rFonts w:ascii="Arial" w:hAnsi="Arial" w:cs="Arial"/>
                <w:sz w:val="18"/>
                <w:szCs w:val="18"/>
              </w:rPr>
              <w:t>25</w:t>
            </w:r>
            <w:r w:rsidR="001F1A6E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4744A917" w14:textId="480B110C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Fentanyl</w:t>
            </w:r>
          </w:p>
        </w:tc>
        <w:tc>
          <w:tcPr>
            <w:tcW w:w="330" w:type="pct"/>
            <w:tcBorders>
              <w:top w:val="single" w:sz="4" w:space="0" w:color="auto"/>
            </w:tcBorders>
            <w:noWrap/>
            <w:vAlign w:val="center"/>
          </w:tcPr>
          <w:p w14:paraId="30179F4A" w14:textId="4059ED36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66.5 (7.0)</w:t>
            </w:r>
          </w:p>
        </w:tc>
        <w:tc>
          <w:tcPr>
            <w:tcW w:w="342" w:type="pct"/>
            <w:tcBorders>
              <w:top w:val="single" w:sz="4" w:space="0" w:color="auto"/>
            </w:tcBorders>
            <w:noWrap/>
            <w:vAlign w:val="center"/>
          </w:tcPr>
          <w:p w14:paraId="15469BBF" w14:textId="11144F82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23/33 (69.7%)</w:t>
            </w:r>
          </w:p>
        </w:tc>
        <w:tc>
          <w:tcPr>
            <w:tcW w:w="390" w:type="pct"/>
            <w:tcBorders>
              <w:top w:val="single" w:sz="4" w:space="0" w:color="auto"/>
            </w:tcBorders>
            <w:noWrap/>
            <w:vAlign w:val="center"/>
          </w:tcPr>
          <w:p w14:paraId="50D1BB43" w14:textId="241EFA9B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439" w:type="pct"/>
            <w:tcBorders>
              <w:top w:val="single" w:sz="4" w:space="0" w:color="auto"/>
            </w:tcBorders>
            <w:vAlign w:val="center"/>
          </w:tcPr>
          <w:p w14:paraId="1909E11E" w14:textId="220BCEBD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1340" w:type="pct"/>
            <w:tcBorders>
              <w:top w:val="single" w:sz="4" w:space="0" w:color="auto"/>
            </w:tcBorders>
            <w:noWrap/>
            <w:vAlign w:val="center"/>
          </w:tcPr>
          <w:p w14:paraId="2B0E0554" w14:textId="1CA025B9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All patients received an initial bolus dose of midazolam (0.03</w:t>
            </w:r>
            <w:r w:rsidR="00947E67" w:rsidRPr="006A41E2">
              <w:rPr>
                <w:rFonts w:ascii="Arial" w:hAnsi="Arial" w:cs="Arial"/>
                <w:sz w:val="18"/>
                <w:szCs w:val="18"/>
              </w:rPr>
              <w:t>-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0.2 mg/kg). </w:t>
            </w:r>
            <w:r w:rsidR="00947E67" w:rsidRPr="006A41E2">
              <w:rPr>
                <w:rFonts w:ascii="Arial" w:hAnsi="Arial" w:cs="Arial"/>
                <w:sz w:val="18"/>
                <w:szCs w:val="18"/>
              </w:rPr>
              <w:t>Midazolam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 infusion was then </w:t>
            </w:r>
            <w:r w:rsidR="00947E67" w:rsidRPr="006A41E2">
              <w:rPr>
                <w:rFonts w:ascii="Arial" w:hAnsi="Arial" w:cs="Arial"/>
                <w:sz w:val="18"/>
                <w:szCs w:val="18"/>
              </w:rPr>
              <w:t xml:space="preserve">provided </w:t>
            </w:r>
            <w:r w:rsidRPr="006A41E2">
              <w:rPr>
                <w:rFonts w:ascii="Arial" w:hAnsi="Arial" w:cs="Arial"/>
                <w:sz w:val="18"/>
                <w:szCs w:val="18"/>
              </w:rPr>
              <w:t>at an initial rate of 0.02 to 0.04 mg/kg/h. If the sedative effect was inadequate, the midazolam infusion rate was increased to a maximum of 0.2 mg/kg/h.</w:t>
            </w:r>
          </w:p>
        </w:tc>
        <w:tc>
          <w:tcPr>
            <w:tcW w:w="1319" w:type="pct"/>
            <w:tcBorders>
              <w:top w:val="single" w:sz="4" w:space="0" w:color="auto"/>
            </w:tcBorders>
            <w:noWrap/>
            <w:vAlign w:val="center"/>
          </w:tcPr>
          <w:p w14:paraId="53EF41A7" w14:textId="2B7257B2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Patients received an initial bolus dose of fentanyl at 1 to 2 μg/kg, followed by an infusion at an initial rate of 1 to 2 μg/kg/h. If the analgesic effect was inadequate, the fentanyl dose was increased to a maximum of 7 μg/kg/h.</w:t>
            </w:r>
          </w:p>
        </w:tc>
      </w:tr>
      <w:tr w:rsidR="007607EE" w:rsidRPr="006A41E2" w14:paraId="09BE0A7E" w14:textId="77777777" w:rsidTr="008D14F9">
        <w:trPr>
          <w:trHeight w:val="1701"/>
        </w:trPr>
        <w:tc>
          <w:tcPr>
            <w:tcW w:w="411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141ADB31" w14:textId="77777777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14:paraId="6557A477" w14:textId="3D601133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Remifentanil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noWrap/>
            <w:vAlign w:val="center"/>
          </w:tcPr>
          <w:p w14:paraId="6E4D55E0" w14:textId="73D37B64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65 (8.1)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noWrap/>
            <w:vAlign w:val="center"/>
          </w:tcPr>
          <w:p w14:paraId="27E45AC0" w14:textId="2E95BFFB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30/39 (76.9%)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noWrap/>
            <w:vAlign w:val="center"/>
          </w:tcPr>
          <w:p w14:paraId="7E7A52A2" w14:textId="5380DDE8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35C11DB8" w14:textId="11CDDFB5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1340" w:type="pct"/>
            <w:tcBorders>
              <w:bottom w:val="single" w:sz="4" w:space="0" w:color="auto"/>
            </w:tcBorders>
            <w:noWrap/>
            <w:vAlign w:val="center"/>
          </w:tcPr>
          <w:p w14:paraId="4C9DE1E7" w14:textId="38706876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If an adequate level of sedation was not achieved with remifentanil alone at an infusion rate of 60 μg/kg/h, additional sedation was provided by administering a bolus dose of propofol (0.3</w:t>
            </w:r>
            <w:r w:rsidR="00947E67" w:rsidRPr="006A41E2">
              <w:rPr>
                <w:rFonts w:ascii="Arial" w:hAnsi="Arial" w:cs="Arial"/>
                <w:sz w:val="18"/>
                <w:szCs w:val="18"/>
              </w:rPr>
              <w:t>-</w:t>
            </w:r>
            <w:r w:rsidRPr="006A41E2">
              <w:rPr>
                <w:rFonts w:ascii="Arial" w:hAnsi="Arial" w:cs="Arial"/>
                <w:sz w:val="18"/>
                <w:szCs w:val="18"/>
              </w:rPr>
              <w:t>1.0 mg/kg) and</w:t>
            </w:r>
            <w:r w:rsidR="00947E67" w:rsidRPr="006A41E2">
              <w:rPr>
                <w:rFonts w:ascii="Arial" w:hAnsi="Arial" w:cs="Arial" w:hint="eastAsia"/>
                <w:sz w:val="18"/>
                <w:szCs w:val="18"/>
              </w:rPr>
              <w:t>/</w:t>
            </w:r>
            <w:r w:rsidRPr="006A41E2">
              <w:rPr>
                <w:rFonts w:ascii="Arial" w:hAnsi="Arial" w:cs="Arial"/>
                <w:sz w:val="18"/>
                <w:szCs w:val="18"/>
              </w:rPr>
              <w:t>or propofol infusion starting at a rate of 0.5 to 1.0 mg/kg/h (maximum dose of 4 mg/kg/h).</w:t>
            </w:r>
          </w:p>
        </w:tc>
        <w:tc>
          <w:tcPr>
            <w:tcW w:w="1319" w:type="pct"/>
            <w:tcBorders>
              <w:bottom w:val="single" w:sz="4" w:space="0" w:color="auto"/>
            </w:tcBorders>
            <w:noWrap/>
            <w:vAlign w:val="center"/>
          </w:tcPr>
          <w:p w14:paraId="5FF02E63" w14:textId="4B644E9C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 xml:space="preserve">Remifentanil infusion was continued or started at an initial rate of 6 to 12 μg/kg/h and increased depending on clinical </w:t>
            </w:r>
            <w:r w:rsidR="00947E67" w:rsidRPr="006A41E2">
              <w:rPr>
                <w:rFonts w:ascii="Arial" w:hAnsi="Arial" w:cs="Arial"/>
                <w:sz w:val="18"/>
                <w:szCs w:val="18"/>
              </w:rPr>
              <w:t xml:space="preserve">requirements </w:t>
            </w:r>
            <w:r w:rsidRPr="006A41E2">
              <w:rPr>
                <w:rFonts w:ascii="Arial" w:hAnsi="Arial" w:cs="Arial"/>
                <w:sz w:val="18"/>
                <w:szCs w:val="18"/>
              </w:rPr>
              <w:t>up to 60 μg/kg/h.</w:t>
            </w:r>
          </w:p>
        </w:tc>
      </w:tr>
      <w:tr w:rsidR="007607EE" w:rsidRPr="006A41E2" w14:paraId="3BE24C70" w14:textId="77777777" w:rsidTr="008D14F9">
        <w:trPr>
          <w:trHeight w:val="1474"/>
        </w:trPr>
        <w:tc>
          <w:tcPr>
            <w:tcW w:w="411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187D746C" w14:textId="1C5FB1E5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Oliver et al.</w:t>
            </w:r>
            <w:r w:rsidR="008C4507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Pr="00063294">
              <w:rPr>
                <w:rFonts w:ascii="Arial" w:hAnsi="Arial" w:cs="Arial"/>
                <w:sz w:val="18"/>
                <w:szCs w:val="18"/>
              </w:rPr>
              <w:t>2</w:t>
            </w:r>
            <w:r w:rsidR="00145037" w:rsidRPr="00063294">
              <w:rPr>
                <w:rFonts w:ascii="Arial" w:hAnsi="Arial" w:cs="Arial"/>
                <w:sz w:val="18"/>
                <w:szCs w:val="18"/>
              </w:rPr>
              <w:t>6</w:t>
            </w:r>
            <w:r w:rsidR="008C4507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1FE8085C" w14:textId="5F85DAC9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Fentanyl</w:t>
            </w:r>
          </w:p>
        </w:tc>
        <w:tc>
          <w:tcPr>
            <w:tcW w:w="330" w:type="pct"/>
            <w:tcBorders>
              <w:top w:val="single" w:sz="4" w:space="0" w:color="auto"/>
            </w:tcBorders>
            <w:noWrap/>
            <w:vAlign w:val="center"/>
          </w:tcPr>
          <w:p w14:paraId="239582F2" w14:textId="376DB9E7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62 (55-</w:t>
            </w:r>
            <w:proofErr w:type="gramStart"/>
            <w:r w:rsidRPr="006A41E2">
              <w:rPr>
                <w:rFonts w:ascii="Arial" w:hAnsi="Arial" w:cs="Arial"/>
                <w:sz w:val="18"/>
                <w:szCs w:val="18"/>
              </w:rPr>
              <w:t>71)*</w:t>
            </w:r>
            <w:proofErr w:type="gramEnd"/>
          </w:p>
        </w:tc>
        <w:tc>
          <w:tcPr>
            <w:tcW w:w="342" w:type="pct"/>
            <w:tcBorders>
              <w:top w:val="single" w:sz="4" w:space="0" w:color="auto"/>
            </w:tcBorders>
            <w:noWrap/>
            <w:vAlign w:val="center"/>
          </w:tcPr>
          <w:p w14:paraId="39CD495E" w14:textId="4F533319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25/38 (65.8%)</w:t>
            </w:r>
          </w:p>
        </w:tc>
        <w:tc>
          <w:tcPr>
            <w:tcW w:w="390" w:type="pct"/>
            <w:tcBorders>
              <w:top w:val="single" w:sz="4" w:space="0" w:color="auto"/>
            </w:tcBorders>
            <w:noWrap/>
            <w:vAlign w:val="center"/>
          </w:tcPr>
          <w:p w14:paraId="1384719E" w14:textId="7576D954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439" w:type="pct"/>
            <w:tcBorders>
              <w:top w:val="single" w:sz="4" w:space="0" w:color="auto"/>
            </w:tcBorders>
            <w:vAlign w:val="center"/>
          </w:tcPr>
          <w:p w14:paraId="5B078566" w14:textId="6B7C5EFA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1340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4A959370" w14:textId="5F8DAC7B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Propofol infusion began at 25 g/kg/min, and a standard anesthetic consisting of midazolam 0.1 mg/kg, muscle relaxant, oxygen, and isoflurane in the air was administered.</w:t>
            </w:r>
          </w:p>
        </w:tc>
        <w:tc>
          <w:tcPr>
            <w:tcW w:w="1319" w:type="pct"/>
            <w:tcBorders>
              <w:top w:val="single" w:sz="4" w:space="0" w:color="auto"/>
            </w:tcBorders>
            <w:noWrap/>
            <w:vAlign w:val="center"/>
          </w:tcPr>
          <w:p w14:paraId="6746136A" w14:textId="4784F70C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 xml:space="preserve">Intraoperatively, fentanyl was infused at 0.5 µg/kg/h to initiate analgesia. Postoperatively, a combined continuous and bolus fentanyl administration algorithm was used to </w:t>
            </w:r>
            <w:r w:rsidR="00947E67" w:rsidRPr="006A41E2">
              <w:rPr>
                <w:rFonts w:ascii="Arial" w:hAnsi="Arial" w:cs="Arial"/>
                <w:sz w:val="18"/>
                <w:szCs w:val="18"/>
              </w:rPr>
              <w:t xml:space="preserve">maintain 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the VAS </w:t>
            </w:r>
            <w:r w:rsidR="00947E67" w:rsidRPr="006A41E2">
              <w:rPr>
                <w:rFonts w:ascii="Arial" w:hAnsi="Arial" w:cs="Arial"/>
                <w:sz w:val="18"/>
                <w:szCs w:val="18"/>
              </w:rPr>
              <w:t xml:space="preserve">score </w:t>
            </w:r>
            <w:r w:rsidR="002D3C15" w:rsidRPr="006A41E2">
              <w:rPr>
                <w:rFonts w:ascii="Arial" w:hAnsi="Arial" w:cs="Arial"/>
                <w:sz w:val="18"/>
                <w:szCs w:val="18"/>
              </w:rPr>
              <w:t xml:space="preserve">&lt; </w:t>
            </w:r>
            <w:r w:rsidRPr="006A41E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</w:tr>
      <w:tr w:rsidR="007607EE" w:rsidRPr="006A41E2" w14:paraId="54BA9F68" w14:textId="77777777" w:rsidTr="008D14F9">
        <w:trPr>
          <w:trHeight w:val="1474"/>
        </w:trPr>
        <w:tc>
          <w:tcPr>
            <w:tcW w:w="411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546B66BF" w14:textId="77777777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14:paraId="37518966" w14:textId="704BE9C3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Morphine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noWrap/>
            <w:vAlign w:val="center"/>
          </w:tcPr>
          <w:p w14:paraId="4E10E9FE" w14:textId="01453380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63 (53-</w:t>
            </w:r>
            <w:proofErr w:type="gramStart"/>
            <w:r w:rsidRPr="006A41E2">
              <w:rPr>
                <w:rFonts w:ascii="Arial" w:hAnsi="Arial" w:cs="Arial"/>
                <w:sz w:val="18"/>
                <w:szCs w:val="18"/>
              </w:rPr>
              <w:t>72)*</w:t>
            </w:r>
            <w:proofErr w:type="gramEnd"/>
          </w:p>
        </w:tc>
        <w:tc>
          <w:tcPr>
            <w:tcW w:w="342" w:type="pct"/>
            <w:tcBorders>
              <w:bottom w:val="single" w:sz="4" w:space="0" w:color="auto"/>
            </w:tcBorders>
            <w:noWrap/>
            <w:vAlign w:val="center"/>
          </w:tcPr>
          <w:p w14:paraId="79ED8A3D" w14:textId="7679C0C9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25/41 (61.0%)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noWrap/>
            <w:vAlign w:val="center"/>
          </w:tcPr>
          <w:p w14:paraId="28DD459D" w14:textId="519486E0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4BC470D3" w14:textId="1D549994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1340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4A2931DB" w14:textId="3F39EC45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9" w:type="pct"/>
            <w:tcBorders>
              <w:bottom w:val="single" w:sz="4" w:space="0" w:color="auto"/>
            </w:tcBorders>
            <w:noWrap/>
            <w:vAlign w:val="center"/>
          </w:tcPr>
          <w:p w14:paraId="296A8B48" w14:textId="39564731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Intraoperatively, morphine was administered as a bolus. Postoperatively, the algorithm was administ</w:t>
            </w:r>
            <w:r w:rsidR="00947E67" w:rsidRPr="006A41E2">
              <w:rPr>
                <w:rFonts w:ascii="Arial" w:hAnsi="Arial" w:cs="Arial"/>
                <w:sz w:val="18"/>
                <w:szCs w:val="18"/>
              </w:rPr>
              <w:t>ration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47E67" w:rsidRPr="006A41E2">
              <w:rPr>
                <w:rFonts w:ascii="Arial" w:hAnsi="Arial" w:cs="Arial"/>
                <w:sz w:val="18"/>
                <w:szCs w:val="18"/>
              </w:rPr>
              <w:t xml:space="preserve">of 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a bolus dose of 2 mg morphine to achieve a VAS </w:t>
            </w:r>
            <w:r w:rsidR="00947E67" w:rsidRPr="006A41E2">
              <w:rPr>
                <w:rFonts w:ascii="Arial" w:hAnsi="Arial" w:cs="Arial"/>
                <w:sz w:val="18"/>
                <w:szCs w:val="18"/>
              </w:rPr>
              <w:t xml:space="preserve">score 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of </w:t>
            </w:r>
            <w:r w:rsidR="00947E67" w:rsidRPr="006A41E2">
              <w:rPr>
                <w:rFonts w:ascii="Arial" w:hAnsi="Arial" w:cs="Arial"/>
                <w:sz w:val="18"/>
                <w:szCs w:val="18"/>
              </w:rPr>
              <w:t>≤</w:t>
            </w:r>
            <w:r w:rsidR="002D3C15" w:rsidRPr="006A41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41E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</w:tr>
      <w:tr w:rsidR="007607EE" w:rsidRPr="006A41E2" w14:paraId="705385FA" w14:textId="77777777" w:rsidTr="008D14F9">
        <w:trPr>
          <w:trHeight w:val="1247"/>
        </w:trPr>
        <w:tc>
          <w:tcPr>
            <w:tcW w:w="411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4E32BB02" w14:textId="52406E9F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Spies et al.</w:t>
            </w:r>
            <w:r w:rsidR="008C4507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Pr="00063294">
              <w:rPr>
                <w:rFonts w:ascii="Arial" w:hAnsi="Arial" w:cs="Arial"/>
                <w:sz w:val="18"/>
                <w:szCs w:val="18"/>
              </w:rPr>
              <w:t>2</w:t>
            </w:r>
            <w:r w:rsidR="00145037" w:rsidRPr="00063294">
              <w:rPr>
                <w:rFonts w:ascii="Arial" w:hAnsi="Arial" w:cs="Arial"/>
                <w:sz w:val="18"/>
                <w:szCs w:val="18"/>
              </w:rPr>
              <w:t>7</w:t>
            </w:r>
            <w:r w:rsidR="008C4507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0B3D24C8" w14:textId="016C8C47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Fentanyl</w:t>
            </w:r>
          </w:p>
        </w:tc>
        <w:tc>
          <w:tcPr>
            <w:tcW w:w="330" w:type="pct"/>
            <w:tcBorders>
              <w:top w:val="single" w:sz="4" w:space="0" w:color="auto"/>
            </w:tcBorders>
            <w:noWrap/>
            <w:vAlign w:val="center"/>
          </w:tcPr>
          <w:p w14:paraId="43B8B318" w14:textId="5ECF8309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63 (12)</w:t>
            </w:r>
          </w:p>
        </w:tc>
        <w:tc>
          <w:tcPr>
            <w:tcW w:w="342" w:type="pct"/>
            <w:tcBorders>
              <w:top w:val="single" w:sz="4" w:space="0" w:color="auto"/>
            </w:tcBorders>
            <w:noWrap/>
            <w:vAlign w:val="center"/>
          </w:tcPr>
          <w:p w14:paraId="1FBB8087" w14:textId="684C23F6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27/32 (84.4%)</w:t>
            </w:r>
          </w:p>
        </w:tc>
        <w:tc>
          <w:tcPr>
            <w:tcW w:w="390" w:type="pct"/>
            <w:tcBorders>
              <w:top w:val="single" w:sz="4" w:space="0" w:color="auto"/>
            </w:tcBorders>
            <w:noWrap/>
            <w:vAlign w:val="center"/>
          </w:tcPr>
          <w:p w14:paraId="773E8897" w14:textId="41739FDF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439" w:type="pct"/>
            <w:tcBorders>
              <w:top w:val="single" w:sz="4" w:space="0" w:color="auto"/>
            </w:tcBorders>
            <w:vAlign w:val="center"/>
          </w:tcPr>
          <w:p w14:paraId="350B08FC" w14:textId="63932A13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26 (9)</w:t>
            </w:r>
          </w:p>
        </w:tc>
        <w:tc>
          <w:tcPr>
            <w:tcW w:w="1340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3647667" w14:textId="50733451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 xml:space="preserve">A standard protocol was adopted for sedation with a target of </w:t>
            </w:r>
            <w:r w:rsidR="00947E67" w:rsidRPr="006A41E2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6A41E2">
              <w:rPr>
                <w:rFonts w:ascii="Arial" w:hAnsi="Arial" w:cs="Arial"/>
                <w:sz w:val="18"/>
                <w:szCs w:val="18"/>
              </w:rPr>
              <w:t>RASS</w:t>
            </w:r>
            <w:r w:rsidR="00947E67" w:rsidRPr="006A41E2">
              <w:rPr>
                <w:rFonts w:ascii="Arial" w:hAnsi="Arial" w:cs="Arial"/>
                <w:sz w:val="18"/>
                <w:szCs w:val="18"/>
              </w:rPr>
              <w:t xml:space="preserve"> score of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 0 to </w:t>
            </w:r>
            <w:r w:rsidR="00947E67" w:rsidRPr="006A41E2">
              <w:rPr>
                <w:rFonts w:ascii="Arial" w:hAnsi="Arial" w:cs="Arial"/>
                <w:sz w:val="18"/>
                <w:szCs w:val="18"/>
              </w:rPr>
              <w:t>−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1. Propofol (up to 4 mg/kg ideal body weight/h) was used for sedation, and midazolam (0.01-0.18 mg/kg ideal body weight/h) was added as </w:t>
            </w:r>
            <w:r w:rsidR="00947E67" w:rsidRPr="006A41E2">
              <w:rPr>
                <w:rFonts w:ascii="Arial" w:hAnsi="Arial" w:cs="Arial"/>
                <w:sz w:val="18"/>
                <w:szCs w:val="18"/>
              </w:rPr>
              <w:t>required</w:t>
            </w:r>
            <w:r w:rsidRPr="006A41E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19" w:type="pct"/>
            <w:tcBorders>
              <w:top w:val="single" w:sz="4" w:space="0" w:color="auto"/>
            </w:tcBorders>
            <w:noWrap/>
            <w:vAlign w:val="center"/>
          </w:tcPr>
          <w:p w14:paraId="401F1281" w14:textId="4BFE1BEB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Fentanyl was administered at 0.02</w:t>
            </w:r>
            <w:r w:rsidR="002D3C15" w:rsidRPr="006A41E2">
              <w:rPr>
                <w:rFonts w:ascii="Arial" w:hAnsi="Arial" w:cs="Arial"/>
                <w:sz w:val="18"/>
                <w:szCs w:val="18"/>
              </w:rPr>
              <w:t xml:space="preserve"> to 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0.08 μg/kg ideal body weight/min, and a protocol was adopted to adjust the dose by assessing </w:t>
            </w:r>
            <w:r w:rsidR="00947E67" w:rsidRPr="006A41E2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VAS and </w:t>
            </w:r>
            <w:r w:rsidR="00947E67" w:rsidRPr="006A41E2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6A41E2">
              <w:rPr>
                <w:rFonts w:ascii="Arial" w:hAnsi="Arial" w:cs="Arial"/>
                <w:sz w:val="18"/>
                <w:szCs w:val="18"/>
              </w:rPr>
              <w:t>BPS.</w:t>
            </w:r>
          </w:p>
        </w:tc>
      </w:tr>
      <w:tr w:rsidR="007607EE" w:rsidRPr="006A41E2" w14:paraId="62C41B48" w14:textId="77777777" w:rsidTr="008D14F9">
        <w:trPr>
          <w:trHeight w:val="1247"/>
        </w:trPr>
        <w:tc>
          <w:tcPr>
            <w:tcW w:w="411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013BF34D" w14:textId="77777777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14:paraId="73F17D8D" w14:textId="5C191820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Remifentanil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noWrap/>
            <w:vAlign w:val="center"/>
          </w:tcPr>
          <w:p w14:paraId="126A8D5A" w14:textId="5C059A30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64 (15)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noWrap/>
            <w:vAlign w:val="center"/>
          </w:tcPr>
          <w:p w14:paraId="1CBD6FC4" w14:textId="6CBEEC1C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20/28 (71.4%)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noWrap/>
            <w:vAlign w:val="center"/>
          </w:tcPr>
          <w:p w14:paraId="2A758347" w14:textId="0BC8F340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Not stated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793A02CC" w14:textId="3BEEBF1B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24 (8)</w:t>
            </w:r>
          </w:p>
        </w:tc>
        <w:tc>
          <w:tcPr>
            <w:tcW w:w="1340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418A3B4E" w14:textId="77777777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9" w:type="pct"/>
            <w:tcBorders>
              <w:bottom w:val="single" w:sz="4" w:space="0" w:color="auto"/>
            </w:tcBorders>
            <w:noWrap/>
            <w:vAlign w:val="center"/>
          </w:tcPr>
          <w:p w14:paraId="6F11E817" w14:textId="6E81D7BE" w:rsidR="007607EE" w:rsidRPr="006A41E2" w:rsidRDefault="007607EE" w:rsidP="00745D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1E2">
              <w:rPr>
                <w:rFonts w:ascii="Arial" w:hAnsi="Arial" w:cs="Arial"/>
                <w:sz w:val="18"/>
                <w:szCs w:val="18"/>
              </w:rPr>
              <w:t>Remifentanil was administered at 0.1</w:t>
            </w:r>
            <w:r w:rsidR="002D3C15" w:rsidRPr="006A41E2">
              <w:rPr>
                <w:rFonts w:ascii="Arial" w:hAnsi="Arial" w:cs="Arial"/>
                <w:sz w:val="18"/>
                <w:szCs w:val="18"/>
              </w:rPr>
              <w:t xml:space="preserve"> to 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0.4 µg/kg ideal body weight/min, and a protocol was adopted to adjust the dose by assessing </w:t>
            </w:r>
            <w:r w:rsidR="00947E67" w:rsidRPr="006A41E2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6A41E2">
              <w:rPr>
                <w:rFonts w:ascii="Arial" w:hAnsi="Arial" w:cs="Arial"/>
                <w:sz w:val="18"/>
                <w:szCs w:val="18"/>
              </w:rPr>
              <w:t xml:space="preserve">VAS and </w:t>
            </w:r>
            <w:r w:rsidR="00947E67" w:rsidRPr="006A41E2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6A41E2">
              <w:rPr>
                <w:rFonts w:ascii="Arial" w:hAnsi="Arial" w:cs="Arial"/>
                <w:sz w:val="18"/>
                <w:szCs w:val="18"/>
              </w:rPr>
              <w:t>BPS.</w:t>
            </w:r>
          </w:p>
        </w:tc>
      </w:tr>
    </w:tbl>
    <w:p w14:paraId="2A051940" w14:textId="51B9CC16" w:rsidR="00233B67" w:rsidRPr="006A41E2" w:rsidRDefault="00563AB0" w:rsidP="00745D53">
      <w:pPr>
        <w:snapToGrid w:val="0"/>
        <w:rPr>
          <w:rFonts w:ascii="Arial" w:hAnsi="Arial" w:cs="Arial"/>
          <w:sz w:val="18"/>
          <w:szCs w:val="18"/>
        </w:rPr>
      </w:pPr>
      <w:r w:rsidRPr="006A41E2">
        <w:rPr>
          <w:rFonts w:ascii="Arial" w:hAnsi="Arial" w:cs="Arial"/>
          <w:sz w:val="18"/>
          <w:szCs w:val="18"/>
        </w:rPr>
        <w:t>GCS</w:t>
      </w:r>
      <w:r w:rsidR="00947E67" w:rsidRPr="006A41E2">
        <w:rPr>
          <w:rFonts w:ascii="Arial" w:hAnsi="Arial" w:cs="Arial"/>
          <w:sz w:val="18"/>
          <w:szCs w:val="18"/>
        </w:rPr>
        <w:t>,</w:t>
      </w:r>
      <w:r w:rsidR="002A6CC6" w:rsidRPr="006A41E2">
        <w:rPr>
          <w:rFonts w:ascii="Arial" w:hAnsi="Arial" w:cs="Arial"/>
          <w:sz w:val="18"/>
          <w:szCs w:val="18"/>
        </w:rPr>
        <w:t xml:space="preserve"> </w:t>
      </w:r>
      <w:r w:rsidRPr="006A41E2">
        <w:rPr>
          <w:rFonts w:ascii="Arial" w:hAnsi="Arial" w:cs="Arial"/>
          <w:sz w:val="18"/>
          <w:szCs w:val="18"/>
        </w:rPr>
        <w:t>Glasgow Coma Scale</w:t>
      </w:r>
      <w:r w:rsidR="000D1E09" w:rsidRPr="006A41E2">
        <w:rPr>
          <w:rFonts w:ascii="Arial" w:hAnsi="Arial" w:cs="Arial"/>
          <w:sz w:val="18"/>
          <w:szCs w:val="18"/>
        </w:rPr>
        <w:t xml:space="preserve">; </w:t>
      </w:r>
      <w:r w:rsidR="002A6CC6" w:rsidRPr="006A41E2">
        <w:rPr>
          <w:rFonts w:ascii="Arial" w:hAnsi="Arial" w:cs="Arial"/>
          <w:sz w:val="18"/>
          <w:szCs w:val="18"/>
        </w:rPr>
        <w:t>APACHE II</w:t>
      </w:r>
      <w:r w:rsidR="00947E67" w:rsidRPr="006A41E2">
        <w:rPr>
          <w:rFonts w:ascii="Arial" w:hAnsi="Arial" w:cs="Arial"/>
          <w:sz w:val="18"/>
          <w:szCs w:val="18"/>
        </w:rPr>
        <w:t>,</w:t>
      </w:r>
      <w:r w:rsidR="002A6CC6" w:rsidRPr="006A41E2">
        <w:rPr>
          <w:rFonts w:ascii="Arial" w:hAnsi="Arial" w:cs="Arial"/>
          <w:sz w:val="18"/>
          <w:szCs w:val="18"/>
        </w:rPr>
        <w:t xml:space="preserve"> Acute Physiology and Chronic Health Evaluation II</w:t>
      </w:r>
      <w:r w:rsidRPr="006A41E2">
        <w:rPr>
          <w:rFonts w:ascii="Arial" w:hAnsi="Arial" w:cs="Arial"/>
          <w:sz w:val="18"/>
          <w:szCs w:val="18"/>
        </w:rPr>
        <w:t xml:space="preserve">; </w:t>
      </w:r>
      <w:r w:rsidR="006E2829">
        <w:rPr>
          <w:rFonts w:ascii="Arial" w:hAnsi="Arial" w:cs="Arial" w:hint="eastAsia"/>
          <w:sz w:val="18"/>
          <w:szCs w:val="18"/>
        </w:rPr>
        <w:t>I</w:t>
      </w:r>
      <w:r w:rsidR="006E2829">
        <w:rPr>
          <w:rFonts w:ascii="Arial" w:hAnsi="Arial" w:cs="Arial"/>
          <w:sz w:val="18"/>
          <w:szCs w:val="18"/>
        </w:rPr>
        <w:t xml:space="preserve">CU, intensive care unit; </w:t>
      </w:r>
      <w:r w:rsidRPr="006A41E2">
        <w:rPr>
          <w:rFonts w:ascii="Arial" w:hAnsi="Arial" w:cs="Arial"/>
          <w:sz w:val="18"/>
          <w:szCs w:val="18"/>
        </w:rPr>
        <w:t>SAS</w:t>
      </w:r>
      <w:r w:rsidR="00947E67" w:rsidRPr="006A41E2">
        <w:rPr>
          <w:rFonts w:ascii="Arial" w:hAnsi="Arial" w:cs="Arial"/>
          <w:sz w:val="18"/>
          <w:szCs w:val="18"/>
        </w:rPr>
        <w:t>,</w:t>
      </w:r>
      <w:r w:rsidRPr="006A41E2">
        <w:rPr>
          <w:rFonts w:ascii="Arial" w:hAnsi="Arial" w:cs="Arial"/>
          <w:sz w:val="18"/>
          <w:szCs w:val="18"/>
        </w:rPr>
        <w:t xml:space="preserve"> Sedation–Agitation Scale; </w:t>
      </w:r>
      <w:r w:rsidR="00FD3F8D" w:rsidRPr="006A41E2">
        <w:rPr>
          <w:rFonts w:ascii="Arial" w:hAnsi="Arial" w:cs="Arial"/>
          <w:sz w:val="18"/>
          <w:szCs w:val="18"/>
        </w:rPr>
        <w:t>PI, pain intensity;</w:t>
      </w:r>
      <w:r w:rsidR="00FD3F8D">
        <w:rPr>
          <w:rFonts w:ascii="Arial" w:hAnsi="Arial" w:cs="Arial"/>
          <w:sz w:val="18"/>
          <w:szCs w:val="18"/>
        </w:rPr>
        <w:t xml:space="preserve"> </w:t>
      </w:r>
      <w:r w:rsidR="006E2829">
        <w:rPr>
          <w:rFonts w:ascii="Arial" w:hAnsi="Arial" w:cs="Arial"/>
          <w:sz w:val="18"/>
          <w:szCs w:val="18"/>
        </w:rPr>
        <w:t xml:space="preserve">MV, mechanical ventilation; </w:t>
      </w:r>
      <w:r w:rsidR="003C6474" w:rsidRPr="006A41E2">
        <w:rPr>
          <w:rFonts w:ascii="Arial" w:hAnsi="Arial" w:cs="Arial"/>
          <w:sz w:val="18"/>
          <w:szCs w:val="18"/>
        </w:rPr>
        <w:t>RASS</w:t>
      </w:r>
      <w:r w:rsidR="00947E67" w:rsidRPr="006A41E2">
        <w:rPr>
          <w:rFonts w:ascii="Arial" w:hAnsi="Arial" w:cs="Arial"/>
          <w:sz w:val="18"/>
          <w:szCs w:val="18"/>
        </w:rPr>
        <w:t>,</w:t>
      </w:r>
      <w:r w:rsidR="003C6474" w:rsidRPr="006A41E2">
        <w:rPr>
          <w:rFonts w:ascii="Arial" w:hAnsi="Arial" w:cs="Arial"/>
          <w:sz w:val="18"/>
          <w:szCs w:val="18"/>
        </w:rPr>
        <w:t xml:space="preserve"> Richmond </w:t>
      </w:r>
      <w:r w:rsidR="00947E67" w:rsidRPr="006A41E2">
        <w:rPr>
          <w:rFonts w:ascii="Arial" w:hAnsi="Arial" w:cs="Arial"/>
          <w:sz w:val="18"/>
          <w:szCs w:val="18"/>
        </w:rPr>
        <w:t>A</w:t>
      </w:r>
      <w:r w:rsidR="003C6474" w:rsidRPr="006A41E2">
        <w:rPr>
          <w:rFonts w:ascii="Arial" w:hAnsi="Arial" w:cs="Arial"/>
          <w:sz w:val="18"/>
          <w:szCs w:val="18"/>
        </w:rPr>
        <w:t xml:space="preserve">gitation </w:t>
      </w:r>
      <w:r w:rsidR="00947E67" w:rsidRPr="006A41E2">
        <w:rPr>
          <w:rFonts w:ascii="Arial" w:hAnsi="Arial" w:cs="Arial"/>
          <w:sz w:val="18"/>
          <w:szCs w:val="18"/>
        </w:rPr>
        <w:t>S</w:t>
      </w:r>
      <w:r w:rsidR="003C6474" w:rsidRPr="006A41E2">
        <w:rPr>
          <w:rFonts w:ascii="Arial" w:hAnsi="Arial" w:cs="Arial"/>
          <w:sz w:val="18"/>
          <w:szCs w:val="18"/>
        </w:rPr>
        <w:t xml:space="preserve">edation </w:t>
      </w:r>
      <w:r w:rsidR="00947E67" w:rsidRPr="006A41E2">
        <w:rPr>
          <w:rFonts w:ascii="Arial" w:hAnsi="Arial" w:cs="Arial"/>
          <w:sz w:val="18"/>
          <w:szCs w:val="18"/>
        </w:rPr>
        <w:t>S</w:t>
      </w:r>
      <w:r w:rsidR="003C6474" w:rsidRPr="006A41E2">
        <w:rPr>
          <w:rFonts w:ascii="Arial" w:hAnsi="Arial" w:cs="Arial"/>
          <w:sz w:val="18"/>
          <w:szCs w:val="18"/>
        </w:rPr>
        <w:t>cale</w:t>
      </w:r>
      <w:r w:rsidR="00904ABB" w:rsidRPr="006A41E2">
        <w:rPr>
          <w:rFonts w:ascii="Arial" w:hAnsi="Arial" w:cs="Arial"/>
          <w:sz w:val="18"/>
          <w:szCs w:val="18"/>
        </w:rPr>
        <w:t xml:space="preserve">; </w:t>
      </w:r>
      <w:r w:rsidR="00BC10E6" w:rsidRPr="00BC10E6">
        <w:rPr>
          <w:rFonts w:ascii="Arial" w:hAnsi="Arial" w:cs="Arial"/>
          <w:sz w:val="18"/>
          <w:szCs w:val="18"/>
        </w:rPr>
        <w:t>PCSU</w:t>
      </w:r>
      <w:r w:rsidR="00947E67" w:rsidRPr="006A41E2">
        <w:rPr>
          <w:rFonts w:ascii="Arial" w:hAnsi="Arial" w:cs="Arial"/>
          <w:sz w:val="18"/>
          <w:szCs w:val="18"/>
        </w:rPr>
        <w:t>,</w:t>
      </w:r>
      <w:r w:rsidR="00904ABB" w:rsidRPr="006A41E2">
        <w:rPr>
          <w:rFonts w:ascii="Arial" w:hAnsi="Arial" w:cs="Arial"/>
          <w:sz w:val="18"/>
          <w:szCs w:val="18"/>
        </w:rPr>
        <w:t xml:space="preserve"> </w:t>
      </w:r>
      <w:r w:rsidR="00BC10E6" w:rsidRPr="00BC10E6">
        <w:rPr>
          <w:rFonts w:ascii="Arial" w:hAnsi="Arial" w:cs="Arial"/>
          <w:sz w:val="18"/>
          <w:szCs w:val="18"/>
        </w:rPr>
        <w:t>postcardiac surgical unit</w:t>
      </w:r>
      <w:r w:rsidR="00C707BB" w:rsidRPr="006A41E2">
        <w:rPr>
          <w:rFonts w:ascii="Arial" w:hAnsi="Arial" w:cs="Arial"/>
          <w:sz w:val="18"/>
          <w:szCs w:val="18"/>
        </w:rPr>
        <w:t>; VAS</w:t>
      </w:r>
      <w:r w:rsidR="00947E67" w:rsidRPr="006A41E2">
        <w:rPr>
          <w:rFonts w:ascii="Arial" w:hAnsi="Arial" w:cs="Arial"/>
          <w:sz w:val="18"/>
          <w:szCs w:val="18"/>
        </w:rPr>
        <w:t>,</w:t>
      </w:r>
      <w:r w:rsidR="00C707BB" w:rsidRPr="006A41E2">
        <w:rPr>
          <w:rFonts w:ascii="Arial" w:hAnsi="Arial" w:cs="Arial"/>
          <w:sz w:val="18"/>
          <w:szCs w:val="18"/>
        </w:rPr>
        <w:t xml:space="preserve"> Visual Analog Scale</w:t>
      </w:r>
      <w:r w:rsidR="00447DAA" w:rsidRPr="006A41E2">
        <w:rPr>
          <w:rFonts w:ascii="Arial" w:hAnsi="Arial" w:cs="Arial"/>
          <w:sz w:val="18"/>
          <w:szCs w:val="18"/>
        </w:rPr>
        <w:t>; BPS</w:t>
      </w:r>
      <w:r w:rsidR="00947E67" w:rsidRPr="006A41E2">
        <w:rPr>
          <w:rFonts w:ascii="Arial" w:hAnsi="Arial" w:cs="Arial"/>
          <w:sz w:val="18"/>
          <w:szCs w:val="18"/>
        </w:rPr>
        <w:t>,</w:t>
      </w:r>
      <w:r w:rsidR="00447DAA" w:rsidRPr="006A41E2">
        <w:rPr>
          <w:rFonts w:ascii="Arial" w:hAnsi="Arial" w:cs="Arial"/>
          <w:sz w:val="18"/>
          <w:szCs w:val="18"/>
        </w:rPr>
        <w:t xml:space="preserve"> Behavioral Pain Scale</w:t>
      </w:r>
      <w:r w:rsidR="00947E67" w:rsidRPr="006A41E2">
        <w:rPr>
          <w:rFonts w:ascii="Arial" w:hAnsi="Arial" w:cs="Arial"/>
          <w:sz w:val="18"/>
          <w:szCs w:val="18"/>
        </w:rPr>
        <w:t>.</w:t>
      </w:r>
    </w:p>
    <w:p w14:paraId="685B1D6E" w14:textId="4C5DEA4C" w:rsidR="00233B67" w:rsidRPr="006A41E2" w:rsidRDefault="00233B67" w:rsidP="00745D53">
      <w:pPr>
        <w:snapToGrid w:val="0"/>
        <w:rPr>
          <w:rFonts w:ascii="Arial" w:hAnsi="Arial" w:cs="Arial"/>
          <w:sz w:val="18"/>
          <w:szCs w:val="18"/>
        </w:rPr>
      </w:pPr>
      <w:r w:rsidRPr="006A41E2">
        <w:rPr>
          <w:rFonts w:ascii="Arial" w:hAnsi="Arial" w:cs="Arial"/>
          <w:sz w:val="18"/>
          <w:szCs w:val="18"/>
        </w:rPr>
        <w:t>Values are number (%) or mean (standard deviation).</w:t>
      </w:r>
    </w:p>
    <w:p w14:paraId="2B65C6EF" w14:textId="0A84E8FE" w:rsidR="00C70886" w:rsidRPr="006A41E2" w:rsidRDefault="00233B67" w:rsidP="00745D53">
      <w:pPr>
        <w:snapToGrid w:val="0"/>
        <w:rPr>
          <w:rFonts w:ascii="Arial" w:hAnsi="Arial" w:cs="Arial"/>
          <w:sz w:val="18"/>
          <w:szCs w:val="18"/>
        </w:rPr>
      </w:pPr>
      <w:r w:rsidRPr="006A41E2">
        <w:rPr>
          <w:rFonts w:ascii="Arial" w:hAnsi="Arial" w:cs="Arial"/>
          <w:sz w:val="18"/>
          <w:szCs w:val="18"/>
        </w:rPr>
        <w:t>*Values are median (interquartile range).</w:t>
      </w:r>
    </w:p>
    <w:sectPr w:rsidR="00C70886" w:rsidRPr="006A41E2" w:rsidSect="001A564E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52478" w14:textId="77777777" w:rsidR="00087EBB" w:rsidRDefault="00087EBB" w:rsidP="00383727">
      <w:r>
        <w:separator/>
      </w:r>
    </w:p>
  </w:endnote>
  <w:endnote w:type="continuationSeparator" w:id="0">
    <w:p w14:paraId="01D34DE1" w14:textId="77777777" w:rsidR="00087EBB" w:rsidRDefault="00087EBB" w:rsidP="00383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D6642" w14:textId="77777777" w:rsidR="00087EBB" w:rsidRDefault="00087EBB" w:rsidP="00383727">
      <w:r>
        <w:separator/>
      </w:r>
    </w:p>
  </w:footnote>
  <w:footnote w:type="continuationSeparator" w:id="0">
    <w:p w14:paraId="2B2FF327" w14:textId="77777777" w:rsidR="00087EBB" w:rsidRDefault="00087EBB" w:rsidP="00383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6668"/>
    <w:multiLevelType w:val="hybridMultilevel"/>
    <w:tmpl w:val="EB1E7B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AC0183"/>
    <w:multiLevelType w:val="hybridMultilevel"/>
    <w:tmpl w:val="353235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154760F"/>
    <w:multiLevelType w:val="hybridMultilevel"/>
    <w:tmpl w:val="B90E05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0445FC5"/>
    <w:multiLevelType w:val="hybridMultilevel"/>
    <w:tmpl w:val="A8AE86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452437C"/>
    <w:multiLevelType w:val="hybridMultilevel"/>
    <w:tmpl w:val="5D18E2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55097844">
    <w:abstractNumId w:val="0"/>
  </w:num>
  <w:num w:numId="2" w16cid:durableId="1993875475">
    <w:abstractNumId w:val="3"/>
  </w:num>
  <w:num w:numId="3" w16cid:durableId="1043553824">
    <w:abstractNumId w:val="4"/>
  </w:num>
  <w:num w:numId="4" w16cid:durableId="566064675">
    <w:abstractNumId w:val="2"/>
  </w:num>
  <w:num w:numId="5" w16cid:durableId="504562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EB1"/>
    <w:rsid w:val="0001392D"/>
    <w:rsid w:val="000503D4"/>
    <w:rsid w:val="000543FC"/>
    <w:rsid w:val="00062F5D"/>
    <w:rsid w:val="00063294"/>
    <w:rsid w:val="000740A0"/>
    <w:rsid w:val="00087329"/>
    <w:rsid w:val="00087EBB"/>
    <w:rsid w:val="000A6B4F"/>
    <w:rsid w:val="000B48B9"/>
    <w:rsid w:val="000C0CB9"/>
    <w:rsid w:val="000C6510"/>
    <w:rsid w:val="000D1E09"/>
    <w:rsid w:val="000F068B"/>
    <w:rsid w:val="001270F6"/>
    <w:rsid w:val="001366C3"/>
    <w:rsid w:val="00145037"/>
    <w:rsid w:val="0014770D"/>
    <w:rsid w:val="001620D0"/>
    <w:rsid w:val="00170BB6"/>
    <w:rsid w:val="001740B6"/>
    <w:rsid w:val="0019131B"/>
    <w:rsid w:val="001A0121"/>
    <w:rsid w:val="001A564E"/>
    <w:rsid w:val="001A6EA8"/>
    <w:rsid w:val="001D00C6"/>
    <w:rsid w:val="001D163A"/>
    <w:rsid w:val="001D7B69"/>
    <w:rsid w:val="001F1A6E"/>
    <w:rsid w:val="00204833"/>
    <w:rsid w:val="00233B67"/>
    <w:rsid w:val="002416B7"/>
    <w:rsid w:val="00245CF7"/>
    <w:rsid w:val="00246909"/>
    <w:rsid w:val="002560C2"/>
    <w:rsid w:val="00260902"/>
    <w:rsid w:val="00272F13"/>
    <w:rsid w:val="002825E1"/>
    <w:rsid w:val="00283CAC"/>
    <w:rsid w:val="002857D7"/>
    <w:rsid w:val="002941F8"/>
    <w:rsid w:val="00295007"/>
    <w:rsid w:val="0029709F"/>
    <w:rsid w:val="002A5E22"/>
    <w:rsid w:val="002A69CD"/>
    <w:rsid w:val="002A6CC6"/>
    <w:rsid w:val="002B1507"/>
    <w:rsid w:val="002B6A21"/>
    <w:rsid w:val="002C43F5"/>
    <w:rsid w:val="002D3C15"/>
    <w:rsid w:val="00302A6A"/>
    <w:rsid w:val="00302FBF"/>
    <w:rsid w:val="0030375C"/>
    <w:rsid w:val="00304141"/>
    <w:rsid w:val="00321365"/>
    <w:rsid w:val="003460B8"/>
    <w:rsid w:val="0036633E"/>
    <w:rsid w:val="00366D73"/>
    <w:rsid w:val="00374C4C"/>
    <w:rsid w:val="003769A2"/>
    <w:rsid w:val="00382A75"/>
    <w:rsid w:val="00383727"/>
    <w:rsid w:val="003940C9"/>
    <w:rsid w:val="003C6474"/>
    <w:rsid w:val="003C6C0E"/>
    <w:rsid w:val="003D20C7"/>
    <w:rsid w:val="003E3275"/>
    <w:rsid w:val="003F2D17"/>
    <w:rsid w:val="00403A3A"/>
    <w:rsid w:val="00444E4B"/>
    <w:rsid w:val="00447DAA"/>
    <w:rsid w:val="004632EC"/>
    <w:rsid w:val="00470594"/>
    <w:rsid w:val="0048052E"/>
    <w:rsid w:val="00493C68"/>
    <w:rsid w:val="004A664E"/>
    <w:rsid w:val="004B3D1F"/>
    <w:rsid w:val="004D634C"/>
    <w:rsid w:val="004F27D7"/>
    <w:rsid w:val="004F435E"/>
    <w:rsid w:val="00500D1E"/>
    <w:rsid w:val="0050480B"/>
    <w:rsid w:val="00506D56"/>
    <w:rsid w:val="00507491"/>
    <w:rsid w:val="00531C50"/>
    <w:rsid w:val="00540A31"/>
    <w:rsid w:val="00557B88"/>
    <w:rsid w:val="00563AB0"/>
    <w:rsid w:val="00580E45"/>
    <w:rsid w:val="005A206A"/>
    <w:rsid w:val="005B26A0"/>
    <w:rsid w:val="005B4896"/>
    <w:rsid w:val="005C5683"/>
    <w:rsid w:val="005E1487"/>
    <w:rsid w:val="005F09A8"/>
    <w:rsid w:val="006140BF"/>
    <w:rsid w:val="00632641"/>
    <w:rsid w:val="00634031"/>
    <w:rsid w:val="00644AEC"/>
    <w:rsid w:val="00657C0F"/>
    <w:rsid w:val="00663639"/>
    <w:rsid w:val="00663775"/>
    <w:rsid w:val="00665338"/>
    <w:rsid w:val="00697EAE"/>
    <w:rsid w:val="006A41E2"/>
    <w:rsid w:val="006B3A25"/>
    <w:rsid w:val="006C7BBF"/>
    <w:rsid w:val="006E2829"/>
    <w:rsid w:val="006E7696"/>
    <w:rsid w:val="00745D53"/>
    <w:rsid w:val="00746F73"/>
    <w:rsid w:val="00753628"/>
    <w:rsid w:val="007607EE"/>
    <w:rsid w:val="0076309E"/>
    <w:rsid w:val="007824CC"/>
    <w:rsid w:val="00784567"/>
    <w:rsid w:val="00787365"/>
    <w:rsid w:val="007940DD"/>
    <w:rsid w:val="00794AF7"/>
    <w:rsid w:val="007B6398"/>
    <w:rsid w:val="007B7347"/>
    <w:rsid w:val="007E78C5"/>
    <w:rsid w:val="007F35B5"/>
    <w:rsid w:val="008141B0"/>
    <w:rsid w:val="008759BB"/>
    <w:rsid w:val="0088498C"/>
    <w:rsid w:val="00892770"/>
    <w:rsid w:val="008A6F31"/>
    <w:rsid w:val="008B091E"/>
    <w:rsid w:val="008C4507"/>
    <w:rsid w:val="008D14F9"/>
    <w:rsid w:val="008D3AA1"/>
    <w:rsid w:val="008D7811"/>
    <w:rsid w:val="008E58AC"/>
    <w:rsid w:val="00904ABB"/>
    <w:rsid w:val="00910CEE"/>
    <w:rsid w:val="0091553E"/>
    <w:rsid w:val="009162BB"/>
    <w:rsid w:val="00921078"/>
    <w:rsid w:val="00947E67"/>
    <w:rsid w:val="009515BD"/>
    <w:rsid w:val="009938F2"/>
    <w:rsid w:val="009A3D58"/>
    <w:rsid w:val="009A7E00"/>
    <w:rsid w:val="009D6008"/>
    <w:rsid w:val="009F0EF7"/>
    <w:rsid w:val="00A1007A"/>
    <w:rsid w:val="00A30D74"/>
    <w:rsid w:val="00A330F3"/>
    <w:rsid w:val="00A44704"/>
    <w:rsid w:val="00A5418A"/>
    <w:rsid w:val="00A62CB7"/>
    <w:rsid w:val="00A7040C"/>
    <w:rsid w:val="00A72F1F"/>
    <w:rsid w:val="00A765AF"/>
    <w:rsid w:val="00A82602"/>
    <w:rsid w:val="00AA1E7E"/>
    <w:rsid w:val="00AA3E29"/>
    <w:rsid w:val="00AA4945"/>
    <w:rsid w:val="00AB1B40"/>
    <w:rsid w:val="00AE55A9"/>
    <w:rsid w:val="00AF317C"/>
    <w:rsid w:val="00B000FB"/>
    <w:rsid w:val="00B1728F"/>
    <w:rsid w:val="00B60F2A"/>
    <w:rsid w:val="00B641EB"/>
    <w:rsid w:val="00B70F61"/>
    <w:rsid w:val="00B74EFD"/>
    <w:rsid w:val="00B8515F"/>
    <w:rsid w:val="00B913A7"/>
    <w:rsid w:val="00BB77CB"/>
    <w:rsid w:val="00BC10E6"/>
    <w:rsid w:val="00BD6EF1"/>
    <w:rsid w:val="00BD7EB1"/>
    <w:rsid w:val="00BF5F71"/>
    <w:rsid w:val="00C41D9D"/>
    <w:rsid w:val="00C63A7A"/>
    <w:rsid w:val="00C707BB"/>
    <w:rsid w:val="00C70886"/>
    <w:rsid w:val="00C742E7"/>
    <w:rsid w:val="00C8031A"/>
    <w:rsid w:val="00CA703A"/>
    <w:rsid w:val="00CD0AE5"/>
    <w:rsid w:val="00CD3BB0"/>
    <w:rsid w:val="00CD64C3"/>
    <w:rsid w:val="00CF6A92"/>
    <w:rsid w:val="00D25BB4"/>
    <w:rsid w:val="00D31501"/>
    <w:rsid w:val="00D353E5"/>
    <w:rsid w:val="00D91966"/>
    <w:rsid w:val="00DE41A2"/>
    <w:rsid w:val="00E05210"/>
    <w:rsid w:val="00E05639"/>
    <w:rsid w:val="00E06CE8"/>
    <w:rsid w:val="00E12F11"/>
    <w:rsid w:val="00E2171C"/>
    <w:rsid w:val="00E252C0"/>
    <w:rsid w:val="00E42183"/>
    <w:rsid w:val="00E5058C"/>
    <w:rsid w:val="00E53CB5"/>
    <w:rsid w:val="00E560C1"/>
    <w:rsid w:val="00E63FF0"/>
    <w:rsid w:val="00E6770C"/>
    <w:rsid w:val="00E72FD6"/>
    <w:rsid w:val="00E95404"/>
    <w:rsid w:val="00E97AB5"/>
    <w:rsid w:val="00EA217A"/>
    <w:rsid w:val="00EB1B0B"/>
    <w:rsid w:val="00EE0CA4"/>
    <w:rsid w:val="00EE1229"/>
    <w:rsid w:val="00F103E9"/>
    <w:rsid w:val="00F1382F"/>
    <w:rsid w:val="00F25C26"/>
    <w:rsid w:val="00F34B77"/>
    <w:rsid w:val="00F34C54"/>
    <w:rsid w:val="00F3730C"/>
    <w:rsid w:val="00F42D99"/>
    <w:rsid w:val="00F44578"/>
    <w:rsid w:val="00F82EB8"/>
    <w:rsid w:val="00FD3F8D"/>
    <w:rsid w:val="00FD6ADB"/>
    <w:rsid w:val="00FE7FC1"/>
    <w:rsid w:val="00F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5E43C5"/>
  <w15:docId w15:val="{99CB34CF-B4B2-4A02-A1EF-2051DFB0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4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5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B1507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1A5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63264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32641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63264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32641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632641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632641"/>
  </w:style>
  <w:style w:type="paragraph" w:styleId="ac">
    <w:name w:val="header"/>
    <w:basedOn w:val="a"/>
    <w:link w:val="ad"/>
    <w:uiPriority w:val="99"/>
    <w:unhideWhenUsed/>
    <w:rsid w:val="0038372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83727"/>
  </w:style>
  <w:style w:type="paragraph" w:styleId="ae">
    <w:name w:val="footer"/>
    <w:basedOn w:val="a"/>
    <w:link w:val="af"/>
    <w:uiPriority w:val="99"/>
    <w:unhideWhenUsed/>
    <w:rsid w:val="0038372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83727"/>
  </w:style>
  <w:style w:type="paragraph" w:styleId="af0">
    <w:name w:val="List Paragraph"/>
    <w:basedOn w:val="a"/>
    <w:uiPriority w:val="34"/>
    <w:qFormat/>
    <w:rsid w:val="003E327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CFA45-8E65-4DF8-89A2-18E91E8E9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1447</Words>
  <Characters>8250</Characters>
  <Application>Microsoft Office Word</Application>
  <DocSecurity>0</DocSecurity>
  <Lines>68</Lines>
  <Paragraphs>19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善孝 青木</dc:creator>
  <cp:keywords/>
  <dc:description/>
  <cp:lastModifiedBy>青木 善孝</cp:lastModifiedBy>
  <cp:revision>12</cp:revision>
  <dcterms:created xsi:type="dcterms:W3CDTF">2021-12-12T05:39:00Z</dcterms:created>
  <dcterms:modified xsi:type="dcterms:W3CDTF">2022-08-25T16:59:00Z</dcterms:modified>
</cp:coreProperties>
</file>