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3E0732" w14:textId="7B305744" w:rsidR="00557104" w:rsidRDefault="00121C22">
      <w:bookmarkStart w:id="0" w:name="_GoBack"/>
      <w:bookmarkEnd w:id="0"/>
      <w:r>
        <w:rPr>
          <w:noProof/>
        </w:rPr>
        <w:drawing>
          <wp:inline distT="0" distB="0" distL="0" distR="0" wp14:anchorId="0890D294" wp14:editId="5F7FFF05">
            <wp:extent cx="5274310" cy="38906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0ABD7" w14:textId="6EABFE3F" w:rsidR="00121C22" w:rsidRDefault="00121C22"/>
    <w:p w14:paraId="287C7FE1" w14:textId="77777777" w:rsidR="00121C22" w:rsidRPr="00EC56A1" w:rsidRDefault="00121C22" w:rsidP="00121C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1BF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971BFE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  <w:r w:rsidRPr="00EC56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JNK and </w:t>
      </w:r>
      <w:r w:rsidRPr="00971BFE">
        <w:rPr>
          <w:rFonts w:ascii="Times New Roman" w:hAnsi="Times New Roman" w:cs="Times New Roman"/>
          <w:sz w:val="24"/>
          <w:szCs w:val="24"/>
        </w:rPr>
        <w:t xml:space="preserve">ERK1/2 inhibitors do not alter </w:t>
      </w:r>
      <w:r>
        <w:rPr>
          <w:rFonts w:ascii="Times New Roman" w:hAnsi="Times New Roman" w:cs="Times New Roman"/>
          <w:sz w:val="24"/>
          <w:szCs w:val="24"/>
        </w:rPr>
        <w:t>Na-Mt-</w:t>
      </w:r>
      <w:r w:rsidRPr="00971BFE">
        <w:rPr>
          <w:rFonts w:ascii="Times New Roman" w:hAnsi="Times New Roman" w:cs="Times New Roman"/>
          <w:sz w:val="24"/>
          <w:szCs w:val="24"/>
        </w:rPr>
        <w:t>induced cytotoxicity. H</w:t>
      </w:r>
      <w:r>
        <w:rPr>
          <w:rFonts w:ascii="Times New Roman" w:hAnsi="Times New Roman" w:cs="Times New Roman"/>
          <w:sz w:val="24"/>
          <w:szCs w:val="24"/>
        </w:rPr>
        <w:t>CEC-B4G12</w:t>
      </w:r>
      <w:r w:rsidRPr="00971BFE">
        <w:rPr>
          <w:rFonts w:ascii="Times New Roman" w:hAnsi="Times New Roman" w:cs="Times New Roman"/>
          <w:sz w:val="24"/>
          <w:szCs w:val="24"/>
        </w:rPr>
        <w:t xml:space="preserve"> cells were pretreated with 10 µM S</w:t>
      </w:r>
      <w:r>
        <w:rPr>
          <w:rFonts w:ascii="Times New Roman" w:hAnsi="Times New Roman" w:cs="Times New Roman"/>
          <w:sz w:val="24"/>
          <w:szCs w:val="24"/>
        </w:rPr>
        <w:t>P600125</w:t>
      </w:r>
      <w:r w:rsidRPr="00971BF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JNK</w:t>
      </w:r>
      <w:r w:rsidRPr="00971BFE">
        <w:rPr>
          <w:rFonts w:ascii="Times New Roman" w:hAnsi="Times New Roman" w:cs="Times New Roman"/>
          <w:sz w:val="24"/>
          <w:szCs w:val="24"/>
        </w:rPr>
        <w:t xml:space="preserve"> inhibitor) or U0126 (ERK1/2 inhibitor) for 2 h prior to a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971BFE">
        <w:rPr>
          <w:rFonts w:ascii="Times New Roman" w:hAnsi="Times New Roman" w:cs="Times New Roman"/>
          <w:sz w:val="24"/>
          <w:szCs w:val="24"/>
        </w:rPr>
        <w:t xml:space="preserve">-h treatment with </w:t>
      </w:r>
      <w:r>
        <w:rPr>
          <w:rFonts w:ascii="Times New Roman" w:hAnsi="Times New Roman" w:cs="Times New Roman"/>
          <w:sz w:val="24"/>
          <w:szCs w:val="24"/>
        </w:rPr>
        <w:t>Na-Mt</w:t>
      </w:r>
      <w:r w:rsidRPr="00971BFE">
        <w:rPr>
          <w:rFonts w:ascii="Times New Roman" w:hAnsi="Times New Roman" w:cs="Times New Roman"/>
          <w:sz w:val="24"/>
          <w:szCs w:val="24"/>
        </w:rPr>
        <w:t>. The levels of p-</w:t>
      </w:r>
      <w:r>
        <w:rPr>
          <w:rFonts w:ascii="Times New Roman" w:hAnsi="Times New Roman" w:cs="Times New Roman"/>
          <w:sz w:val="24"/>
          <w:szCs w:val="24"/>
        </w:rPr>
        <w:t>JNK</w:t>
      </w:r>
      <w:r w:rsidRPr="00971BFE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JNK</w:t>
      </w:r>
      <w:r w:rsidRPr="00971BFE">
        <w:rPr>
          <w:rFonts w:ascii="Times New Roman" w:hAnsi="Times New Roman" w:cs="Times New Roman"/>
          <w:sz w:val="24"/>
          <w:szCs w:val="24"/>
        </w:rPr>
        <w:t xml:space="preserve"> were detected by Western blot (A), as did the levels of p</w:t>
      </w:r>
      <w:r>
        <w:rPr>
          <w:rFonts w:ascii="Times New Roman" w:hAnsi="Times New Roman" w:cs="Times New Roman"/>
          <w:sz w:val="24"/>
          <w:szCs w:val="24"/>
        </w:rPr>
        <w:t>-ERK1/2</w:t>
      </w:r>
      <w:r w:rsidRPr="00971BFE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ERK1/2</w:t>
      </w:r>
      <w:r w:rsidRPr="00971BF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971BFE">
        <w:rPr>
          <w:rFonts w:ascii="Times New Roman" w:hAnsi="Times New Roman" w:cs="Times New Roman"/>
          <w:sz w:val="24"/>
          <w:szCs w:val="24"/>
        </w:rPr>
        <w:t xml:space="preserve">). ATP content was measured by </w:t>
      </w:r>
      <w:proofErr w:type="spellStart"/>
      <w:r w:rsidRPr="00E370AC">
        <w:rPr>
          <w:rFonts w:ascii="Times New Roman" w:hAnsi="Times New Roman" w:cs="Times New Roman"/>
          <w:sz w:val="24"/>
          <w:szCs w:val="24"/>
        </w:rPr>
        <w:t>CellTiter</w:t>
      </w:r>
      <w:proofErr w:type="spellEnd"/>
      <w:r w:rsidRPr="00E370AC">
        <w:rPr>
          <w:rFonts w:ascii="Times New Roman" w:hAnsi="Times New Roman" w:cs="Times New Roman"/>
          <w:sz w:val="24"/>
          <w:szCs w:val="24"/>
        </w:rPr>
        <w:t>-Lum Plus Luminescent Cell Viability Assay</w:t>
      </w:r>
      <w:r w:rsidRPr="00971BFE">
        <w:rPr>
          <w:rFonts w:ascii="Times New Roman" w:hAnsi="Times New Roman" w:cs="Times New Roman"/>
          <w:sz w:val="24"/>
          <w:szCs w:val="24"/>
        </w:rPr>
        <w:t xml:space="preserve"> (B and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971BFE">
        <w:rPr>
          <w:rFonts w:ascii="Times New Roman" w:hAnsi="Times New Roman" w:cs="Times New Roman"/>
          <w:sz w:val="24"/>
          <w:szCs w:val="24"/>
        </w:rPr>
        <w:t xml:space="preserve">). </w:t>
      </w:r>
      <w:r w:rsidRPr="00270501">
        <w:rPr>
          <w:rFonts w:ascii="Times New Roman" w:hAnsi="Times New Roman" w:cs="Times New Roman"/>
          <w:sz w:val="24"/>
          <w:szCs w:val="24"/>
        </w:rPr>
        <w:t xml:space="preserve">Data points are the mean ± SD from three independent experiments, with three parallel samples per concentration in each experiment. </w:t>
      </w:r>
      <w:r w:rsidRPr="00971BFE">
        <w:rPr>
          <w:rFonts w:ascii="Times New Roman" w:hAnsi="Times New Roman" w:cs="Times New Roman"/>
          <w:sz w:val="24"/>
          <w:szCs w:val="24"/>
        </w:rPr>
        <w:t>* and # indicate p &lt; 0.05 compared to the vehicle control without or with pretreatment of the inhibitor.</w:t>
      </w:r>
    </w:p>
    <w:p w14:paraId="5745B6A3" w14:textId="77777777" w:rsidR="00121C22" w:rsidRPr="00121C22" w:rsidRDefault="00121C22"/>
    <w:sectPr w:rsidR="00121C22" w:rsidRPr="00121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234"/>
    <w:rsid w:val="00121C22"/>
    <w:rsid w:val="00557104"/>
    <w:rsid w:val="00A62234"/>
    <w:rsid w:val="00E5419E"/>
    <w:rsid w:val="00FC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F63BA"/>
  <w15:chartTrackingRefBased/>
  <w15:docId w15:val="{E835BB79-939C-416E-B676-CD36D606A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</dc:creator>
  <cp:keywords/>
  <dc:description/>
  <cp:lastModifiedBy>张竹红</cp:lastModifiedBy>
  <cp:revision>2</cp:revision>
  <dcterms:created xsi:type="dcterms:W3CDTF">2022-06-08T03:09:00Z</dcterms:created>
  <dcterms:modified xsi:type="dcterms:W3CDTF">2022-06-08T03:09:00Z</dcterms:modified>
</cp:coreProperties>
</file>