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6C863" w14:textId="0F866634" w:rsidR="00435F6F" w:rsidRPr="00435F6F" w:rsidRDefault="00435F6F" w:rsidP="00435F6F">
      <w:pPr>
        <w:spacing w:beforeLines="50" w:before="156" w:afterLines="50" w:after="156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435F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Supplementary </w:t>
      </w:r>
      <w:r w:rsidR="00A064F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F</w:t>
      </w:r>
      <w:r w:rsidR="00A064F3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igures</w:t>
      </w:r>
    </w:p>
    <w:p w14:paraId="5A7CD2F7" w14:textId="298DE3E4" w:rsidR="00435F6F" w:rsidRDefault="00435F6F" w:rsidP="00B9205F">
      <w:pPr>
        <w:spacing w:beforeLines="50" w:before="156" w:afterLines="50" w:after="156"/>
        <w:rPr>
          <w:noProof/>
        </w:rPr>
      </w:pPr>
      <w:r>
        <w:rPr>
          <w:noProof/>
        </w:rPr>
        <w:drawing>
          <wp:inline distT="0" distB="0" distL="0" distR="0" wp14:anchorId="26CC4DDF" wp14:editId="1803056D">
            <wp:extent cx="5274310" cy="7432675"/>
            <wp:effectExtent l="19050" t="19050" r="21590" b="158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26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2EEECC" w14:textId="5B8D71E2" w:rsidR="00583F69" w:rsidRDefault="00A2655B" w:rsidP="00B9205F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A2655B">
        <w:rPr>
          <w:rFonts w:ascii="Times New Roman" w:hAnsi="Times New Roman" w:cs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="00583F69">
        <w:rPr>
          <w:rFonts w:ascii="Times New Roman" w:hAnsi="Times New Roman" w:cs="Times New Roman"/>
          <w:b/>
          <w:bCs/>
          <w:color w:val="000000" w:themeColor="text1"/>
          <w:sz w:val="22"/>
        </w:rPr>
        <w:t>Figure 1. TANs predict poor prognosis in multiple cancers.</w:t>
      </w:r>
    </w:p>
    <w:p w14:paraId="6C8BDD27" w14:textId="09D5D2E7" w:rsidR="00FD36CF" w:rsidRDefault="00583F69" w:rsidP="00FD36CF">
      <w:pPr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435F6F"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, B</w:t>
      </w:r>
      <w:r>
        <w:rPr>
          <w:rFonts w:ascii="Times New Roman" w:hAnsi="Times New Roman" w:cs="Times New Roman"/>
          <w:color w:val="000000" w:themeColor="text1"/>
          <w:sz w:val="22"/>
        </w:rPr>
        <w:t>)</w:t>
      </w:r>
      <w:r w:rsidR="00B07B5C" w:rsidRPr="00B07B5C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Representative IHC images straining for CD66b (</w:t>
      </w:r>
      <w:r w:rsidR="00435F6F"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) and MPO (</w:t>
      </w:r>
      <w:r w:rsidR="00435F6F"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 w:rsidR="00B07B5C">
        <w:rPr>
          <w:rFonts w:ascii="Times New Roman" w:hAnsi="Times New Roman" w:cs="Times New Roman"/>
          <w:color w:val="000000" w:themeColor="text1"/>
          <w:sz w:val="22"/>
        </w:rPr>
        <w:t xml:space="preserve">) (left) and </w:t>
      </w:r>
      <w:r w:rsidR="00B07B5C">
        <w:rPr>
          <w:rFonts w:ascii="Times New Roman" w:hAnsi="Times New Roman" w:cs="Times New Roman"/>
          <w:color w:val="000000" w:themeColor="text1"/>
          <w:sz w:val="22"/>
        </w:rPr>
        <w:lastRenderedPageBreak/>
        <w:t>quantification of CD66b</w:t>
      </w:r>
      <w:r w:rsidR="00B07B5C"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 w:rsidR="00B07B5C">
        <w:rPr>
          <w:rFonts w:ascii="Times New Roman" w:hAnsi="Times New Roman" w:cs="Times New Roman"/>
          <w:color w:val="000000" w:themeColor="text1"/>
          <w:sz w:val="22"/>
        </w:rPr>
        <w:t xml:space="preserve"> (</w:t>
      </w:r>
      <w:r w:rsidR="00435F6F"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) and MPO</w:t>
      </w:r>
      <w:r w:rsidR="00B07B5C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+</w:t>
      </w:r>
      <w:r w:rsidR="00B07B5C">
        <w:rPr>
          <w:rFonts w:ascii="Times New Roman" w:hAnsi="Times New Roman" w:cs="Times New Roman"/>
          <w:color w:val="000000" w:themeColor="text1"/>
          <w:sz w:val="22"/>
        </w:rPr>
        <w:t xml:space="preserve">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) cells infiltrated in NMIBC and MIBC (right).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 w:rsidR="00B07B5C"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r w:rsidR="00173D8E" w:rsidRPr="00030ECA">
        <w:rPr>
          <w:rFonts w:ascii="Times New Roman" w:hAnsi="Times New Roman" w:cs="Times New Roman" w:hint="eastAsia"/>
          <w:color w:val="000000" w:themeColor="text1"/>
          <w:sz w:val="22"/>
        </w:rPr>
        <w:t>Gene</w:t>
      </w:r>
      <w:r w:rsidR="00173D8E" w:rsidRPr="00030ECA">
        <w:rPr>
          <w:rFonts w:ascii="Times New Roman" w:hAnsi="Times New Roman" w:cs="Times New Roman" w:hint="eastAsia"/>
          <w:color w:val="000000" w:themeColor="text1"/>
          <w:sz w:val="22"/>
        </w:rPr>
        <w:t>‐</w:t>
      </w:r>
      <w:r w:rsidR="00173D8E" w:rsidRPr="00030ECA">
        <w:rPr>
          <w:rFonts w:ascii="Times New Roman" w:hAnsi="Times New Roman" w:cs="Times New Roman" w:hint="eastAsia"/>
          <w:color w:val="000000" w:themeColor="text1"/>
          <w:sz w:val="22"/>
        </w:rPr>
        <w:t>set</w:t>
      </w:r>
      <w:r w:rsidR="00173D8E" w:rsidRPr="00030ECA">
        <w:rPr>
          <w:rFonts w:ascii="Times New Roman" w:hAnsi="Times New Roman" w:cs="Times New Roman"/>
          <w:color w:val="000000" w:themeColor="text1"/>
          <w:sz w:val="22"/>
        </w:rPr>
        <w:t xml:space="preserve"> enrichment analysis (GSEA) of neutrophil chemotaxis, extravasation and migration pathways in LN (-) and LN (+) B</w:t>
      </w:r>
      <w:r w:rsidR="00173D8E">
        <w:rPr>
          <w:rFonts w:ascii="Times New Roman" w:hAnsi="Times New Roman" w:cs="Times New Roman"/>
          <w:color w:val="000000" w:themeColor="text1"/>
          <w:sz w:val="22"/>
        </w:rPr>
        <w:t>C</w:t>
      </w:r>
      <w:r w:rsidR="00173D8E" w:rsidRPr="00030ECA">
        <w:rPr>
          <w:rFonts w:ascii="Times New Roman" w:hAnsi="Times New Roman" w:cs="Times New Roman"/>
          <w:color w:val="000000" w:themeColor="text1"/>
          <w:sz w:val="22"/>
        </w:rPr>
        <w:t>a tissues from TCGA database.</w:t>
      </w:r>
      <w:r w:rsidR="00173D8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>) Kaplan-Meier survival analysis of OS of BCa patients with high level versus low level MPO expression in TCGA cohort (242 vs 160)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), LEE bladder Cohort (64 vs 101)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or BLAVERI bladder Cohort (65 vs 34)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from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Oncomine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 database.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G</w:t>
      </w:r>
      <w:r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K</w:t>
      </w:r>
      <w:r>
        <w:rPr>
          <w:rFonts w:ascii="Times New Roman" w:hAnsi="Times New Roman" w:cs="Times New Roman"/>
          <w:color w:val="000000" w:themeColor="text1"/>
          <w:sz w:val="22"/>
        </w:rPr>
        <w:t>) Kaplan-Meier survival analysis of OS of patients with high level versus low level MPO expression in Glioblastoma (GBM, 76 vs 76)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G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), 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Kidney Clear Cell Carcinoma (KIRC, 277 vs 245)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H</w:t>
      </w:r>
      <w:r>
        <w:rPr>
          <w:rFonts w:ascii="Times New Roman" w:hAnsi="Times New Roman" w:cs="Times New Roman"/>
          <w:color w:val="000000" w:themeColor="text1"/>
          <w:sz w:val="22"/>
        </w:rPr>
        <w:t>),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I</w:t>
      </w:r>
      <w:r>
        <w:rPr>
          <w:rFonts w:ascii="Times New Roman" w:hAnsi="Times New Roman" w:cs="Times New Roman"/>
          <w:color w:val="000000" w:themeColor="text1"/>
          <w:sz w:val="22"/>
        </w:rPr>
        <w:t>)</w:t>
      </w:r>
      <w:r w:rsidR="00B07B5C" w:rsidRPr="00B07B5C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B07B5C">
        <w:rPr>
          <w:rFonts w:ascii="Times New Roman" w:hAnsi="Times New Roman" w:cs="Times New Roman"/>
          <w:color w:val="000000" w:themeColor="text1"/>
          <w:sz w:val="22"/>
        </w:rPr>
        <w:t>Lung Squamous Cell Carcinoma (LUSC, 211 vs 277)</w:t>
      </w:r>
      <w:r>
        <w:rPr>
          <w:rFonts w:ascii="Times New Roman" w:hAnsi="Times New Roman" w:cs="Times New Roman"/>
          <w:color w:val="000000" w:themeColor="text1"/>
          <w:sz w:val="22"/>
        </w:rPr>
        <w:t>, Colon Cancer (COAD, 230 vs 210)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J</w:t>
      </w:r>
      <w:r>
        <w:rPr>
          <w:rFonts w:ascii="Times New Roman" w:hAnsi="Times New Roman" w:cs="Times New Roman"/>
          <w:color w:val="000000" w:themeColor="text1"/>
          <w:sz w:val="22"/>
        </w:rPr>
        <w:t>), and Esophageal Cancer (CESC, 137 vs 127)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K</w:t>
      </w:r>
      <w:r>
        <w:rPr>
          <w:rFonts w:ascii="Times New Roman" w:hAnsi="Times New Roman" w:cs="Times New Roman"/>
          <w:color w:val="000000" w:themeColor="text1"/>
          <w:sz w:val="22"/>
        </w:rPr>
        <w:t>) from TCGA database. Statistical significance was assessed using two-tailed t tests or one-way ANOVA. *** p &lt; 0.001.</w:t>
      </w:r>
    </w:p>
    <w:p w14:paraId="4CB0013A" w14:textId="5B1429E0" w:rsidR="00B9205F" w:rsidRPr="00FD36CF" w:rsidRDefault="00FD36CF">
      <w:pPr>
        <w:widowControl/>
        <w:jc w:val="left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080BC45B" w14:textId="07478D81" w:rsidR="004A50D2" w:rsidRDefault="00435F6F" w:rsidP="00B9205F">
      <w:r>
        <w:rPr>
          <w:noProof/>
        </w:rPr>
        <w:lastRenderedPageBreak/>
        <w:drawing>
          <wp:inline distT="0" distB="0" distL="0" distR="0" wp14:anchorId="76802B3C" wp14:editId="4377EC49">
            <wp:extent cx="5274310" cy="3708400"/>
            <wp:effectExtent l="19050" t="19050" r="21590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8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784B76" w14:textId="77777777" w:rsidR="00B9205F" w:rsidRDefault="00B9205F" w:rsidP="00B9205F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92218B">
        <w:rPr>
          <w:rFonts w:ascii="Times New Roman" w:hAnsi="Times New Roman" w:cs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Figure 2. TANs promote LN metastasis of BCa in mice. </w:t>
      </w:r>
    </w:p>
    <w:p w14:paraId="1FF3B979" w14:textId="191E9D70" w:rsidR="00FD36CF" w:rsidRDefault="00B9205F" w:rsidP="00B9205F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435F6F" w:rsidRPr="00435F6F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CD45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CD11b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Ly6G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neutrophils from fresh surgically excised footpad tumor tissues.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CD11b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Ly6G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neutrophils in peripheral blood.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 Representative IHC images straining for Ly6G (left) and quantification of Ly6G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cells infiltrated in indicated footpad tumor (right). (</w:t>
      </w:r>
      <w:r w:rsidR="00435F6F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 Representative IHC images straining for LYVE1 (left) and quantification of LYVE1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cells in indicated footpad tumor (right).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CD66b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CXCR2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cells in total white cells and isolated neutrophils. Statistical significance was assessed using two-tailed t tests or one-way ANOVA. ** p &lt; 0.01, ***p &lt; 0.001. </w:t>
      </w:r>
    </w:p>
    <w:p w14:paraId="1CCF180B" w14:textId="47330DB8" w:rsidR="00B9205F" w:rsidRPr="00FD36CF" w:rsidRDefault="00FD36CF">
      <w:pPr>
        <w:widowControl/>
        <w:jc w:val="left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4C09BAFC" w14:textId="1371E0A8" w:rsidR="00B9205F" w:rsidRDefault="00BA6811" w:rsidP="00B9205F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 wp14:anchorId="148E10A2" wp14:editId="6D4DA665">
            <wp:extent cx="5111562" cy="8543065"/>
            <wp:effectExtent l="19050" t="19050" r="13335" b="1079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753" cy="855174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9205F" w:rsidRPr="00B9205F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 </w:t>
      </w:r>
      <w:bookmarkStart w:id="0" w:name="OLE_LINK1"/>
      <w:r w:rsidR="00B9205F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lastRenderedPageBreak/>
        <w:t xml:space="preserve">Supplementary </w:t>
      </w:r>
      <w:r w:rsidR="00B9205F">
        <w:rPr>
          <w:rFonts w:ascii="Times New Roman" w:hAnsi="Times New Roman" w:cs="Times New Roman"/>
          <w:b/>
          <w:bCs/>
          <w:color w:val="000000" w:themeColor="text1"/>
          <w:sz w:val="22"/>
        </w:rPr>
        <w:t>Figure 3. ETV4 is overexpressed in BCa.</w:t>
      </w:r>
    </w:p>
    <w:p w14:paraId="2C57232D" w14:textId="7612B924" w:rsidR="00BA6811" w:rsidRDefault="00B9205F" w:rsidP="00B9205F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) Heatmap of expression of the indicated genes from TCGA database of BCa.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 w:rsidRPr="00BA6811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 Analysis of the expression of ETV4 in TCGA database of BCa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and LEE bladder Cohort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-PCR analysis of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ETV4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mRNA in Cohort 4.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Immunoblot analysis of ETV4 and GAPDH in NAT (N) or BCa (C) tissues.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-PCR analysis of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ETV4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CXLC1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CXCL5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CXCL8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 IL1b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IL17A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and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TNFA </w:t>
      </w:r>
      <w:r>
        <w:rPr>
          <w:rFonts w:ascii="Times New Roman" w:hAnsi="Times New Roman" w:cs="Times New Roman"/>
          <w:color w:val="000000" w:themeColor="text1"/>
          <w:sz w:val="22"/>
        </w:rPr>
        <w:t>mRNA in UM-UC-3 cells treated with NC, siETV4#1 or siETV4#2 for 48 h. Statistical significance was assessed using two-tailed t tests or one-way ANOVA. **p &lt; 0.01, ***p &lt; 0.001, ****p &lt; 0.0001. Data are representative of two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or three independent experiments (mean ± S.D. in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>).</w:t>
      </w:r>
    </w:p>
    <w:p w14:paraId="7F594C4E" w14:textId="3E1247F1" w:rsidR="00B9205F" w:rsidRDefault="00BA6811" w:rsidP="00BA6811">
      <w:pPr>
        <w:widowControl/>
        <w:jc w:val="left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bookmarkEnd w:id="0"/>
    <w:p w14:paraId="7ECE3EBE" w14:textId="3E13F351" w:rsidR="00B9205F" w:rsidRDefault="00BA6811" w:rsidP="00B9205F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A90108E" wp14:editId="6E26D720">
            <wp:simplePos x="0" y="0"/>
            <wp:positionH relativeFrom="column">
              <wp:posOffset>1094255</wp:posOffset>
            </wp:positionH>
            <wp:positionV relativeFrom="paragraph">
              <wp:posOffset>92710</wp:posOffset>
            </wp:positionV>
            <wp:extent cx="2838450" cy="1596390"/>
            <wp:effectExtent l="19050" t="19050" r="19050" b="2286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5963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13D93" w14:textId="77777777" w:rsidR="00B9205F" w:rsidRDefault="00B9205F" w:rsidP="00B9205F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bookmarkStart w:id="1" w:name="OLE_LINK3"/>
      <w:r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Figure 4. Tumour ETV4 promotes VEGFA and MMP9 expression in TANs.</w:t>
      </w:r>
    </w:p>
    <w:p w14:paraId="2A24133C" w14:textId="66C8CAEC" w:rsidR="00B9205F" w:rsidRDefault="00B9205F" w:rsidP="00B9205F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-PCR analysis of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VEGFA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MMP9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mRNA in neutrophils incubated with UM-UC-3 CM.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ELISA analysis of VEGFA and MMP9 in the supernatants of neutrophils treated with the indicated supernatant for 12 h. Statistical significance was assessed using two-tailed t tests or one-way ANOVA. *p &lt; 0.05, **p &lt; 0.01. Data are representative of two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or three independent experiments (mean ± S.D. in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).</w:t>
      </w:r>
    </w:p>
    <w:bookmarkEnd w:id="1"/>
    <w:p w14:paraId="4502AEAD" w14:textId="7D9A7AD5" w:rsidR="00B9205F" w:rsidRDefault="00B9205F">
      <w:pPr>
        <w:widowControl/>
        <w:jc w:val="left"/>
      </w:pPr>
      <w:r>
        <w:br w:type="page"/>
      </w:r>
    </w:p>
    <w:p w14:paraId="2A673557" w14:textId="7E9E40E8" w:rsidR="00B9205F" w:rsidRPr="00DC603D" w:rsidRDefault="00BA6811" w:rsidP="00B9205F">
      <w:r>
        <w:rPr>
          <w:noProof/>
        </w:rPr>
        <w:lastRenderedPageBreak/>
        <w:drawing>
          <wp:inline distT="0" distB="0" distL="0" distR="0" wp14:anchorId="7B06EE1F" wp14:editId="10B8EA51">
            <wp:extent cx="4831080" cy="6125845"/>
            <wp:effectExtent l="19050" t="19050" r="26670" b="273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61258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85810D" w14:textId="77777777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bookmarkStart w:id="2" w:name="OLE_LINK2"/>
      <w:r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Figure 5. ETV4 promotes LN metastasis of BCa in mice.</w:t>
      </w:r>
    </w:p>
    <w:p w14:paraId="31B498B4" w14:textId="387CB235" w:rsidR="001F51D5" w:rsidRDefault="001F51D5" w:rsidP="001F51D5"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Kaplan-Meier survival analysis of mice inoculated with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shCON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>. and shETV4#1 UM-UC-3 cells.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Representative H&amp;E images (left) and quantification (right) of LN metastasis status in indicated LNs. 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CD11b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F4/80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cells in indicated footpad tumors.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CD11b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>Ly6G</w:t>
      </w:r>
      <w:r>
        <w:rPr>
          <w:rFonts w:ascii="Times New Roman" w:hAnsi="Times New Roman" w:cs="Times New Roman"/>
          <w:color w:val="000000" w:themeColor="text1"/>
          <w:sz w:val="22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neutrophils in spleen.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Representative H&amp;E images (left) and quantification (right) of LN metastasis status in LNs from the empty vector (CON.) or ETV4 overexpression vector stably transfected UM-UC-3 cells and IgG or neutralizing antibody of Ly6G. Statistical significance was assessed using two-tailed t tests or one-way ANOVA. **p &lt; 0.01.</w:t>
      </w:r>
    </w:p>
    <w:bookmarkEnd w:id="2"/>
    <w:p w14:paraId="05289BC6" w14:textId="250316D8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br w:type="page"/>
      </w:r>
      <w:r w:rsidR="00BA6811">
        <w:rPr>
          <w:noProof/>
        </w:rPr>
        <w:lastRenderedPageBreak/>
        <w:drawing>
          <wp:inline distT="0" distB="0" distL="0" distR="0" wp14:anchorId="04FAF53E" wp14:editId="3CEE735F">
            <wp:extent cx="5274310" cy="5782310"/>
            <wp:effectExtent l="19050" t="19050" r="21590" b="279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823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1F51D5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Figure 6. ETV4 promotes migration and invasion of BCa cells in vitro.</w:t>
      </w:r>
    </w:p>
    <w:p w14:paraId="01ECA3D8" w14:textId="56CE81D9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Pr="00BA681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Representative images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) and analysis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of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transwell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 migration and invasion in T24 and UM-UC-3 cells treated with NC, siETV4#1 or siETV4#2.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 w:rsidRPr="00BA681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 Flow cytometry analysis of Annexin V and PI staining T24 and UM-UC-3 cells treated as indicated.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Immunoblot analysis of N-cadherin, E-cadherin, SNAIL, ETV4 and GAPDH in T24 and UM-UC-3 cells treated as indicated.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>) Representative immunofluorescence images staining for N-cadherin in T24 cells treated as indicated. Statistical significance was assessed using two-tailed t tests or one-way ANOVA. *p &lt;0.05, **p &lt; 0.01. Data are representative of two 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 w:rsidRPr="00BA681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or three independent experiments (mean ± S.D. in 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Pr="00BA6811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).</w:t>
      </w:r>
    </w:p>
    <w:p w14:paraId="0A87FE2E" w14:textId="1B922AD4" w:rsidR="001F51D5" w:rsidRDefault="00BA6811" w:rsidP="001F51D5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 wp14:anchorId="2E176012" wp14:editId="3C3388D7">
            <wp:extent cx="5274310" cy="6809105"/>
            <wp:effectExtent l="19050" t="19050" r="21590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91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F51D5" w:rsidRPr="001F51D5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 </w:t>
      </w:r>
      <w:r w:rsidR="001F51D5"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Supplementary </w:t>
      </w:r>
      <w:r w:rsidR="001F51D5">
        <w:rPr>
          <w:rFonts w:ascii="Times New Roman" w:hAnsi="Times New Roman" w:cs="Times New Roman"/>
          <w:b/>
          <w:bCs/>
          <w:color w:val="000000" w:themeColor="text1"/>
          <w:sz w:val="22"/>
        </w:rPr>
        <w:t>Figure 7. Y392 of ETV4 is required for the pro-LN-metastatic effect.</w:t>
      </w:r>
    </w:p>
    <w:p w14:paraId="1E2EEB4D" w14:textId="3086E601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BA6811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Alignment of primary sequences of Homo. sapiens ETV4 and its homologues in 11 species: Pan troglodytes, Macaca mulatta, Mus musculus, Rattus norvegicus, Gorilla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gorilla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, Bos taurus, Canis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familiaris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, Felis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catus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, Tursiops truncates, Alligator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mississippiensis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 and Danio rerio. Consensus sequences are listed at the left of the column; conserved amino acids are highlighted in black. 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Kaplan-Meier survival analysis of mice inoculated with CON and ETV4 WT or Y392F overexpression vector stably transfected UM-UC-3 cells.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 w:rsidRPr="00D73B40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 Representative H&amp;E images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 and quantification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) of LN metastasis status in indicated LNs.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 w:rsidRPr="00D73B40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>) Representative images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 and analysis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F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of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transwell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 migration and invasion in the empty </w:t>
      </w:r>
      <w:r>
        <w:rPr>
          <w:rFonts w:ascii="Times New Roman" w:hAnsi="Times New Roman" w:cs="Times New Roman"/>
          <w:color w:val="000000" w:themeColor="text1"/>
          <w:sz w:val="22"/>
        </w:rPr>
        <w:lastRenderedPageBreak/>
        <w:t xml:space="preserve">vector (CON.) or ETV4 WT or Y392F overexpression vector stably transfected T24 and UM-UC-3 cells.  Statistical significance was assessed using two-tailed t tests or one-way ANOVA. **p &lt; 0.01. </w:t>
      </w:r>
    </w:p>
    <w:p w14:paraId="0905B27B" w14:textId="25B4B306" w:rsidR="00D73B40" w:rsidRDefault="00D73B40">
      <w:pPr>
        <w:widowControl/>
        <w:jc w:val="left"/>
      </w:pPr>
      <w:r>
        <w:br w:type="page"/>
      </w:r>
    </w:p>
    <w:p w14:paraId="2044C526" w14:textId="2455EB10" w:rsidR="001F51D5" w:rsidRDefault="00D73B40" w:rsidP="001F51D5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10D0C3E0" wp14:editId="715ACD8D">
            <wp:extent cx="5274310" cy="4803775"/>
            <wp:effectExtent l="19050" t="19050" r="21590" b="158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037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DA5626" w14:textId="438CA07F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2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Figure 8. Inhibition of PTK6 suppressed the nuclear translocation of ETV4.</w:t>
      </w:r>
    </w:p>
    <w:p w14:paraId="5027A4B4" w14:textId="089AA392" w:rsidR="001F51D5" w:rsidRDefault="001F51D5" w:rsidP="001F51D5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) Mass spectrometry (MS) identification of cytoplasmic ETV4-interacting proteins.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>) Immunoblot analysis of cytoplasmic and nuclear FLAG-ETV4, PTK6, GAPDH and Lamin B1 in UM-UC-3 cells that stably express FLAG-ETV4 WT or Y392F, treated with DMSO or inhibitor of PTK6 (Tilfrinib, 20 µM) for 36 h.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) Representative immunofluorescence images staining for FLAG-ETV4 in UM-UC-3 cells treated as indicated.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-PCR analysis of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CXCL1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CXCL8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mRNA in UM-UC-3 cells treated as indicated.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 xml:space="preserve">-PCR analysis of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VEGFA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>
        <w:rPr>
          <w:rFonts w:ascii="Times New Roman" w:hAnsi="Times New Roman" w:cs="Times New Roman"/>
          <w:i/>
          <w:iCs/>
          <w:color w:val="000000" w:themeColor="text1"/>
          <w:sz w:val="22"/>
        </w:rPr>
        <w:t>MMP9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mRNA in neutrophils incubated with indicated UM-UC-3 CM. Statistical significance was assessed using two-tailed t tests. *p &lt;0.05. Data are representative of two (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A</w:t>
      </w:r>
      <w:r w:rsidRPr="00D73B40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) or three independent experiments (mean ± S.D. in 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 w:rsidRPr="00D73B40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, </w:t>
      </w:r>
      <w:r w:rsidR="00D73B40">
        <w:rPr>
          <w:rFonts w:ascii="Times New Roman" w:hAnsi="Times New Roman" w:cs="Times New Roman"/>
          <w:b/>
          <w:bCs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).</w:t>
      </w:r>
    </w:p>
    <w:p w14:paraId="1BE67060" w14:textId="096E5A8A" w:rsidR="00D73B40" w:rsidRDefault="00D73B40">
      <w:pPr>
        <w:widowControl/>
        <w:jc w:val="left"/>
      </w:pPr>
    </w:p>
    <w:sectPr w:rsidR="00D73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12C6D" w14:textId="77777777" w:rsidR="00F10F3E" w:rsidRDefault="00F10F3E" w:rsidP="00173D8E">
      <w:r>
        <w:separator/>
      </w:r>
    </w:p>
  </w:endnote>
  <w:endnote w:type="continuationSeparator" w:id="0">
    <w:p w14:paraId="4EF0D5CF" w14:textId="77777777" w:rsidR="00F10F3E" w:rsidRDefault="00F10F3E" w:rsidP="0017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A908C" w14:textId="77777777" w:rsidR="00F10F3E" w:rsidRDefault="00F10F3E" w:rsidP="00173D8E">
      <w:r>
        <w:separator/>
      </w:r>
    </w:p>
  </w:footnote>
  <w:footnote w:type="continuationSeparator" w:id="0">
    <w:p w14:paraId="54887A9F" w14:textId="77777777" w:rsidR="00F10F3E" w:rsidRDefault="00F10F3E" w:rsidP="00173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F69"/>
    <w:rsid w:val="00173D8E"/>
    <w:rsid w:val="0017586D"/>
    <w:rsid w:val="001F51D5"/>
    <w:rsid w:val="00225FDB"/>
    <w:rsid w:val="003062F8"/>
    <w:rsid w:val="0037180A"/>
    <w:rsid w:val="003E497F"/>
    <w:rsid w:val="00435F6F"/>
    <w:rsid w:val="004410CF"/>
    <w:rsid w:val="00460662"/>
    <w:rsid w:val="00501BAB"/>
    <w:rsid w:val="00583F69"/>
    <w:rsid w:val="005C5D63"/>
    <w:rsid w:val="0063283E"/>
    <w:rsid w:val="007F3CC4"/>
    <w:rsid w:val="00807AE6"/>
    <w:rsid w:val="00884606"/>
    <w:rsid w:val="00A064F3"/>
    <w:rsid w:val="00A2655B"/>
    <w:rsid w:val="00B07B5C"/>
    <w:rsid w:val="00B9205F"/>
    <w:rsid w:val="00BA6811"/>
    <w:rsid w:val="00BC16F8"/>
    <w:rsid w:val="00C83B95"/>
    <w:rsid w:val="00D2623F"/>
    <w:rsid w:val="00D73B40"/>
    <w:rsid w:val="00DB6F77"/>
    <w:rsid w:val="00DE00F0"/>
    <w:rsid w:val="00F10F3E"/>
    <w:rsid w:val="00F917D6"/>
    <w:rsid w:val="00FD36CF"/>
    <w:rsid w:val="00FD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22DD4"/>
  <w15:chartTrackingRefBased/>
  <w15:docId w15:val="{B7353E70-891B-4F67-9FCB-F1E8E81BD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F69"/>
    <w:pPr>
      <w:widowControl w:val="0"/>
      <w:jc w:val="both"/>
    </w:pPr>
  </w:style>
  <w:style w:type="paragraph" w:styleId="3">
    <w:name w:val="heading 3"/>
    <w:basedOn w:val="a"/>
    <w:next w:val="a"/>
    <w:link w:val="31"/>
    <w:qFormat/>
    <w:rsid w:val="00BC16F8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3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3D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3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3D8E"/>
    <w:rPr>
      <w:sz w:val="18"/>
      <w:szCs w:val="18"/>
    </w:rPr>
  </w:style>
  <w:style w:type="table" w:styleId="a7">
    <w:name w:val="Table Grid"/>
    <w:basedOn w:val="a1"/>
    <w:uiPriority w:val="39"/>
    <w:rsid w:val="00D73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浅色底纹1"/>
    <w:basedOn w:val="a1"/>
    <w:uiPriority w:val="60"/>
    <w:rsid w:val="00D73B4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Revision"/>
    <w:hidden/>
    <w:uiPriority w:val="99"/>
    <w:semiHidden/>
    <w:rsid w:val="00D73B40"/>
  </w:style>
  <w:style w:type="character" w:customStyle="1" w:styleId="catalogno">
    <w:name w:val="catalogno"/>
    <w:basedOn w:val="a0"/>
    <w:rsid w:val="00D73B40"/>
  </w:style>
  <w:style w:type="character" w:customStyle="1" w:styleId="30">
    <w:name w:val="标题 3 字符"/>
    <w:basedOn w:val="a0"/>
    <w:uiPriority w:val="9"/>
    <w:semiHidden/>
    <w:rsid w:val="00BC16F8"/>
    <w:rPr>
      <w:b/>
      <w:bCs/>
      <w:sz w:val="32"/>
      <w:szCs w:val="32"/>
    </w:rPr>
  </w:style>
  <w:style w:type="character" w:customStyle="1" w:styleId="31">
    <w:name w:val="标题 3 字符1"/>
    <w:link w:val="3"/>
    <w:qFormat/>
    <w:locked/>
    <w:rsid w:val="00BC16F8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951</Words>
  <Characters>5426</Characters>
  <Application>Microsoft Office Word</Application>
  <DocSecurity>0</DocSecurity>
  <Lines>45</Lines>
  <Paragraphs>12</Paragraphs>
  <ScaleCrop>false</ScaleCrop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强</dc:creator>
  <cp:keywords/>
  <dc:description/>
  <cp:lastModifiedBy>张 强</cp:lastModifiedBy>
  <cp:revision>2</cp:revision>
  <dcterms:created xsi:type="dcterms:W3CDTF">2022-06-27T14:49:00Z</dcterms:created>
  <dcterms:modified xsi:type="dcterms:W3CDTF">2022-06-27T14:49:00Z</dcterms:modified>
</cp:coreProperties>
</file>