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E3D3E" w14:textId="77777777" w:rsidR="006B014E" w:rsidRPr="00EE4DEF" w:rsidRDefault="006B014E" w:rsidP="006B014E">
      <w:pPr>
        <w:pStyle w:val="Heading1"/>
        <w:spacing w:line="480" w:lineRule="auto"/>
        <w:jc w:val="both"/>
      </w:pPr>
      <w:r w:rsidRPr="00EE4DEF">
        <w:t>Supplementary Materials</w:t>
      </w:r>
    </w:p>
    <w:p w14:paraId="7F8060FD" w14:textId="77777777" w:rsidR="006B014E" w:rsidRPr="00EE4DEF" w:rsidRDefault="006B014E" w:rsidP="006B014E">
      <w:pPr>
        <w:pStyle w:val="Heading2"/>
        <w:spacing w:line="480" w:lineRule="auto"/>
        <w:jc w:val="both"/>
      </w:pPr>
      <w:r w:rsidRPr="00EE4DEF">
        <w:t>Appendix 1</w:t>
      </w:r>
    </w:p>
    <w:p w14:paraId="7B15D892" w14:textId="77777777" w:rsidR="006B014E" w:rsidRPr="00EE4DEF" w:rsidRDefault="006B014E" w:rsidP="006B014E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EE4DEF">
        <w:rPr>
          <w:rFonts w:asciiTheme="majorBidi" w:hAnsiTheme="majorBidi" w:cstheme="majorBidi"/>
          <w:b/>
          <w:bCs/>
        </w:rPr>
        <w:t xml:space="preserve">Variables included in the propensity-score matching </w:t>
      </w:r>
    </w:p>
    <w:p w14:paraId="10225340" w14:textId="77777777" w:rsidR="006B014E" w:rsidRPr="00EE4DEF" w:rsidRDefault="006B014E" w:rsidP="006B014E">
      <w:pPr>
        <w:spacing w:line="480" w:lineRule="auto"/>
        <w:jc w:val="both"/>
        <w:rPr>
          <w:rFonts w:asciiTheme="majorBidi" w:hAnsiTheme="majorBidi" w:cstheme="majorBidi"/>
          <w:color w:val="0E101A"/>
        </w:rPr>
      </w:pPr>
      <w:r w:rsidRPr="00EE4DEF">
        <w:rPr>
          <w:rFonts w:asciiTheme="majorBidi" w:hAnsiTheme="majorBidi" w:cstheme="majorBidi"/>
        </w:rPr>
        <w:t xml:space="preserve">PS-matching variables included </w:t>
      </w:r>
      <w:r w:rsidRPr="00EE4DEF">
        <w:rPr>
          <w:rFonts w:asciiTheme="majorBidi" w:hAnsiTheme="majorBidi" w:cstheme="majorBidi"/>
          <w:color w:val="0E101A"/>
        </w:rPr>
        <w:t xml:space="preserve">the </w:t>
      </w:r>
      <w:r w:rsidRPr="00EE4DEF">
        <w:rPr>
          <w:rFonts w:asciiTheme="majorBidi" w:hAnsiTheme="majorBidi" w:cstheme="majorBidi"/>
        </w:rPr>
        <w:t>age (in years), gender (female/male), race/ethnicity (White or non-white race), body-mass index (BMI, Weight/(Height)</w:t>
      </w:r>
      <w:r w:rsidRPr="00EE4DEF">
        <w:rPr>
          <w:rFonts w:asciiTheme="majorBidi" w:hAnsiTheme="majorBidi" w:cstheme="majorBidi"/>
          <w:vertAlign w:val="superscript"/>
        </w:rPr>
        <w:t>2</w:t>
      </w:r>
      <w:r w:rsidRPr="00EE4DEF">
        <w:rPr>
          <w:rFonts w:asciiTheme="majorBidi" w:hAnsiTheme="majorBidi" w:cstheme="majorBidi"/>
        </w:rPr>
        <w:t xml:space="preserve"> in Kg/m</w:t>
      </w:r>
      <w:r w:rsidRPr="00EE4DEF">
        <w:rPr>
          <w:rFonts w:asciiTheme="majorBidi" w:hAnsiTheme="majorBidi" w:cstheme="majorBidi"/>
          <w:vertAlign w:val="superscript"/>
        </w:rPr>
        <w:t>2</w:t>
      </w:r>
      <w:r w:rsidRPr="00EE4DEF">
        <w:rPr>
          <w:rFonts w:asciiTheme="majorBidi" w:hAnsiTheme="majorBidi" w:cstheme="majorBidi"/>
        </w:rPr>
        <w:t xml:space="preserve">), physical activity scale for the elderly score (PASE), abdominal obesity (defined as a waist circumference of ≥94 cm in men and ≥80 cm in women according to international diabetes foundation criteria </w:t>
      </w:r>
      <w:r w:rsidRPr="00EE4DEF">
        <w:rPr>
          <w:rFonts w:asciiTheme="majorBidi" w:hAnsiTheme="majorBidi" w:cstheme="majorBidi"/>
          <w:noProof/>
        </w:rPr>
        <w:t>(</w:t>
      </w:r>
      <w:r>
        <w:rPr>
          <w:rFonts w:asciiTheme="majorBidi" w:hAnsiTheme="majorBidi" w:cstheme="majorBidi"/>
          <w:noProof/>
        </w:rPr>
        <w:t>1</w:t>
      </w:r>
      <w:r w:rsidRPr="00EE4DEF">
        <w:rPr>
          <w:rFonts w:asciiTheme="majorBidi" w:hAnsiTheme="majorBidi" w:cstheme="majorBidi"/>
          <w:noProof/>
        </w:rPr>
        <w:t>), yes/no</w:t>
      </w:r>
      <w:r w:rsidRPr="00EE4DEF">
        <w:rPr>
          <w:rFonts w:asciiTheme="majorBidi" w:hAnsiTheme="majorBidi" w:cstheme="majorBidi"/>
        </w:rPr>
        <w:t>),</w:t>
      </w:r>
      <w:r w:rsidRPr="00EE4DEF">
        <w:rPr>
          <w:rFonts w:asciiTheme="majorBidi" w:hAnsiTheme="majorBidi" w:cstheme="majorBidi"/>
          <w:color w:val="0E101A"/>
        </w:rPr>
        <w:t xml:space="preserve"> alcohol use (number of participants with ≥1/week use), current or past history of smoking (yes/no), current or past hypertension (Physical examination at OAI baseline visit, indexed as </w:t>
      </w:r>
      <w:r w:rsidRPr="00FD7F9E">
        <w:rPr>
          <w:rFonts w:asciiTheme="majorBidi" w:hAnsiTheme="majorBidi" w:cstheme="majorBidi"/>
          <w:color w:val="0E101A"/>
        </w:rPr>
        <w:t>systolic blood pressure of ≥130 mm/Hg or diastolic blood pressure of ≥80 mm Hg</w:t>
      </w:r>
      <w:r w:rsidRPr="00FD7F9E">
        <w:rPr>
          <w:rFonts w:asciiTheme="majorBidi" w:hAnsiTheme="majorBidi" w:cstheme="majorBidi"/>
          <w:noProof/>
        </w:rPr>
        <w:t>, yes/no</w:t>
      </w:r>
      <w:r w:rsidRPr="00FD7F9E">
        <w:rPr>
          <w:rFonts w:asciiTheme="majorBidi" w:hAnsiTheme="majorBidi" w:cstheme="majorBidi"/>
          <w:color w:val="0E101A"/>
        </w:rPr>
        <w:t xml:space="preserve">), </w:t>
      </w:r>
      <w:r w:rsidRPr="00DE54DD">
        <w:rPr>
          <w:rFonts w:asciiTheme="majorBidi" w:hAnsiTheme="majorBidi" w:cstheme="majorBidi"/>
          <w:color w:val="0E101A"/>
        </w:rPr>
        <w:t>diabetes</w:t>
      </w:r>
      <w:r w:rsidRPr="00FD7F9E">
        <w:rPr>
          <w:rFonts w:asciiTheme="majorBidi" w:hAnsiTheme="majorBidi" w:cstheme="majorBidi"/>
          <w:color w:val="0E101A"/>
        </w:rPr>
        <w:t xml:space="preserve"> (self-reported diabetes or use of anti-diabetic medications in baseline), cerebrovascular accident (self-reported</w:t>
      </w:r>
      <w:r w:rsidRPr="00EE4DEF">
        <w:rPr>
          <w:rFonts w:asciiTheme="majorBidi" w:hAnsiTheme="majorBidi" w:cstheme="majorBidi"/>
          <w:color w:val="0E101A"/>
        </w:rPr>
        <w:t xml:space="preserve"> history of stroke, cerebrovascular accident, blood clot or bleeding in brain, or transient ischemic attack), heart attack (self-reported history of heart attack</w:t>
      </w:r>
      <w:r w:rsidRPr="00EE4DEF">
        <w:rPr>
          <w:rFonts w:asciiTheme="majorBidi" w:hAnsiTheme="majorBidi" w:cstheme="majorBidi"/>
          <w:noProof/>
        </w:rPr>
        <w:t>, yes/no</w:t>
      </w:r>
      <w:r w:rsidRPr="00EE4DEF">
        <w:rPr>
          <w:rFonts w:asciiTheme="majorBidi" w:hAnsiTheme="majorBidi" w:cstheme="majorBidi"/>
          <w:color w:val="0E101A"/>
        </w:rPr>
        <w:t>), heart failure (self-reported history of having heart failure or receiving treatment for heart failure</w:t>
      </w:r>
      <w:r w:rsidRPr="00EE4DEF">
        <w:rPr>
          <w:rFonts w:asciiTheme="majorBidi" w:hAnsiTheme="majorBidi" w:cstheme="majorBidi"/>
          <w:noProof/>
        </w:rPr>
        <w:t>, yes/no</w:t>
      </w:r>
      <w:r w:rsidRPr="00EE4DEF">
        <w:rPr>
          <w:rFonts w:asciiTheme="majorBidi" w:hAnsiTheme="majorBidi" w:cstheme="majorBidi"/>
          <w:color w:val="0E101A"/>
        </w:rPr>
        <w:t>), peripheral artery disease (self-reported</w:t>
      </w:r>
      <w:r w:rsidRPr="00EE4DEF">
        <w:rPr>
          <w:rFonts w:asciiTheme="majorBidi" w:hAnsiTheme="majorBidi" w:cstheme="majorBidi"/>
          <w:noProof/>
        </w:rPr>
        <w:t>, yes/no</w:t>
      </w:r>
      <w:r w:rsidRPr="00EE4DEF">
        <w:rPr>
          <w:rFonts w:asciiTheme="majorBidi" w:hAnsiTheme="majorBidi" w:cstheme="majorBidi"/>
          <w:color w:val="0E101A"/>
        </w:rPr>
        <w:t xml:space="preserve">), malignancy (self-reported history of cancer, other than skin cancer, leukemia or lymphoma, </w:t>
      </w:r>
      <w:r w:rsidRPr="00EE4DEF">
        <w:rPr>
          <w:rFonts w:asciiTheme="majorBidi" w:hAnsiTheme="majorBidi" w:cstheme="majorBidi"/>
          <w:noProof/>
        </w:rPr>
        <w:t>yes/no</w:t>
      </w:r>
      <w:r w:rsidRPr="00EE4DEF">
        <w:rPr>
          <w:rFonts w:asciiTheme="majorBidi" w:hAnsiTheme="majorBidi" w:cstheme="majorBidi"/>
          <w:color w:val="0E101A"/>
        </w:rPr>
        <w:t>), chronic obstructive pulmonary disease (self-reported, having emphysema, chronic bronchitis, or chronic obstructive lung disease, yes/no), kidney dysfunction (self-reported, ever had problem with kidneys, poor kidney function based on blood high creatinine, yes/no), advanced liver dysfunction (self-reported, have cirrhosis or serious liver damage, yes/no), peptic ulcer (self-reported stomach ulcers or peptic ulcer disease, yes/no),</w:t>
      </w:r>
      <w:r w:rsidRPr="00EE4DEF">
        <w:rPr>
          <w:rFonts w:asciiTheme="majorBidi" w:hAnsiTheme="majorBidi" w:cstheme="majorBidi"/>
        </w:rPr>
        <w:t xml:space="preserve"> </w:t>
      </w:r>
      <w:r w:rsidRPr="00EE4DEF">
        <w:rPr>
          <w:rFonts w:asciiTheme="majorBidi" w:hAnsiTheme="majorBidi" w:cstheme="majorBidi"/>
          <w:color w:val="0E101A"/>
        </w:rPr>
        <w:t xml:space="preserve">Charlson comorbidity score (a validated self-administered questionnaire modeled on the Charlson index to evaluate the presence of comorbid conditions), KL grade (based on baseline knee X-ray, </w:t>
      </w:r>
      <w:r w:rsidRPr="00EE4DEF">
        <w:rPr>
          <w:rFonts w:asciiTheme="majorBidi" w:hAnsiTheme="majorBidi" w:cstheme="majorBidi"/>
          <w:color w:val="0E101A"/>
        </w:rPr>
        <w:lastRenderedPageBreak/>
        <w:t>grade 0/1/2/3/4), and medications other than thyroid hormones (MIF form). Units, levels, and categories of variables are also listed in Table 1 in the main text.</w:t>
      </w:r>
    </w:p>
    <w:p w14:paraId="0FE07B9F" w14:textId="77777777" w:rsidR="006B014E" w:rsidRPr="00EE4DEF" w:rsidRDefault="006B014E" w:rsidP="006B014E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EE4DEF">
        <w:rPr>
          <w:rFonts w:asciiTheme="majorBidi" w:hAnsiTheme="majorBidi" w:cstheme="majorBidi"/>
          <w:b/>
          <w:bCs/>
        </w:rPr>
        <w:t xml:space="preserve">The pattern of missing data Little's test </w:t>
      </w:r>
    </w:p>
    <w:p w14:paraId="31F32D2C" w14:textId="77777777" w:rsidR="006B014E" w:rsidRPr="00EE4DEF" w:rsidRDefault="006B014E" w:rsidP="006B014E">
      <w:pPr>
        <w:spacing w:line="480" w:lineRule="auto"/>
        <w:jc w:val="both"/>
        <w:rPr>
          <w:rFonts w:asciiTheme="majorBidi" w:hAnsiTheme="majorBidi" w:cstheme="majorBidi"/>
          <w:noProof/>
        </w:rPr>
      </w:pPr>
      <w:r w:rsidRPr="00EE4DEF">
        <w:rPr>
          <w:rFonts w:asciiTheme="majorBidi" w:hAnsiTheme="majorBidi" w:cstheme="majorBidi"/>
          <w:noProof/>
        </w:rPr>
        <w:t>We assessed the pattern</w:t>
      </w:r>
      <w:r w:rsidRPr="00EE4DEF">
        <w:rPr>
          <w:rFonts w:asciiTheme="majorBidi" w:hAnsiTheme="majorBidi" w:cstheme="majorBidi"/>
        </w:rPr>
        <w:t xml:space="preserve"> of missing data using a test of missing completely at random (Little's test), visual representation, and logistic regression models. The results showed a non-random pattern for missing </w:t>
      </w:r>
      <w:r w:rsidRPr="00EE4DEF">
        <w:rPr>
          <w:rFonts w:asciiTheme="majorBidi" w:hAnsiTheme="majorBidi" w:cstheme="majorBidi"/>
          <w:noProof/>
        </w:rPr>
        <w:t>data (</w:t>
      </w:r>
      <w:r>
        <w:rPr>
          <w:rFonts w:asciiTheme="majorBidi" w:hAnsiTheme="majorBidi" w:cstheme="majorBidi"/>
          <w:noProof/>
        </w:rPr>
        <w:t>2</w:t>
      </w:r>
      <w:r w:rsidRPr="00EE4DEF">
        <w:rPr>
          <w:rFonts w:asciiTheme="majorBidi" w:hAnsiTheme="majorBidi" w:cstheme="majorBidi"/>
          <w:noProof/>
        </w:rPr>
        <w:t>)</w:t>
      </w:r>
      <w:r w:rsidRPr="00EE4DEF">
        <w:rPr>
          <w:rFonts w:asciiTheme="majorBidi" w:hAnsiTheme="majorBidi" w:cstheme="majorBidi"/>
        </w:rPr>
        <w:t xml:space="preserve"> in the OAI dataset, with fewer than </w:t>
      </w:r>
      <w:r w:rsidRPr="00DE54DD">
        <w:rPr>
          <w:rFonts w:asciiTheme="majorBidi" w:hAnsiTheme="majorBidi" w:cstheme="majorBidi"/>
        </w:rPr>
        <w:t>2.8%</w:t>
      </w:r>
      <w:r w:rsidRPr="00EE4DEF">
        <w:rPr>
          <w:rFonts w:asciiTheme="majorBidi" w:hAnsiTheme="majorBidi" w:cstheme="majorBidi"/>
        </w:rPr>
        <w:t xml:space="preserve"> missing values for all matching variables (Supplemental Table S2). Despite the missing </w:t>
      </w:r>
      <w:r w:rsidRPr="00EE4DEF">
        <w:rPr>
          <w:rFonts w:asciiTheme="majorBidi" w:hAnsiTheme="majorBidi" w:cstheme="majorBidi"/>
          <w:noProof/>
        </w:rPr>
        <w:t>not</w:t>
      </w:r>
      <w:r w:rsidRPr="00EE4DEF">
        <w:rPr>
          <w:rFonts w:asciiTheme="majorBidi" w:hAnsiTheme="majorBidi" w:cstheme="majorBidi"/>
        </w:rPr>
        <w:t xml:space="preserve"> at random data pattern, we included all matching variables in multiple imputation </w:t>
      </w:r>
      <w:r w:rsidRPr="00EE4DEF">
        <w:rPr>
          <w:rFonts w:asciiTheme="majorBidi" w:hAnsiTheme="majorBidi" w:cstheme="majorBidi"/>
          <w:noProof/>
        </w:rPr>
        <w:t>models, used according to previous studies to minimize the possible associated bias (</w:t>
      </w:r>
      <w:r>
        <w:rPr>
          <w:rFonts w:asciiTheme="majorBidi" w:hAnsiTheme="majorBidi" w:cstheme="majorBidi"/>
          <w:noProof/>
        </w:rPr>
        <w:t>3</w:t>
      </w:r>
      <w:r w:rsidRPr="00EE4DEF">
        <w:rPr>
          <w:rFonts w:asciiTheme="majorBidi" w:hAnsiTheme="majorBidi" w:cstheme="majorBidi"/>
          <w:noProof/>
        </w:rPr>
        <w:t>).</w:t>
      </w:r>
    </w:p>
    <w:p w14:paraId="5918C37B" w14:textId="77777777" w:rsidR="006B014E" w:rsidRPr="00EE4DEF" w:rsidRDefault="006B014E" w:rsidP="006B014E">
      <w:pPr>
        <w:pStyle w:val="Heading2"/>
        <w:spacing w:line="480" w:lineRule="auto"/>
        <w:jc w:val="both"/>
      </w:pPr>
      <w:r w:rsidRPr="00EE4DEF">
        <w:br w:type="column"/>
      </w:r>
      <w:r w:rsidRPr="00EE4DEF">
        <w:lastRenderedPageBreak/>
        <w:t>Supplementary Tables and Figures</w:t>
      </w:r>
    </w:p>
    <w:p w14:paraId="26101F00" w14:textId="77777777" w:rsidR="006B014E" w:rsidRPr="00EE4DEF" w:rsidRDefault="006B014E" w:rsidP="006B014E">
      <w:pPr>
        <w:spacing w:line="480" w:lineRule="auto"/>
        <w:jc w:val="both"/>
        <w:rPr>
          <w:rFonts w:asciiTheme="majorBidi" w:eastAsia="Times New Roman" w:hAnsiTheme="majorBidi" w:cstheme="majorBidi"/>
          <w:color w:val="000000"/>
        </w:rPr>
      </w:pPr>
      <w:r w:rsidRPr="00EE4DEF">
        <w:rPr>
          <w:rFonts w:asciiTheme="majorBidi" w:eastAsia="Times New Roman" w:hAnsiTheme="majorBidi" w:cstheme="majorBidi"/>
          <w:b/>
          <w:bCs/>
          <w:color w:val="000000"/>
        </w:rPr>
        <w:t xml:space="preserve">Table S1. </w:t>
      </w:r>
      <w:r w:rsidRPr="00EE4DEF">
        <w:rPr>
          <w:rFonts w:asciiTheme="majorBidi" w:eastAsia="Times New Roman" w:hAnsiTheme="majorBidi" w:cstheme="majorBidi"/>
          <w:color w:val="000000"/>
        </w:rPr>
        <w:t>Osteoarthritis Initiative (OAI) datasets used in the study</w:t>
      </w:r>
    </w:p>
    <w:tbl>
      <w:tblPr>
        <w:tblW w:w="9336" w:type="dxa"/>
        <w:tblLook w:val="04A0" w:firstRow="1" w:lastRow="0" w:firstColumn="1" w:lastColumn="0" w:noHBand="0" w:noVBand="1"/>
      </w:tblPr>
      <w:tblGrid>
        <w:gridCol w:w="5328"/>
        <w:gridCol w:w="2386"/>
        <w:gridCol w:w="1622"/>
      </w:tblGrid>
      <w:tr w:rsidR="006B014E" w:rsidRPr="00EE4DEF" w14:paraId="45871183" w14:textId="77777777" w:rsidTr="0087754E">
        <w:trPr>
          <w:trHeight w:val="326"/>
        </w:trPr>
        <w:tc>
          <w:tcPr>
            <w:tcW w:w="532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820A42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Dataset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D055DA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Visit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7A57CC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Release version</w:t>
            </w:r>
          </w:p>
        </w:tc>
      </w:tr>
      <w:tr w:rsidR="006B014E" w:rsidRPr="00EE4DEF" w14:paraId="7DD35F1C" w14:textId="77777777" w:rsidTr="0087754E">
        <w:trPr>
          <w:trHeight w:val="303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7B7B6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All clinical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FBB40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allclinical00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F62F0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0.2.2</w:t>
            </w:r>
          </w:p>
        </w:tc>
      </w:tr>
      <w:tr w:rsidR="006B014E" w:rsidRPr="00EE4DEF" w14:paraId="46BF26A2" w14:textId="77777777" w:rsidTr="0087754E">
        <w:trPr>
          <w:trHeight w:val="408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4B1C7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(</w:t>
            </w:r>
            <w:proofErr w:type="gramStart"/>
            <w:r w:rsidRPr="00EE4DEF">
              <w:rPr>
                <w:rFonts w:asciiTheme="majorBidi" w:eastAsia="Times New Roman" w:hAnsiTheme="majorBidi" w:cstheme="majorBidi"/>
                <w:color w:val="000000"/>
              </w:rPr>
              <w:t>data</w:t>
            </w:r>
            <w:proofErr w:type="gramEnd"/>
            <w:r w:rsidRPr="00EE4DEF">
              <w:rPr>
                <w:rFonts w:asciiTheme="majorBidi" w:eastAsia="Times New Roman" w:hAnsiTheme="majorBidi" w:cstheme="majorBidi"/>
                <w:color w:val="000000"/>
              </w:rPr>
              <w:t xml:space="preserve"> regarding all clinical information and NASS incidence)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4FBD5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allclinical01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DDA5D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1.2.1</w:t>
            </w:r>
          </w:p>
        </w:tc>
      </w:tr>
      <w:tr w:rsidR="006B014E" w:rsidRPr="00EE4DEF" w14:paraId="5D6C5267" w14:textId="77777777" w:rsidTr="0087754E">
        <w:trPr>
          <w:trHeight w:val="303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9F0A4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18A9B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allclinical03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F6401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3.2.1</w:t>
            </w:r>
          </w:p>
        </w:tc>
      </w:tr>
      <w:tr w:rsidR="006B014E" w:rsidRPr="00EE4DEF" w14:paraId="5D11C84B" w14:textId="77777777" w:rsidTr="0087754E">
        <w:trPr>
          <w:trHeight w:val="303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223AB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F2054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allclinical05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7FBC0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5.2.1</w:t>
            </w:r>
          </w:p>
        </w:tc>
      </w:tr>
      <w:tr w:rsidR="006B014E" w:rsidRPr="00EE4DEF" w14:paraId="5F960DFA" w14:textId="77777777" w:rsidTr="0087754E">
        <w:trPr>
          <w:trHeight w:val="303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DD365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37D9D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allclinical06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6EB84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6.2.1</w:t>
            </w:r>
          </w:p>
        </w:tc>
      </w:tr>
      <w:tr w:rsidR="006B014E" w:rsidRPr="00EE4DEF" w14:paraId="1990B260" w14:textId="77777777" w:rsidTr="0087754E">
        <w:trPr>
          <w:trHeight w:val="303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326A9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ED806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allclinical07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1FB40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7.2.1</w:t>
            </w:r>
          </w:p>
        </w:tc>
      </w:tr>
      <w:tr w:rsidR="006B014E" w:rsidRPr="00EE4DEF" w14:paraId="0FBE8D6B" w14:textId="77777777" w:rsidTr="0087754E">
        <w:trPr>
          <w:trHeight w:val="303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7D21B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44FB8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allclinical08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0DA0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8.2.2</w:t>
            </w:r>
          </w:p>
        </w:tc>
      </w:tr>
      <w:tr w:rsidR="006B014E" w:rsidRPr="00EE4DEF" w14:paraId="0FC1D1B8" w14:textId="77777777" w:rsidTr="0087754E">
        <w:trPr>
          <w:trHeight w:val="303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3F0A1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31126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allclinical09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5D5A4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9.2.1</w:t>
            </w:r>
          </w:p>
        </w:tc>
      </w:tr>
      <w:tr w:rsidR="006B014E" w:rsidRPr="00EE4DEF" w14:paraId="261FE54A" w14:textId="77777777" w:rsidTr="0087754E">
        <w:trPr>
          <w:trHeight w:val="315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72ADB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53D113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allclinical10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88A49D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10.2.2</w:t>
            </w:r>
          </w:p>
        </w:tc>
      </w:tr>
      <w:tr w:rsidR="006B014E" w:rsidRPr="00EE4DEF" w14:paraId="45425CD2" w14:textId="77777777" w:rsidTr="0087754E">
        <w:trPr>
          <w:trHeight w:val="303"/>
        </w:trPr>
        <w:tc>
          <w:tcPr>
            <w:tcW w:w="53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C21F3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Medical inventory form (MIF)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F277D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MIF00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AD9CD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0.2.2</w:t>
            </w:r>
          </w:p>
        </w:tc>
      </w:tr>
      <w:tr w:rsidR="006B014E" w:rsidRPr="00EE4DEF" w14:paraId="55260F5A" w14:textId="77777777" w:rsidTr="0087754E">
        <w:trPr>
          <w:trHeight w:val="315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FCBD8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(</w:t>
            </w:r>
            <w:proofErr w:type="gramStart"/>
            <w:r w:rsidRPr="00EE4DEF">
              <w:rPr>
                <w:rFonts w:asciiTheme="majorBidi" w:eastAsia="Times New Roman" w:hAnsiTheme="majorBidi" w:cstheme="majorBidi"/>
                <w:color w:val="000000"/>
              </w:rPr>
              <w:t>data</w:t>
            </w:r>
            <w:proofErr w:type="gramEnd"/>
            <w:r w:rsidRPr="00EE4DEF">
              <w:rPr>
                <w:rFonts w:asciiTheme="majorBidi" w:eastAsia="Times New Roman" w:hAnsiTheme="majorBidi" w:cstheme="majorBidi"/>
                <w:color w:val="000000"/>
              </w:rPr>
              <w:t xml:space="preserve"> regarding drug history)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BD1FF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3E3C7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6B014E" w:rsidRPr="00EE4DEF" w14:paraId="4BFB920B" w14:textId="77777777" w:rsidTr="0087754E">
        <w:trPr>
          <w:trHeight w:val="303"/>
        </w:trPr>
        <w:tc>
          <w:tcPr>
            <w:tcW w:w="53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7C32B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Enrollees</w:t>
            </w:r>
          </w:p>
        </w:tc>
        <w:tc>
          <w:tcPr>
            <w:tcW w:w="23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70970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enrollees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1C5BB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25</w:t>
            </w:r>
          </w:p>
        </w:tc>
      </w:tr>
      <w:tr w:rsidR="006B014E" w:rsidRPr="00EE4DEF" w14:paraId="5CE5219C" w14:textId="77777777" w:rsidTr="0087754E">
        <w:trPr>
          <w:trHeight w:val="315"/>
        </w:trPr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D1E7FCC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(</w:t>
            </w:r>
            <w:proofErr w:type="gramStart"/>
            <w:r w:rsidRPr="00EE4DEF">
              <w:rPr>
                <w:rFonts w:asciiTheme="majorBidi" w:eastAsia="Times New Roman" w:hAnsiTheme="majorBidi" w:cstheme="majorBidi"/>
                <w:color w:val="000000"/>
              </w:rPr>
              <w:t>data</w:t>
            </w:r>
            <w:proofErr w:type="gramEnd"/>
            <w:r w:rsidRPr="00EE4DEF">
              <w:rPr>
                <w:rFonts w:asciiTheme="majorBidi" w:eastAsia="Times New Roman" w:hAnsiTheme="majorBidi" w:cstheme="majorBidi"/>
                <w:color w:val="000000"/>
              </w:rPr>
              <w:t xml:space="preserve"> regarding baseline enrollment of OAI participants)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61979BE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A60568C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</w:tr>
      <w:tr w:rsidR="006B014E" w:rsidRPr="00EE4DEF" w14:paraId="475EA2AC" w14:textId="77777777" w:rsidTr="0087754E">
        <w:trPr>
          <w:trHeight w:val="315"/>
        </w:trPr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D47351D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Knee X-ray semi-quantitative reading (</w:t>
            </w:r>
            <w:proofErr w:type="spellStart"/>
            <w:r w:rsidRPr="00EE4DEF">
              <w:rPr>
                <w:rFonts w:asciiTheme="majorBidi" w:eastAsia="Times New Roman" w:hAnsiTheme="majorBidi" w:cstheme="majorBidi"/>
                <w:color w:val="000000"/>
              </w:rPr>
              <w:t>Kxr</w:t>
            </w:r>
            <w:proofErr w:type="spellEnd"/>
            <w:r w:rsidRPr="00EE4DEF">
              <w:rPr>
                <w:rFonts w:asciiTheme="majorBidi" w:eastAsia="Times New Roman" w:hAnsiTheme="majorBidi" w:cstheme="majorBidi"/>
                <w:color w:val="000000"/>
              </w:rPr>
              <w:t xml:space="preserve"> sq)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D7267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EE4DEF">
              <w:rPr>
                <w:rFonts w:asciiTheme="majorBidi" w:eastAsia="Times New Roman" w:hAnsiTheme="majorBidi" w:cstheme="majorBidi"/>
                <w:color w:val="000000"/>
              </w:rPr>
              <w:t>Kxr</w:t>
            </w:r>
            <w:proofErr w:type="spellEnd"/>
            <w:r w:rsidRPr="00EE4DEF">
              <w:rPr>
                <w:rFonts w:asciiTheme="majorBidi" w:eastAsia="Times New Roman" w:hAnsiTheme="majorBidi" w:cstheme="majorBidi"/>
                <w:color w:val="000000"/>
              </w:rPr>
              <w:t xml:space="preserve"> sq 00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A9D3A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0.8</w:t>
            </w:r>
          </w:p>
        </w:tc>
      </w:tr>
      <w:tr w:rsidR="006B014E" w:rsidRPr="00EE4DEF" w14:paraId="55738AB0" w14:textId="77777777" w:rsidTr="0087754E">
        <w:trPr>
          <w:trHeight w:val="303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369D8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MRI tracking and QA</w:t>
            </w:r>
          </w:p>
        </w:tc>
        <w:tc>
          <w:tcPr>
            <w:tcW w:w="23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03046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mri00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8DF18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0.2.2</w:t>
            </w:r>
          </w:p>
        </w:tc>
      </w:tr>
      <w:tr w:rsidR="006B014E" w:rsidRPr="00EE4DEF" w14:paraId="09BD5FB5" w14:textId="77777777" w:rsidTr="0087754E">
        <w:trPr>
          <w:trHeight w:val="303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C5C3A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(</w:t>
            </w:r>
            <w:proofErr w:type="gramStart"/>
            <w:r w:rsidRPr="00EE4DEF">
              <w:rPr>
                <w:rFonts w:asciiTheme="majorBidi" w:eastAsia="Times New Roman" w:hAnsiTheme="majorBidi" w:cstheme="majorBidi"/>
                <w:color w:val="000000"/>
              </w:rPr>
              <w:t>data</w:t>
            </w:r>
            <w:proofErr w:type="gramEnd"/>
            <w:r w:rsidRPr="00EE4DEF">
              <w:rPr>
                <w:rFonts w:asciiTheme="majorBidi" w:eastAsia="Times New Roman" w:hAnsiTheme="majorBidi" w:cstheme="majorBidi"/>
                <w:color w:val="000000"/>
              </w:rPr>
              <w:t xml:space="preserve"> regarding availability of MRI and 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AF231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mri03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A0276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3.2.1</w:t>
            </w:r>
          </w:p>
        </w:tc>
      </w:tr>
      <w:tr w:rsidR="006B014E" w:rsidRPr="00EE4DEF" w14:paraId="67F42B44" w14:textId="77777777" w:rsidTr="0087754E">
        <w:trPr>
          <w:trHeight w:val="315"/>
        </w:trPr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10D5960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quality assessment)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82AA1AD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mri06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6892F9B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6.2.1</w:t>
            </w:r>
          </w:p>
        </w:tc>
      </w:tr>
      <w:tr w:rsidR="006B014E" w:rsidRPr="00EE4DEF" w14:paraId="2EB6D404" w14:textId="77777777" w:rsidTr="0087754E">
        <w:trPr>
          <w:trHeight w:val="303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CC75E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Outcomes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917B2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outcome99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EEA7E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10</w:t>
            </w:r>
          </w:p>
        </w:tc>
      </w:tr>
      <w:tr w:rsidR="006B014E" w:rsidRPr="00EE4DEF" w14:paraId="41CAD234" w14:textId="77777777" w:rsidTr="0087754E">
        <w:trPr>
          <w:trHeight w:val="618"/>
        </w:trPr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F07B0A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(</w:t>
            </w:r>
            <w:proofErr w:type="gramStart"/>
            <w:r w:rsidRPr="00EE4DEF">
              <w:rPr>
                <w:rFonts w:asciiTheme="majorBidi" w:eastAsia="Times New Roman" w:hAnsiTheme="majorBidi" w:cstheme="majorBidi"/>
                <w:color w:val="000000"/>
              </w:rPr>
              <w:t>data</w:t>
            </w:r>
            <w:proofErr w:type="gramEnd"/>
            <w:r w:rsidRPr="00EE4DEF">
              <w:rPr>
                <w:rFonts w:asciiTheme="majorBidi" w:eastAsia="Times New Roman" w:hAnsiTheme="majorBidi" w:cstheme="majorBidi"/>
                <w:color w:val="000000"/>
              </w:rPr>
              <w:t xml:space="preserve"> regarding all knee OA outcomes including </w:t>
            </w:r>
            <w:r>
              <w:rPr>
                <w:rFonts w:asciiTheme="majorBidi" w:eastAsia="Times New Roman" w:hAnsiTheme="majorBidi" w:cstheme="majorBidi"/>
                <w:color w:val="000000"/>
              </w:rPr>
              <w:t>KOA incidence</w:t>
            </w:r>
            <w:r w:rsidRPr="00EE4DEF">
              <w:rPr>
                <w:rFonts w:asciiTheme="majorBidi" w:eastAsia="Times New Roman" w:hAnsiTheme="majorBidi" w:cstheme="majorBidi"/>
                <w:color w:val="000000"/>
              </w:rPr>
              <w:t>)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AD0374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6A444C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</w:tr>
    </w:tbl>
    <w:p w14:paraId="1CEEF062" w14:textId="77777777" w:rsidR="006B014E" w:rsidRPr="00EE4DEF" w:rsidRDefault="006B014E" w:rsidP="006B014E">
      <w:pPr>
        <w:rPr>
          <w:rFonts w:asciiTheme="majorBidi" w:hAnsiTheme="majorBidi" w:cstheme="majorBidi"/>
        </w:rPr>
      </w:pPr>
    </w:p>
    <w:p w14:paraId="1588A1C4" w14:textId="77777777" w:rsidR="006B014E" w:rsidRPr="00EE4DEF" w:rsidRDefault="006B014E" w:rsidP="006B014E">
      <w:pPr>
        <w:spacing w:line="480" w:lineRule="auto"/>
        <w:rPr>
          <w:rFonts w:asciiTheme="majorBidi" w:hAnsiTheme="majorBidi" w:cstheme="majorBidi"/>
        </w:rPr>
      </w:pPr>
      <w:r w:rsidRPr="00EE4DEF">
        <w:rPr>
          <w:rFonts w:asciiTheme="majorBidi" w:hAnsiTheme="majorBidi" w:cstheme="majorBidi"/>
        </w:rPr>
        <w:t>JSN: Joint space narrowing, NASS: Non-acceptable symptomatic state, OAI: Osteoarthritis initiative, QA: Quality assessment.</w:t>
      </w:r>
    </w:p>
    <w:p w14:paraId="35B29E97" w14:textId="77777777" w:rsidR="006B014E" w:rsidRPr="00EE4DEF" w:rsidRDefault="006B014E" w:rsidP="006B014E">
      <w:pPr>
        <w:spacing w:line="480" w:lineRule="auto"/>
        <w:rPr>
          <w:rFonts w:asciiTheme="majorBidi" w:hAnsiTheme="majorBidi" w:cstheme="majorBidi"/>
        </w:rPr>
      </w:pPr>
      <w:r w:rsidRPr="00EE4DEF">
        <w:rPr>
          <w:rFonts w:asciiTheme="majorBidi" w:hAnsiTheme="majorBidi" w:cstheme="majorBidi"/>
        </w:rPr>
        <w:br w:type="column"/>
      </w:r>
      <w:r w:rsidRPr="00EE4DEF">
        <w:rPr>
          <w:rFonts w:asciiTheme="majorBidi" w:hAnsiTheme="majorBidi" w:cstheme="majorBidi"/>
          <w:b/>
          <w:bCs/>
        </w:rPr>
        <w:lastRenderedPageBreak/>
        <w:t xml:space="preserve">Table S2. </w:t>
      </w:r>
      <w:r w:rsidRPr="00EE4DEF">
        <w:rPr>
          <w:rFonts w:asciiTheme="majorBidi" w:hAnsiTheme="majorBidi" w:cstheme="majorBidi"/>
        </w:rPr>
        <w:t>Percentage of missing data of the covariate included in the multiple imputations and PS-matching methods</w:t>
      </w:r>
    </w:p>
    <w:tbl>
      <w:tblPr>
        <w:tblW w:w="6708" w:type="dxa"/>
        <w:tblLayout w:type="fixed"/>
        <w:tblLook w:val="04A0" w:firstRow="1" w:lastRow="0" w:firstColumn="1" w:lastColumn="0" w:noHBand="0" w:noVBand="1"/>
      </w:tblPr>
      <w:tblGrid>
        <w:gridCol w:w="4770"/>
        <w:gridCol w:w="1938"/>
      </w:tblGrid>
      <w:tr w:rsidR="006B014E" w:rsidRPr="00EE4DEF" w14:paraId="07A6525A" w14:textId="77777777" w:rsidTr="0087754E">
        <w:trPr>
          <w:trHeight w:val="143"/>
        </w:trPr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ADE26" w14:textId="77777777" w:rsidR="006B014E" w:rsidRPr="00EE4DEF" w:rsidRDefault="006B014E" w:rsidP="0087754E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Variables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922BC" w14:textId="77777777" w:rsidR="006B014E" w:rsidRPr="00EE4DEF" w:rsidRDefault="006B014E" w:rsidP="0087754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DE54DD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Missing</w:t>
            </w:r>
            <w:r w:rsidRPr="005D26C2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 %</w:t>
            </w:r>
          </w:p>
        </w:tc>
      </w:tr>
      <w:tr w:rsidR="006B014E" w:rsidRPr="00EE4DEF" w14:paraId="7987CEF9" w14:textId="77777777" w:rsidTr="0087754E">
        <w:trPr>
          <w:trHeight w:val="32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2B20830" w14:textId="77777777" w:rsidR="006B014E" w:rsidRPr="00EE4DEF" w:rsidRDefault="006B014E" w:rsidP="0087754E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Subject characteristics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2F0C379" w14:textId="77777777" w:rsidR="006B014E" w:rsidRPr="00EE4DEF" w:rsidRDefault="006B014E" w:rsidP="0087754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6B014E" w:rsidRPr="00EE4DEF" w14:paraId="78769F1C" w14:textId="77777777" w:rsidTr="0087754E">
        <w:trPr>
          <w:trHeight w:val="32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C1460" w14:textId="77777777" w:rsidR="006B014E" w:rsidRPr="00EE4DEF" w:rsidRDefault="006B014E" w:rsidP="0087754E">
            <w:pPr>
              <w:spacing w:line="276" w:lineRule="auto"/>
              <w:ind w:left="258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Age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92B2" w14:textId="77777777" w:rsidR="006B014E" w:rsidRPr="00EE4DEF" w:rsidRDefault="006B014E" w:rsidP="0087754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0.00%</w:t>
            </w:r>
          </w:p>
        </w:tc>
      </w:tr>
      <w:tr w:rsidR="006B014E" w:rsidRPr="00EE4DEF" w14:paraId="7AD9CD9A" w14:textId="77777777" w:rsidTr="0087754E">
        <w:trPr>
          <w:trHeight w:val="32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2FD50" w14:textId="77777777" w:rsidR="006B014E" w:rsidRPr="00EE4DEF" w:rsidRDefault="006B014E" w:rsidP="0087754E">
            <w:pPr>
              <w:spacing w:line="276" w:lineRule="auto"/>
              <w:ind w:left="258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No. of women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E7EA" w14:textId="77777777" w:rsidR="006B014E" w:rsidRPr="00EE4DEF" w:rsidRDefault="006B014E" w:rsidP="0087754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0.00%</w:t>
            </w:r>
          </w:p>
        </w:tc>
      </w:tr>
      <w:tr w:rsidR="006B014E" w:rsidRPr="00EE4DEF" w14:paraId="6E907A88" w14:textId="77777777" w:rsidTr="0087754E">
        <w:trPr>
          <w:trHeight w:val="32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185BC" w14:textId="77777777" w:rsidR="006B014E" w:rsidRPr="00EE4DEF" w:rsidRDefault="006B014E" w:rsidP="0087754E">
            <w:pPr>
              <w:spacing w:line="276" w:lineRule="auto"/>
              <w:ind w:left="258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Race, non-white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2949" w14:textId="77777777" w:rsidR="006B014E" w:rsidRPr="00EE4DEF" w:rsidRDefault="006B014E" w:rsidP="0087754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0.07%</w:t>
            </w:r>
          </w:p>
        </w:tc>
      </w:tr>
      <w:tr w:rsidR="006B014E" w:rsidRPr="00EE4DEF" w14:paraId="4BAE8951" w14:textId="77777777" w:rsidTr="0087754E">
        <w:trPr>
          <w:trHeight w:val="32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37B9A945" w14:textId="77777777" w:rsidR="006B014E" w:rsidRPr="00EE4DEF" w:rsidRDefault="006B014E" w:rsidP="0087754E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Comorbidities and Risk factors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89F8B43" w14:textId="77777777" w:rsidR="006B014E" w:rsidRPr="00EE4DEF" w:rsidRDefault="006B014E" w:rsidP="0087754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6B014E" w:rsidRPr="00EE4DEF" w14:paraId="03B692B7" w14:textId="77777777" w:rsidTr="0087754E">
        <w:trPr>
          <w:trHeight w:val="32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6CB8F" w14:textId="77777777" w:rsidR="006B014E" w:rsidRPr="00EE4DEF" w:rsidRDefault="006B014E" w:rsidP="0087754E">
            <w:pPr>
              <w:spacing w:line="276" w:lineRule="auto"/>
              <w:ind w:left="258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PASE score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EC57" w14:textId="77777777" w:rsidR="006B014E" w:rsidRPr="00EE4DEF" w:rsidRDefault="006B014E" w:rsidP="0087754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0.55%</w:t>
            </w:r>
          </w:p>
        </w:tc>
      </w:tr>
      <w:tr w:rsidR="006B014E" w:rsidRPr="00EE4DEF" w14:paraId="660922CA" w14:textId="77777777" w:rsidTr="0087754E">
        <w:trPr>
          <w:trHeight w:val="32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71714" w14:textId="77777777" w:rsidR="006B014E" w:rsidRPr="00EE4DEF" w:rsidRDefault="006B014E" w:rsidP="0087754E">
            <w:pPr>
              <w:spacing w:line="276" w:lineRule="auto"/>
              <w:ind w:left="258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BMI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0E45" w14:textId="77777777" w:rsidR="006B014E" w:rsidRPr="00EE4DEF" w:rsidRDefault="006B014E" w:rsidP="0087754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0.10%</w:t>
            </w:r>
          </w:p>
        </w:tc>
      </w:tr>
      <w:tr w:rsidR="006B014E" w:rsidRPr="00EE4DEF" w14:paraId="2F49DC66" w14:textId="77777777" w:rsidTr="0087754E">
        <w:trPr>
          <w:trHeight w:val="351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8824B" w14:textId="77777777" w:rsidR="006B014E" w:rsidRPr="00EE4DEF" w:rsidRDefault="006B014E" w:rsidP="0087754E">
            <w:pPr>
              <w:spacing w:line="276" w:lineRule="auto"/>
              <w:ind w:left="258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Abdominal (central) obesity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21BC" w14:textId="77777777" w:rsidR="006B014E" w:rsidRPr="00EE4DEF" w:rsidRDefault="006B014E" w:rsidP="0087754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0.21%</w:t>
            </w:r>
          </w:p>
        </w:tc>
      </w:tr>
      <w:tr w:rsidR="006B014E" w:rsidRPr="00EE4DEF" w14:paraId="25CDAA75" w14:textId="77777777" w:rsidTr="0087754E">
        <w:trPr>
          <w:trHeight w:val="351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90A40" w14:textId="77777777" w:rsidR="006B014E" w:rsidRPr="00EE4DEF" w:rsidRDefault="006B014E" w:rsidP="0087754E">
            <w:pPr>
              <w:spacing w:line="276" w:lineRule="auto"/>
              <w:ind w:left="258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Weist circumference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B00E1" w14:textId="77777777" w:rsidR="006B014E" w:rsidRPr="00EE4DEF" w:rsidRDefault="006B014E" w:rsidP="0087754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0.21%</w:t>
            </w:r>
          </w:p>
        </w:tc>
      </w:tr>
      <w:tr w:rsidR="006B014E" w:rsidRPr="00EE4DEF" w14:paraId="4F2720B3" w14:textId="77777777" w:rsidTr="0087754E">
        <w:trPr>
          <w:trHeight w:val="351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10193" w14:textId="77777777" w:rsidR="006B014E" w:rsidRPr="00EE4DEF" w:rsidRDefault="006B014E" w:rsidP="0087754E">
            <w:pPr>
              <w:spacing w:line="276" w:lineRule="auto"/>
              <w:ind w:left="258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Alcohol use, ≥1/week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651A6" w14:textId="77777777" w:rsidR="006B014E" w:rsidRPr="00EE4DEF" w:rsidRDefault="006B014E" w:rsidP="0087754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1.16%</w:t>
            </w:r>
          </w:p>
        </w:tc>
      </w:tr>
      <w:tr w:rsidR="006B014E" w:rsidRPr="00EE4DEF" w14:paraId="5C61F5E2" w14:textId="77777777" w:rsidTr="0087754E">
        <w:trPr>
          <w:trHeight w:val="351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E533D" w14:textId="77777777" w:rsidR="006B014E" w:rsidRPr="00EE4DEF" w:rsidRDefault="006B014E" w:rsidP="0087754E">
            <w:pPr>
              <w:spacing w:line="276" w:lineRule="auto"/>
              <w:ind w:left="258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Smoking, current or past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C0754" w14:textId="77777777" w:rsidR="006B014E" w:rsidRPr="00EE4DEF" w:rsidRDefault="006B014E" w:rsidP="0087754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0.58%</w:t>
            </w:r>
          </w:p>
        </w:tc>
      </w:tr>
      <w:tr w:rsidR="006B014E" w:rsidRPr="00EE4DEF" w14:paraId="2FB45D94" w14:textId="77777777" w:rsidTr="0087754E">
        <w:trPr>
          <w:trHeight w:val="32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2CD2C" w14:textId="77777777" w:rsidR="006B014E" w:rsidRPr="00EE4DEF" w:rsidRDefault="006B014E" w:rsidP="0087754E">
            <w:pPr>
              <w:spacing w:line="276" w:lineRule="auto"/>
              <w:ind w:left="258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Diabetes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5E44F" w14:textId="77777777" w:rsidR="006B014E" w:rsidRPr="00EE4DEF" w:rsidRDefault="006B014E" w:rsidP="0087754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2.12%</w:t>
            </w:r>
          </w:p>
        </w:tc>
      </w:tr>
      <w:tr w:rsidR="006B014E" w:rsidRPr="00EE4DEF" w14:paraId="4EFAB8DB" w14:textId="77777777" w:rsidTr="0087754E">
        <w:trPr>
          <w:trHeight w:val="32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B70E" w14:textId="77777777" w:rsidR="006B014E" w:rsidRPr="00EE4DEF" w:rsidRDefault="006B014E" w:rsidP="0087754E">
            <w:pPr>
              <w:spacing w:line="276" w:lineRule="auto"/>
              <w:ind w:left="258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Malignancy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6815" w14:textId="77777777" w:rsidR="006B014E" w:rsidRPr="00EE4DEF" w:rsidRDefault="006B014E" w:rsidP="0087754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1.61%</w:t>
            </w:r>
          </w:p>
        </w:tc>
      </w:tr>
      <w:tr w:rsidR="006B014E" w:rsidRPr="00EE4DEF" w14:paraId="51AFC967" w14:textId="77777777" w:rsidTr="0087754E">
        <w:trPr>
          <w:trHeight w:val="216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2917D" w14:textId="77777777" w:rsidR="006B014E" w:rsidRPr="00EE4DEF" w:rsidRDefault="006B014E" w:rsidP="0087754E">
            <w:pPr>
              <w:spacing w:line="276" w:lineRule="auto"/>
              <w:ind w:left="258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Charlson Comorbidity score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4196A" w14:textId="77777777" w:rsidR="006B014E" w:rsidRPr="00EE4DEF" w:rsidRDefault="006B014E" w:rsidP="0087754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1.02%</w:t>
            </w:r>
          </w:p>
        </w:tc>
      </w:tr>
      <w:tr w:rsidR="006B014E" w:rsidRPr="00EE4DEF" w14:paraId="24EBA4D9" w14:textId="77777777" w:rsidTr="0087754E">
        <w:trPr>
          <w:trHeight w:val="32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E62B6" w14:textId="77777777" w:rsidR="006B014E" w:rsidRPr="00EE4DEF" w:rsidRDefault="006B014E" w:rsidP="0087754E">
            <w:pPr>
              <w:spacing w:line="276" w:lineRule="auto"/>
              <w:ind w:left="258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KL grade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C859" w14:textId="77777777" w:rsidR="006B014E" w:rsidRPr="00EE4DEF" w:rsidRDefault="006B014E" w:rsidP="0087754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0.00%</w:t>
            </w:r>
          </w:p>
        </w:tc>
      </w:tr>
      <w:tr w:rsidR="006B014E" w:rsidRPr="00EE4DEF" w14:paraId="38BC3991" w14:textId="77777777" w:rsidTr="0087754E">
        <w:trPr>
          <w:trHeight w:val="340"/>
        </w:trPr>
        <w:tc>
          <w:tcPr>
            <w:tcW w:w="47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F1FDA3E" w14:textId="77777777" w:rsidR="006B014E" w:rsidRPr="00EE4DEF" w:rsidRDefault="006B014E" w:rsidP="0087754E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Medication data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4046C52" w14:textId="77777777" w:rsidR="006B014E" w:rsidRPr="00EE4DEF" w:rsidRDefault="006B014E" w:rsidP="0087754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</w:rPr>
              <w:t>0.00%</w:t>
            </w:r>
          </w:p>
        </w:tc>
      </w:tr>
    </w:tbl>
    <w:p w14:paraId="27F936DC" w14:textId="77777777" w:rsidR="006B014E" w:rsidRPr="00EE4DEF" w:rsidRDefault="006B014E" w:rsidP="006B014E">
      <w:pPr>
        <w:spacing w:line="480" w:lineRule="auto"/>
        <w:rPr>
          <w:rFonts w:asciiTheme="majorBidi" w:hAnsiTheme="majorBidi" w:cstheme="majorBidi"/>
        </w:rPr>
      </w:pPr>
    </w:p>
    <w:p w14:paraId="1EBA5ED4" w14:textId="77777777" w:rsidR="006B014E" w:rsidRDefault="006B014E" w:rsidP="006B014E">
      <w:pPr>
        <w:spacing w:line="480" w:lineRule="auto"/>
        <w:rPr>
          <w:rFonts w:asciiTheme="majorBidi" w:hAnsiTheme="majorBidi" w:cstheme="majorBidi"/>
        </w:rPr>
        <w:sectPr w:rsidR="006B014E" w:rsidSect="00540BB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E4DEF">
        <w:rPr>
          <w:rFonts w:asciiTheme="majorBidi" w:hAnsiTheme="majorBidi" w:cstheme="majorBidi"/>
        </w:rPr>
        <w:t>BMI: Body Mass Index, COPD: Chronic Obstructive Pulmonary Disease, CVA: Cerebrovascular Accident, KL: Kellgren-Lawrence grade, PASE: Physical Activity for Elderly Scale, PS: Propensity-score.</w:t>
      </w:r>
    </w:p>
    <w:p w14:paraId="6ED4BABD" w14:textId="77777777" w:rsidR="006B014E" w:rsidRDefault="006B014E" w:rsidP="006B014E">
      <w:pPr>
        <w:pStyle w:val="Caption"/>
        <w:keepNext/>
        <w:spacing w:line="480" w:lineRule="auto"/>
        <w:rPr>
          <w:rFonts w:asciiTheme="majorBidi" w:eastAsia="Times New Roman" w:hAnsiTheme="majorBidi" w:cstheme="majorBidi"/>
          <w:i w:val="0"/>
          <w:iCs w:val="0"/>
          <w:color w:val="auto"/>
          <w:sz w:val="24"/>
          <w:szCs w:val="24"/>
        </w:rPr>
      </w:pPr>
      <w:r w:rsidRPr="00CF6BB5"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sz w:val="24"/>
          <w:szCs w:val="24"/>
        </w:rPr>
        <w:lastRenderedPageBreak/>
        <w:t>Table S</w:t>
      </w:r>
      <w:r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sz w:val="24"/>
          <w:szCs w:val="24"/>
        </w:rPr>
        <w:t>3</w:t>
      </w:r>
      <w:r w:rsidRPr="00CF6BB5"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sz w:val="24"/>
          <w:szCs w:val="24"/>
        </w:rPr>
        <w:t>1</w:t>
      </w:r>
      <w:r w:rsidRPr="00CF6BB5"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5B2A04">
        <w:t xml:space="preserve"> </w:t>
      </w:r>
      <w:r w:rsidRPr="00E20BFE">
        <w:rPr>
          <w:rFonts w:asciiTheme="majorBidi" w:eastAsia="Times New Roman" w:hAnsiTheme="majorBidi" w:cstheme="majorBidi"/>
          <w:i w:val="0"/>
          <w:iCs w:val="0"/>
          <w:color w:val="auto"/>
          <w:sz w:val="24"/>
          <w:szCs w:val="24"/>
        </w:rPr>
        <w:t>Baseline characteristics of participants</w:t>
      </w:r>
      <w:r>
        <w:rPr>
          <w:rFonts w:asciiTheme="majorBidi" w:eastAsia="Times New Roman" w:hAnsiTheme="majorBidi" w:cstheme="majorBidi"/>
          <w:i w:val="0"/>
          <w:iCs w:val="0"/>
          <w:color w:val="auto"/>
          <w:sz w:val="24"/>
          <w:szCs w:val="24"/>
        </w:rPr>
        <w:t xml:space="preserve"> assessed in the sensitivity analysis to inclusion of all levothyroxine users (both adherent and non-adherent </w:t>
      </w:r>
      <w:proofErr w:type="spellStart"/>
      <w:r>
        <w:rPr>
          <w:rFonts w:asciiTheme="majorBidi" w:eastAsia="Times New Roman" w:hAnsiTheme="majorBidi" w:cstheme="majorBidi"/>
          <w:i w:val="0"/>
          <w:iCs w:val="0"/>
          <w:color w:val="auto"/>
          <w:sz w:val="24"/>
          <w:szCs w:val="24"/>
        </w:rPr>
        <w:t>usres</w:t>
      </w:r>
      <w:proofErr w:type="spellEnd"/>
      <w:r>
        <w:rPr>
          <w:rFonts w:asciiTheme="majorBidi" w:eastAsia="Times New Roman" w:hAnsiTheme="majorBidi" w:cstheme="majorBidi"/>
          <w:i w:val="0"/>
          <w:iCs w:val="0"/>
          <w:color w:val="auto"/>
          <w:sz w:val="24"/>
          <w:szCs w:val="24"/>
        </w:rPr>
        <w:t>)</w:t>
      </w:r>
      <w:r w:rsidRPr="00E20BFE">
        <w:rPr>
          <w:rFonts w:asciiTheme="majorBidi" w:eastAsia="Times New Roman" w:hAnsiTheme="majorBidi" w:cstheme="majorBidi"/>
          <w:i w:val="0"/>
          <w:iCs w:val="0"/>
          <w:color w:val="auto"/>
          <w:sz w:val="24"/>
          <w:szCs w:val="24"/>
        </w:rPr>
        <w:t xml:space="preserve"> before and after propensity score matching according to levothyroxine use.</w:t>
      </w:r>
    </w:p>
    <w:tbl>
      <w:tblPr>
        <w:tblW w:w="13385" w:type="dxa"/>
        <w:tblLayout w:type="fixed"/>
        <w:tblLook w:val="04A0" w:firstRow="1" w:lastRow="0" w:firstColumn="1" w:lastColumn="0" w:noHBand="0" w:noVBand="1"/>
      </w:tblPr>
      <w:tblGrid>
        <w:gridCol w:w="4140"/>
        <w:gridCol w:w="180"/>
        <w:gridCol w:w="1980"/>
        <w:gridCol w:w="58"/>
        <w:gridCol w:w="6"/>
        <w:gridCol w:w="1646"/>
        <w:gridCol w:w="1170"/>
        <w:gridCol w:w="270"/>
        <w:gridCol w:w="1620"/>
        <w:gridCol w:w="90"/>
        <w:gridCol w:w="1260"/>
        <w:gridCol w:w="180"/>
        <w:gridCol w:w="778"/>
        <w:gridCol w:w="7"/>
      </w:tblGrid>
      <w:tr w:rsidR="006B014E" w:rsidRPr="00ED3D01" w14:paraId="0165C074" w14:textId="77777777" w:rsidTr="00CC11A8">
        <w:trPr>
          <w:gridAfter w:val="1"/>
          <w:wAfter w:w="7" w:type="dxa"/>
          <w:trHeight w:val="330"/>
        </w:trPr>
        <w:tc>
          <w:tcPr>
            <w:tcW w:w="41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C8B0" w14:textId="77777777" w:rsidR="006B014E" w:rsidRPr="00ED3D01" w:rsidRDefault="006B014E" w:rsidP="0087754E">
            <w:pPr>
              <w:rPr>
                <w:rFonts w:ascii="Calibri" w:eastAsia="Times New Roman" w:hAnsi="Calibri" w:cs="Calibri"/>
                <w:color w:val="000000"/>
              </w:rPr>
            </w:pPr>
            <w:r w:rsidRPr="00ED3D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238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BF4A8" w14:textId="77777777" w:rsidR="006B014E" w:rsidRPr="00ED3D01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OAI participants without KOA (KL&lt;2)</w:t>
            </w:r>
          </w:p>
        </w:tc>
      </w:tr>
      <w:tr w:rsidR="006B014E" w:rsidRPr="00ED3D01" w14:paraId="1BCB4670" w14:textId="77777777" w:rsidTr="00CC11A8">
        <w:trPr>
          <w:trHeight w:val="33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D983" w14:textId="77777777" w:rsidR="006B014E" w:rsidRPr="00ED3D01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95958" w14:textId="77777777" w:rsidR="006B014E" w:rsidRPr="00ED3D01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All participants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79B5" w14:textId="77777777" w:rsidR="006B014E" w:rsidRPr="00ED3D01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EE71" w14:textId="77777777" w:rsidR="006B014E" w:rsidRPr="00ED3D01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5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4F25" w14:textId="77777777" w:rsidR="006B014E" w:rsidRPr="00ED3D01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PS-matched participants</w:t>
            </w:r>
          </w:p>
        </w:tc>
      </w:tr>
      <w:tr w:rsidR="006B014E" w:rsidRPr="00ED3D01" w14:paraId="49731D64" w14:textId="77777777" w:rsidTr="00CC11A8">
        <w:trPr>
          <w:trHeight w:val="58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043D" w14:textId="77777777" w:rsidR="006B014E" w:rsidRPr="00ED3D01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6171EC" w14:textId="77777777" w:rsidR="006B014E" w:rsidRPr="00ED3D01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Levothyroxine non-users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5C5BCD" w14:textId="0BCBB5ED" w:rsidR="006B014E" w:rsidRPr="00ED3D01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All </w:t>
            </w: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Levothyroxin</w:t>
            </w:r>
            <w:r w:rsidR="00CC1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e </w:t>
            </w: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users*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A50E" w14:textId="77777777" w:rsidR="006B014E" w:rsidRPr="00ED3D01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0545" w14:textId="77777777" w:rsidR="006B014E" w:rsidRPr="00ED3D01" w:rsidRDefault="006B014E" w:rsidP="008775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65F338" w14:textId="77777777" w:rsidR="006B014E" w:rsidRPr="00ED3D01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Levothyroxine non-users</w:t>
            </w:r>
          </w:p>
        </w:tc>
        <w:tc>
          <w:tcPr>
            <w:tcW w:w="15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308C4E" w14:textId="7F53829F" w:rsidR="006B014E" w:rsidRPr="00ED3D01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All </w:t>
            </w: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Levothyroxin</w:t>
            </w:r>
            <w:r w:rsidR="00CC1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e </w:t>
            </w: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users*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4175" w14:textId="77777777" w:rsidR="006B014E" w:rsidRPr="00ED3D01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014E" w:rsidRPr="00ED3D01" w14:paraId="10F48D4A" w14:textId="77777777" w:rsidTr="00CC11A8">
        <w:trPr>
          <w:trHeight w:val="330"/>
        </w:trPr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B50C7" w14:textId="77777777" w:rsidR="006B014E" w:rsidRPr="00ED3D01" w:rsidRDefault="006B014E" w:rsidP="0087754E">
            <w:pPr>
              <w:rPr>
                <w:rFonts w:ascii="Calibri" w:eastAsia="Times New Roman" w:hAnsi="Calibri" w:cs="Calibri"/>
                <w:color w:val="000000"/>
              </w:rPr>
            </w:pPr>
            <w:r w:rsidRPr="00ED3D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E96DF1F" w14:textId="77777777" w:rsidR="006B014E" w:rsidRPr="00873FF7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sz w:val="22"/>
                <w:szCs w:val="22"/>
              </w:rPr>
              <w:t>N: 2586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CFA99A0" w14:textId="77777777" w:rsidR="006B014E" w:rsidRPr="00873FF7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sz w:val="22"/>
                <w:szCs w:val="22"/>
              </w:rPr>
              <w:t>N: 379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4E48883" w14:textId="77777777" w:rsidR="006B014E" w:rsidRPr="00873FF7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SMD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E55C6F5" w14:textId="77777777" w:rsidR="006B014E" w:rsidRPr="00873FF7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BBE75C6" w14:textId="77777777" w:rsidR="006B014E" w:rsidRPr="00873FF7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sz w:val="22"/>
                <w:szCs w:val="22"/>
              </w:rPr>
              <w:t>N: 991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4B925CA" w14:textId="77777777" w:rsidR="006B014E" w:rsidRPr="00873FF7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sz w:val="22"/>
                <w:szCs w:val="22"/>
              </w:rPr>
              <w:t>N: 357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DEB8FB3" w14:textId="77777777" w:rsidR="006B014E" w:rsidRPr="00873FF7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SMD</w:t>
            </w:r>
          </w:p>
        </w:tc>
      </w:tr>
      <w:tr w:rsidR="006B014E" w:rsidRPr="00ED3D01" w14:paraId="5AF6012E" w14:textId="77777777" w:rsidTr="00CC11A8">
        <w:trPr>
          <w:trHeight w:val="330"/>
        </w:trPr>
        <w:tc>
          <w:tcPr>
            <w:tcW w:w="635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0DCF965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Demographic characteristics (included in the matching)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858634C" w14:textId="77777777" w:rsidR="006B014E" w:rsidRPr="00ED3D01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1E618A6" w14:textId="77777777" w:rsidR="006B014E" w:rsidRPr="00ED3D01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34C816E" w14:textId="77777777" w:rsidR="006B014E" w:rsidRPr="00ED3D01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90E2CBC" w14:textId="77777777" w:rsidR="006B014E" w:rsidRPr="00ED3D01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FD6DE9F" w14:textId="77777777" w:rsidR="006B014E" w:rsidRPr="00ED3D01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12747B1" w14:textId="77777777" w:rsidR="006B014E" w:rsidRPr="00ED3D01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B014E" w:rsidRPr="00ED3D01" w14:paraId="6709D442" w14:textId="77777777" w:rsidTr="00CC11A8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81E2D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Age (year) [mean (SD)]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68D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59.23 (8.99)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8DF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62.09 (8.56)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2DB9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0.326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1E8BF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DFB8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60.88 (8.94)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8B1C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61.34 (8.19)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6EE9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0.054</w:t>
            </w:r>
          </w:p>
        </w:tc>
      </w:tr>
      <w:tr w:rsidR="006B014E" w:rsidRPr="00ED3D01" w14:paraId="7ECD2CDE" w14:textId="77777777" w:rsidTr="00CC11A8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0CC4D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No. of women [N (%)]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AE7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1343 (51.9)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EFD0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296 (78.1)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E8D0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0.571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3CC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16C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747 (75.4)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8A0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274 (76.8)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A999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0.032</w:t>
            </w:r>
          </w:p>
        </w:tc>
      </w:tr>
      <w:tr w:rsidR="006B014E" w:rsidRPr="00ED3D01" w14:paraId="0777F044" w14:textId="77777777" w:rsidTr="00CC11A8">
        <w:trPr>
          <w:trHeight w:val="330"/>
        </w:trPr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3F3C22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Race, non-white [N (%)] </w:t>
            </w: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†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2A50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425 (16.4)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15AED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 (7.4)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A1316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0.282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AF66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C9FB8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 (9.0)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833C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 (7.8)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83722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0.041</w:t>
            </w:r>
          </w:p>
        </w:tc>
      </w:tr>
      <w:tr w:rsidR="00CC11A8" w:rsidRPr="00ED3D01" w14:paraId="4590FD18" w14:textId="77777777" w:rsidTr="00CC11A8">
        <w:trPr>
          <w:trHeight w:val="600"/>
        </w:trPr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F491D2C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Comorbidities and risk factors (included in the matching)</w:t>
            </w:r>
            <w:r w:rsidRPr="00ED3D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 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2F0EADD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13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F6EFDD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13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00E28D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13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A413E89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13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408C85D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13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FFB734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13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C8215F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13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B014E" w:rsidRPr="00ED3D01" w14:paraId="5D719C87" w14:textId="77777777" w:rsidTr="00CC11A8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A582F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PASE score [mean (SD)]</w:t>
            </w:r>
            <w:r w:rsidRPr="00ED3D0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F471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170.96 (81.80)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6612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156.51 (85.19)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A446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0.173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BBD8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F999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160.39 (75.34)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6242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159.22 (85.87)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6B99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0.014</w:t>
            </w:r>
          </w:p>
        </w:tc>
      </w:tr>
      <w:tr w:rsidR="006B014E" w:rsidRPr="00ED3D01" w14:paraId="565C2006" w14:textId="77777777" w:rsidTr="00CC11A8">
        <w:trPr>
          <w:trHeight w:val="33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EDFFA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BMI (kg/m</w:t>
            </w: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 [mean (SD)]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5A1B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27.49 (4.37)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80F1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27.01 (4.27)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9429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D76B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D44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27.05 (4.51)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684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27.12 (4.23)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613B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0.015</w:t>
            </w:r>
          </w:p>
        </w:tc>
      </w:tr>
      <w:tr w:rsidR="006B014E" w:rsidRPr="00ED3D01" w14:paraId="68B5833A" w14:textId="77777777" w:rsidTr="00CC11A8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56F4E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Abdominal (central) obesity [N (%)] </w:t>
            </w:r>
            <w:r w:rsidRPr="00ED3D01">
              <w:rPr>
                <w:rFonts w:ascii="Times New Roman" w:eastAsia="Times New Roman" w:hAnsi="Times New Roman" w:cs="Times New Roman"/>
                <w:color w:val="000000"/>
              </w:rPr>
              <w:t>§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BD71B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1586 (61.3)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0380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281 (74.1)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ED10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0.277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550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E42F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712 (71.8)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C0B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260 (72.8)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AD3C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0.022</w:t>
            </w:r>
          </w:p>
        </w:tc>
      </w:tr>
      <w:tr w:rsidR="006B014E" w:rsidRPr="00ED3D01" w14:paraId="0607AD68" w14:textId="77777777" w:rsidTr="00CC11A8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83D43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Weist circumference (cm) [mean (SD)]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F59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99.38 (12.37)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F81F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99.17 (12.74)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2906F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BDA1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6920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98.95 (13.15)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9D11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99.17 (12.94)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4116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0.017</w:t>
            </w:r>
          </w:p>
        </w:tc>
      </w:tr>
      <w:tr w:rsidR="006B014E" w:rsidRPr="00ED3D01" w14:paraId="323CBD1F" w14:textId="77777777" w:rsidTr="00CC11A8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41C09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Alcohol use, ≥1/week [N (%)]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7A62" w14:textId="77777777" w:rsidR="006B014E" w:rsidRPr="0071333E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D7D8" w14:textId="77777777" w:rsidR="006B014E" w:rsidRPr="00E74841" w:rsidRDefault="006B014E" w:rsidP="0087754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55EF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6AD9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C314" w14:textId="77777777" w:rsidR="006B014E" w:rsidRPr="00E74841" w:rsidRDefault="006B014E" w:rsidP="0087754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096BD" w14:textId="77777777" w:rsidR="006B014E" w:rsidRPr="00E74841" w:rsidRDefault="006B014E" w:rsidP="0087754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C941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0.065</w:t>
            </w:r>
          </w:p>
        </w:tc>
      </w:tr>
      <w:tr w:rsidR="006B014E" w:rsidRPr="00ED3D01" w14:paraId="1DCEE2E5" w14:textId="77777777" w:rsidTr="00CC11A8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0276D" w14:textId="77777777" w:rsidR="006B014E" w:rsidRPr="00ED3D01" w:rsidRDefault="006B014E" w:rsidP="0087754E">
            <w:pPr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&lt;1 drink/</w:t>
            </w:r>
            <w:proofErr w:type="spellStart"/>
            <w:r w:rsidRPr="00ED3D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wk</w:t>
            </w:r>
            <w:proofErr w:type="spellEnd"/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6048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1424 (55.1)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8246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 (53.3)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8248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EF9A" w14:textId="77777777" w:rsidR="006B014E" w:rsidRPr="00E74841" w:rsidRDefault="006B014E" w:rsidP="0087754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D312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536 (54.1)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1136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196 (54.9)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1CE1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B014E" w:rsidRPr="00ED3D01" w14:paraId="2C2F1F3C" w14:textId="77777777" w:rsidTr="00CC11A8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3281C" w14:textId="77777777" w:rsidR="006B014E" w:rsidRPr="00ED3D01" w:rsidRDefault="006B014E" w:rsidP="0087754E">
            <w:pPr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1-3 drinks/</w:t>
            </w:r>
            <w:proofErr w:type="spellStart"/>
            <w:r w:rsidRPr="00ED3D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wk</w:t>
            </w:r>
            <w:proofErr w:type="spellEnd"/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8780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445 (17.2)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8FE5B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 (15.3)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E67D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25F3" w14:textId="77777777" w:rsidR="006B014E" w:rsidRPr="00E74841" w:rsidRDefault="006B014E" w:rsidP="0087754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9B4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141 (14.2)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5E2F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 (16.0)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332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B014E" w:rsidRPr="00ED3D01" w14:paraId="30880101" w14:textId="77777777" w:rsidTr="00CC11A8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DFFE3" w14:textId="77777777" w:rsidR="006B014E" w:rsidRPr="00ED3D01" w:rsidRDefault="006B014E" w:rsidP="0087754E">
            <w:pPr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4-7 drinks/</w:t>
            </w:r>
            <w:proofErr w:type="spellStart"/>
            <w:r w:rsidRPr="00ED3D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wk</w:t>
            </w:r>
            <w:proofErr w:type="spellEnd"/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7F0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379 (14.7)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22E3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 (16.6)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4066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4C0A" w14:textId="77777777" w:rsidR="006B014E" w:rsidRPr="00E74841" w:rsidRDefault="006B014E" w:rsidP="0087754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044F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 (16.8)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1B1A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 (15.4)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6419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B014E" w:rsidRPr="00ED3D01" w14:paraId="3C8F03C5" w14:textId="77777777" w:rsidTr="00CC11A8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B5FBF" w14:textId="77777777" w:rsidR="006B014E" w:rsidRPr="00ED3D01" w:rsidRDefault="006B014E" w:rsidP="0087754E">
            <w:pPr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≥</w:t>
            </w:r>
            <w:r w:rsidRPr="00ED3D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 drinks/</w:t>
            </w:r>
            <w:proofErr w:type="spellStart"/>
            <w:r w:rsidRPr="00ED3D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wk</w:t>
            </w:r>
            <w:proofErr w:type="spellEnd"/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212B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338 (13.1)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2EFD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 (14.8)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5483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ECB3" w14:textId="77777777" w:rsidR="006B014E" w:rsidRPr="00E74841" w:rsidRDefault="006B014E" w:rsidP="0087754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67F6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 (14.9)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03DC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 (13.7)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F14D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B014E" w:rsidRPr="00ED3D01" w14:paraId="309B524D" w14:textId="77777777" w:rsidTr="00CC11A8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06C84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Smoking, current or past [N (%)]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D68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1148 (44.4)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B2F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159 (42.0)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70D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C4E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73A3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457 (46.1)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042A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 (42.0)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91D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0.083</w:t>
            </w:r>
          </w:p>
        </w:tc>
      </w:tr>
      <w:tr w:rsidR="006B014E" w:rsidRPr="00ED3D01" w14:paraId="106456CD" w14:textId="77777777" w:rsidTr="00CC11A8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171C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Diabetes [N (%)]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5D6C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147 (5.7)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C052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 (6.6)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B339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7CB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EF97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 (5.9)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BED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 (6.4)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A26ED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0.025</w:t>
            </w:r>
          </w:p>
        </w:tc>
      </w:tr>
      <w:tr w:rsidR="006B014E" w:rsidRPr="00ED3D01" w14:paraId="1E118EE8" w14:textId="77777777" w:rsidTr="00CC11A8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9DF5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Malignancy [N (%)]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B5A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82 (3.2)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3550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 (2.4)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04A6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0BD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8E59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 (2.8)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A700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 (2.5)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8D7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0.019</w:t>
            </w:r>
          </w:p>
        </w:tc>
      </w:tr>
      <w:tr w:rsidR="006B014E" w:rsidRPr="00ED3D01" w14:paraId="573A9777" w14:textId="77777777" w:rsidTr="00CC11A8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261C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Charlson Comorbidity score [mean (SD)]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D31F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 (0.84)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02A9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0.34 (0.69)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E24A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0302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1A32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0.37 (0.88)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F263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0.34 (0.70)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B47B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0.042</w:t>
            </w:r>
          </w:p>
        </w:tc>
      </w:tr>
      <w:tr w:rsidR="006B014E" w:rsidRPr="00ED3D01" w14:paraId="2C98F37F" w14:textId="77777777" w:rsidTr="00CC11A8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A6B0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KL grade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, grade 1</w:t>
            </w: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[N (%)]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B4C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796 (30.8)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413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109 (28.8)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AB7D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8439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83FD3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291 (29.4)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2F3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107 (30.0)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EEE0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0.013</w:t>
            </w:r>
          </w:p>
        </w:tc>
      </w:tr>
      <w:tr w:rsidR="006B014E" w:rsidRPr="00ED3D01" w14:paraId="3BCF02DE" w14:textId="77777777" w:rsidTr="00CC11A8">
        <w:trPr>
          <w:trHeight w:val="330"/>
        </w:trPr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C22D1A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Knee injury [N (%)]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8E960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602 (23.3)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E0B26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 (19.8)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EAAB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0.085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7F65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22281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197 (19.9)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259A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 (20.4)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60448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0.014</w:t>
            </w:r>
          </w:p>
        </w:tc>
      </w:tr>
      <w:tr w:rsidR="00CC11A8" w:rsidRPr="00ED3D01" w14:paraId="26923620" w14:textId="77777777" w:rsidTr="00CC11A8">
        <w:trPr>
          <w:trHeight w:val="330"/>
        </w:trPr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FADC7C8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Medications (included in the matching)</w:t>
            </w:r>
            <w:r w:rsidRPr="00ED3D0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 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8D601ED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13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5149266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333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14140D3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333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F60BC7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333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D2AE49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333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1905A02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333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9D9E0CF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333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B014E" w:rsidRPr="00ED3D01" w14:paraId="64B6FFFC" w14:textId="77777777" w:rsidTr="00CC11A8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323B2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Lipid-lowering drug [N (%)]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34BD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670 (25.9)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FEAB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114 (30.1)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AEF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8F66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FDD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275 (27.7)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0D60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106 (29.7)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07C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0.043</w:t>
            </w:r>
          </w:p>
        </w:tc>
      </w:tr>
      <w:tr w:rsidR="006B014E" w:rsidRPr="00ED3D01" w14:paraId="5CFB69BE" w14:textId="77777777" w:rsidTr="00CC11A8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4435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NSAID [N (%)]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810A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324 (12.5)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4A06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 (17.7)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CFE0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0.144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9C6B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78C2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149 (15.0)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73A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 (17.6)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C5CF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0.071</w:t>
            </w:r>
          </w:p>
        </w:tc>
      </w:tr>
      <w:tr w:rsidR="006B014E" w:rsidRPr="00ED3D01" w14:paraId="33D18208" w14:textId="77777777" w:rsidTr="00CC11A8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8C2B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Aspirin [N (%)]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27EA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78 (3.0)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EAC3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 (3.2)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21DD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1220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C0C66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 (3.5)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766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 (3.4)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177B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0.009</w:t>
            </w:r>
          </w:p>
        </w:tc>
      </w:tr>
      <w:tr w:rsidR="006B014E" w:rsidRPr="00ED3D01" w14:paraId="5C5704E0" w14:textId="77777777" w:rsidTr="00CC11A8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372A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Systemic corticosteroid [N (%)]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F9F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269 (10.4)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129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 (15.6)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AB2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0.154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ECE2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B5B5D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128 (12.9)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E0A3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 (14.0)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D5F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0.032</w:t>
            </w:r>
          </w:p>
        </w:tc>
      </w:tr>
      <w:tr w:rsidR="006B014E" w:rsidRPr="00ED3D01" w14:paraId="56878BE6" w14:textId="77777777" w:rsidTr="00CC11A8">
        <w:trPr>
          <w:trHeight w:val="33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DC4C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Antineoplastic agents [N (%)]</w:t>
            </w:r>
          </w:p>
        </w:tc>
        <w:tc>
          <w:tcPr>
            <w:tcW w:w="2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F7B3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 (2.0)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4852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 (2.1)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57C3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DC36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CD92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 (1.4)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3E98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 (2.2)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1DEB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0.062</w:t>
            </w:r>
          </w:p>
        </w:tc>
      </w:tr>
      <w:tr w:rsidR="006B014E" w:rsidRPr="00ED3D01" w14:paraId="1DEF9A05" w14:textId="77777777" w:rsidTr="00CC11A8">
        <w:trPr>
          <w:trHeight w:val="330"/>
        </w:trPr>
        <w:tc>
          <w:tcPr>
            <w:tcW w:w="918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90ED3FE" w14:textId="77777777" w:rsidR="006B014E" w:rsidRPr="0071333E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13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Baseline MRI biomarkers of muscle size and composition (NOT included in the </w:t>
            </w:r>
            <w:proofErr w:type="gramStart"/>
            <w:r w:rsidRPr="00713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matching)</w:t>
            </w:r>
            <w:r w:rsidRPr="0071333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  </w:t>
            </w:r>
            <w:proofErr w:type="gramEnd"/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8E77E28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13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3DF97E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13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3D43F4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13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08D75DF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13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B014E" w:rsidRPr="00ED3D01" w14:paraId="36D11D06" w14:textId="77777777" w:rsidTr="00CC11A8">
        <w:trPr>
          <w:gridAfter w:val="1"/>
          <w:wAfter w:w="7" w:type="dxa"/>
          <w:trHeight w:val="315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47987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Quadriceps CSA (mm2) [mean (SD)]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DD00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5202.00 (1427.10)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223C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4633.35 (1219.07)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64CF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0.428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53B6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1FFF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4676.12 (1194.57)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39EC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4702.26 (1208.11)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60D19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0.022</w:t>
            </w:r>
          </w:p>
        </w:tc>
      </w:tr>
      <w:tr w:rsidR="006B014E" w:rsidRPr="00ED3D01" w14:paraId="5F9264A3" w14:textId="77777777" w:rsidTr="00CC11A8">
        <w:trPr>
          <w:gridAfter w:val="1"/>
          <w:wAfter w:w="7" w:type="dxa"/>
          <w:trHeight w:val="315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337B7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Quadriceps Intra-MAT CSA (mm2) [mean (SD)]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145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151.36 (111.76)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060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149.79 (115.86)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31DC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989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BB1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144.92 (114.58)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3FF2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152.05 (117.94)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FCC8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0.061</w:t>
            </w:r>
          </w:p>
        </w:tc>
      </w:tr>
      <w:tr w:rsidR="006B014E" w:rsidRPr="00ED3D01" w14:paraId="796F3730" w14:textId="77777777" w:rsidTr="00CC11A8">
        <w:trPr>
          <w:gridAfter w:val="1"/>
          <w:wAfter w:w="7" w:type="dxa"/>
          <w:trHeight w:val="315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BB535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Quadriceps contractile % [mean (SD)]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6CA0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96.99 (2.29)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FCB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96.73 (2.36)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89A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22FA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DF30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96.85 (2.38)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EC68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96.73 (2.38)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45EC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0.049</w:t>
            </w:r>
          </w:p>
        </w:tc>
      </w:tr>
      <w:tr w:rsidR="006B014E" w:rsidRPr="00ED3D01" w14:paraId="7BD79DD0" w14:textId="77777777" w:rsidTr="00CC11A8">
        <w:trPr>
          <w:gridAfter w:val="1"/>
          <w:wAfter w:w="7" w:type="dxa"/>
          <w:trHeight w:val="315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51F14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Flexors CSA (mm2) [mean (SD)]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18C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3253.49 (859.67)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8F2B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2923.55 (762.86)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5A0A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0.406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D6F3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ED4A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2954.56 (734.48)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EE8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2957.02 (768.73)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5ED3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</w:t>
            </w:r>
          </w:p>
        </w:tc>
      </w:tr>
      <w:tr w:rsidR="006B014E" w:rsidRPr="00ED3D01" w14:paraId="70C104D7" w14:textId="77777777" w:rsidTr="00CC11A8">
        <w:trPr>
          <w:gridAfter w:val="1"/>
          <w:wAfter w:w="7" w:type="dxa"/>
          <w:trHeight w:val="315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E3A9D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Flexors Intra-MAT CSA (mm2) [mean (SD)]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4AD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143.04 (120.18)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D21C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139.47 (100.40)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3D23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2DB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F88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138.99 (140.16)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3E58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139.70 (102.20)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6DA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0.006</w:t>
            </w:r>
          </w:p>
        </w:tc>
      </w:tr>
      <w:tr w:rsidR="006B014E" w:rsidRPr="00ED3D01" w14:paraId="1C0EE5DD" w14:textId="77777777" w:rsidTr="00CC11A8">
        <w:trPr>
          <w:gridAfter w:val="1"/>
          <w:wAfter w:w="7" w:type="dxa"/>
          <w:trHeight w:val="315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3AB42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Flexors contractile % [mean (SD)]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DE642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95.56 (3.52)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3F4D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95.28 (2.95)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5832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4D3C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ACD3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95.32 (4.23)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CCB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95.34 (2.96)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FC1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0.006</w:t>
            </w:r>
          </w:p>
        </w:tc>
      </w:tr>
      <w:tr w:rsidR="006B014E" w:rsidRPr="00ED3D01" w14:paraId="0ADCDE43" w14:textId="77777777" w:rsidTr="00CC11A8">
        <w:trPr>
          <w:gridAfter w:val="1"/>
          <w:wAfter w:w="7" w:type="dxa"/>
          <w:trHeight w:val="315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51665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Adductors CSA (mm2) [mean (SD)]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E2A1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1166.13 (599.35)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0E5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1081.59 (554.88)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CD8A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0.146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E7D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2D73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1103.98 (534.19)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941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1091.69 (561.22)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B468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0.022</w:t>
            </w:r>
          </w:p>
        </w:tc>
      </w:tr>
      <w:tr w:rsidR="006B014E" w:rsidRPr="00ED3D01" w14:paraId="4BF5629E" w14:textId="77777777" w:rsidTr="00CC11A8">
        <w:trPr>
          <w:gridAfter w:val="1"/>
          <w:wAfter w:w="7" w:type="dxa"/>
          <w:trHeight w:val="315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77A25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Adductors Intra-MAT CSA (mm2) [mean (SD)]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B410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59.33 (45.01)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7C6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55.94 (41.09)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D31C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9749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BB9C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56.49 (44.63)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45AF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56.15 (41.91)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27A3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0.008</w:t>
            </w:r>
          </w:p>
        </w:tc>
      </w:tr>
      <w:tr w:rsidR="006B014E" w:rsidRPr="00ED3D01" w14:paraId="34EACB94" w14:textId="77777777" w:rsidTr="00CC11A8">
        <w:trPr>
          <w:gridAfter w:val="1"/>
          <w:wAfter w:w="7" w:type="dxa"/>
          <w:trHeight w:val="315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52F67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Adductors contractile % [mean (SD)]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3A6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94.28 (3.91)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DC1B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94.25 (3.60)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C01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FD3D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EBCB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94.27 (4.05)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B46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94.30 (3.63)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64E1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0.008</w:t>
            </w:r>
          </w:p>
        </w:tc>
      </w:tr>
      <w:tr w:rsidR="006B014E" w:rsidRPr="00ED3D01" w14:paraId="55706B41" w14:textId="77777777" w:rsidTr="00CC11A8">
        <w:trPr>
          <w:gridAfter w:val="1"/>
          <w:wAfter w:w="7" w:type="dxa"/>
          <w:trHeight w:val="315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0BD51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Sartorius CSA (mm2) [mean (SD)]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8A0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363.72 (133.49)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A122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309.94 (103.61)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5B7D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0.450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957D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B66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313.43 (108.00)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46AA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316.70 (102.21)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B8E9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0.031</w:t>
            </w:r>
          </w:p>
        </w:tc>
      </w:tr>
      <w:tr w:rsidR="006B014E" w:rsidRPr="00ED3D01" w14:paraId="6E4098E0" w14:textId="77777777" w:rsidTr="00CC11A8">
        <w:trPr>
          <w:gridAfter w:val="1"/>
          <w:wAfter w:w="7" w:type="dxa"/>
          <w:trHeight w:val="315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F87AF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Sartorius Intra-MAT CSA (mm2) [mean (SD)]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3411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27.67 (22.88)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54C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26.94 (22.99)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3A81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2E4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EAE1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25.33 (20.82)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7D1A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27.21 (23.50)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0D3D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0.085</w:t>
            </w:r>
          </w:p>
        </w:tc>
      </w:tr>
      <w:tr w:rsidR="006B014E" w:rsidRPr="00ED3D01" w14:paraId="3E3898A3" w14:textId="77777777" w:rsidTr="00CC11A8">
        <w:trPr>
          <w:gridAfter w:val="1"/>
          <w:wAfter w:w="7" w:type="dxa"/>
          <w:trHeight w:val="315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5C0A9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Sartorius contractile % [mean (SD)]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F3D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92.38 (5.28)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DD1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91.40 (6.00)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835D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0.173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4F9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292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92.09 (5.35)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A551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91.59 (5.94)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00B3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0.088</w:t>
            </w:r>
          </w:p>
        </w:tc>
      </w:tr>
      <w:tr w:rsidR="006B014E" w:rsidRPr="00ED3D01" w14:paraId="66A6E4B6" w14:textId="77777777" w:rsidTr="00CC11A8">
        <w:trPr>
          <w:gridAfter w:val="1"/>
          <w:wAfter w:w="7" w:type="dxa"/>
          <w:trHeight w:val="315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4753E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Total thigh muscles CSA (mm2) [mean (SD)]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7EB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9985.34 (2693.77)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7531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8948.43 (2327.61)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9C50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0.412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75CB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A039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9048.09 (2295.06)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67C61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9067.66 (2324.33)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6EA1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0.008</w:t>
            </w:r>
          </w:p>
        </w:tc>
      </w:tr>
      <w:tr w:rsidR="006B014E" w:rsidRPr="00ED3D01" w14:paraId="7CDAC000" w14:textId="77777777" w:rsidTr="00CC11A8">
        <w:trPr>
          <w:gridAfter w:val="1"/>
          <w:wAfter w:w="7" w:type="dxa"/>
          <w:trHeight w:val="315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10C3C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Intra-MAT CSA (mm2) [mean (SD)]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25C6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381.40 (260.58)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FDD0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372.14 (233.94)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E91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A04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6883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365.72 (282.30)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1D36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375.11 (239.33)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A69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0.036</w:t>
            </w:r>
          </w:p>
        </w:tc>
      </w:tr>
      <w:tr w:rsidR="006B014E" w:rsidRPr="00ED3D01" w14:paraId="321F252F" w14:textId="77777777" w:rsidTr="00CC11A8">
        <w:trPr>
          <w:gridAfter w:val="1"/>
          <w:wAfter w:w="7" w:type="dxa"/>
          <w:trHeight w:val="315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4B556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Total thigh muscles contractile % [mean (SD)]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8F7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96.10 (2.54)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59F5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95.83 (2.28)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E2DF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331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EE66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95.93 (2.82)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167E3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95.86 (2.32)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6F72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0.025</w:t>
            </w:r>
          </w:p>
        </w:tc>
      </w:tr>
      <w:tr w:rsidR="006B014E" w:rsidRPr="00ED3D01" w14:paraId="37C2F1E4" w14:textId="77777777" w:rsidTr="00CC11A8">
        <w:trPr>
          <w:gridAfter w:val="1"/>
          <w:wAfter w:w="7" w:type="dxa"/>
          <w:trHeight w:val="570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23B76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Knee extension specific contractile force (N/cm2) [mean (SD)]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115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7.22 (2.01)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C045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7.01 (1.84)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0178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0.107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095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364D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7.21 (2.06)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6D1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6.98 (1.86)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0065" w14:textId="77777777" w:rsidR="006B014E" w:rsidRPr="00E74841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0.116</w:t>
            </w:r>
          </w:p>
        </w:tc>
      </w:tr>
      <w:tr w:rsidR="006B014E" w:rsidRPr="00ED3D01" w14:paraId="280F5144" w14:textId="77777777" w:rsidTr="00CC11A8">
        <w:trPr>
          <w:gridAfter w:val="1"/>
          <w:wAfter w:w="7" w:type="dxa"/>
          <w:trHeight w:val="585"/>
        </w:trPr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C69171" w14:textId="77777777" w:rsidR="006B014E" w:rsidRPr="00ED3D01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Knee flexion specific contractile force (N/cm2) [mean (SD)]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67F2E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4.73 (1.88)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9ED76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4.72 (1.71)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7BB7C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04204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14F40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4.58 (1.85)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A12C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4.77 (1.72)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F55E7" w14:textId="77777777" w:rsidR="006B014E" w:rsidRPr="0071333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0.106</w:t>
            </w:r>
          </w:p>
        </w:tc>
      </w:tr>
    </w:tbl>
    <w:p w14:paraId="6EAD6914" w14:textId="77777777" w:rsidR="006B014E" w:rsidRPr="00EE4DEF" w:rsidRDefault="006B014E" w:rsidP="006B014E">
      <w:pPr>
        <w:spacing w:line="480" w:lineRule="auto"/>
        <w:rPr>
          <w:rFonts w:asciiTheme="majorBidi" w:hAnsiTheme="majorBidi" w:cstheme="majorBidi"/>
        </w:rPr>
      </w:pPr>
      <w:r w:rsidRPr="00EE4DEF">
        <w:rPr>
          <w:rFonts w:asciiTheme="majorBidi" w:hAnsiTheme="majorBidi" w:cstheme="majorBidi"/>
        </w:rPr>
        <w:t>Data are presented in numbers of thighs. BMI: Body-mass index, CSA: Cross-sectional area, Intra-MAT: Intra-Muscular Adipose Tissue, JSN</w:t>
      </w:r>
      <w:r w:rsidRPr="00EE4DEF">
        <w:rPr>
          <w:rFonts w:asciiTheme="majorBidi" w:hAnsiTheme="majorBidi" w:cstheme="majorBidi"/>
          <w:color w:val="000000"/>
        </w:rPr>
        <w:t>: Joint Space Narrowing</w:t>
      </w:r>
      <w:r w:rsidRPr="00EE4DEF">
        <w:rPr>
          <w:rFonts w:asciiTheme="majorBidi" w:hAnsiTheme="majorBidi" w:cstheme="majorBidi"/>
        </w:rPr>
        <w:t xml:space="preserve">, </w:t>
      </w:r>
      <w:r w:rsidRPr="00EE4DEF">
        <w:rPr>
          <w:rFonts w:asciiTheme="majorBidi" w:hAnsiTheme="majorBidi" w:cstheme="majorBidi"/>
          <w:color w:val="000000"/>
        </w:rPr>
        <w:t>KL: Kellgren-Lawrence</w:t>
      </w:r>
      <w:r w:rsidRPr="00EE4DEF">
        <w:rPr>
          <w:rFonts w:asciiTheme="majorBidi" w:hAnsiTheme="majorBidi" w:cstheme="majorBidi"/>
        </w:rPr>
        <w:t>, N: Number of thighs, PASE: physical activity scale for the elderly, PS: Propensity score, SD: Standard deviation, SMD: Standardized mean difference.</w:t>
      </w:r>
    </w:p>
    <w:p w14:paraId="0DA51A22" w14:textId="77777777" w:rsidR="006B014E" w:rsidRDefault="006B014E" w:rsidP="006B014E">
      <w:pPr>
        <w:spacing w:line="480" w:lineRule="auto"/>
        <w:rPr>
          <w:rFonts w:asciiTheme="majorBidi" w:hAnsiTheme="majorBidi" w:cstheme="majorBidi"/>
        </w:rPr>
      </w:pPr>
      <w:r w:rsidRPr="00EE4DEF">
        <w:rPr>
          <w:rFonts w:asciiTheme="majorBidi" w:hAnsiTheme="majorBidi" w:cstheme="majorBidi"/>
        </w:rPr>
        <w:t xml:space="preserve">A significant difference for SMD was defined as ≥ 0.1 and is shown as bold. The results show that PS-matched </w:t>
      </w:r>
      <w:r>
        <w:rPr>
          <w:rFonts w:asciiTheme="majorBidi" w:hAnsiTheme="majorBidi" w:cstheme="majorBidi"/>
        </w:rPr>
        <w:t xml:space="preserve">levothyroxine </w:t>
      </w:r>
      <w:proofErr w:type="gramStart"/>
      <w:r>
        <w:rPr>
          <w:rFonts w:asciiTheme="majorBidi" w:hAnsiTheme="majorBidi" w:cstheme="majorBidi"/>
        </w:rPr>
        <w:t>user</w:t>
      </w:r>
      <w:r w:rsidRPr="00EE4DEF">
        <w:rPr>
          <w:rFonts w:asciiTheme="majorBidi" w:hAnsiTheme="majorBidi" w:cstheme="majorBidi"/>
        </w:rPr>
        <w:t>s  have</w:t>
      </w:r>
      <w:proofErr w:type="gramEnd"/>
      <w:r w:rsidRPr="00EE4DEF">
        <w:rPr>
          <w:rFonts w:asciiTheme="majorBidi" w:hAnsiTheme="majorBidi" w:cstheme="majorBidi"/>
        </w:rPr>
        <w:t xml:space="preserve"> similar baseline characteristics</w:t>
      </w:r>
      <w:r>
        <w:rPr>
          <w:rFonts w:asciiTheme="majorBidi" w:hAnsiTheme="majorBidi" w:cstheme="majorBidi"/>
        </w:rPr>
        <w:t xml:space="preserve"> in PS-matching covariates, when</w:t>
      </w:r>
      <w:r w:rsidRPr="00EE4DEF">
        <w:rPr>
          <w:rFonts w:asciiTheme="majorBidi" w:hAnsiTheme="majorBidi" w:cstheme="majorBidi"/>
        </w:rPr>
        <w:t xml:space="preserve"> compared to </w:t>
      </w:r>
      <w:r>
        <w:rPr>
          <w:rFonts w:asciiTheme="majorBidi" w:hAnsiTheme="majorBidi" w:cstheme="majorBidi"/>
        </w:rPr>
        <w:t>levothyroxine non-users</w:t>
      </w:r>
      <w:r w:rsidRPr="00EE4DEF">
        <w:rPr>
          <w:rFonts w:asciiTheme="majorBidi" w:hAnsiTheme="majorBidi" w:cstheme="majorBidi"/>
        </w:rPr>
        <w:t xml:space="preserve"> (SMDs &lt;0.1)</w:t>
      </w:r>
      <w:r>
        <w:rPr>
          <w:rFonts w:asciiTheme="majorBidi" w:hAnsiTheme="majorBidi" w:cstheme="majorBidi"/>
        </w:rPr>
        <w:t>.</w:t>
      </w:r>
    </w:p>
    <w:p w14:paraId="11E83331" w14:textId="77777777" w:rsidR="006B014E" w:rsidRDefault="006B014E" w:rsidP="006B014E">
      <w:pPr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*</w:t>
      </w:r>
      <w:r w:rsidRPr="000D578A">
        <w:rPr>
          <w:rFonts w:asciiTheme="majorBidi" w:eastAsia="Times New Roman" w:hAnsiTheme="majorBidi" w:cstheme="majorBidi"/>
        </w:rPr>
        <w:t xml:space="preserve"> </w:t>
      </w:r>
      <w:r>
        <w:rPr>
          <w:rFonts w:asciiTheme="majorBidi" w:eastAsia="Times New Roman" w:hAnsiTheme="majorBidi" w:cstheme="majorBidi"/>
        </w:rPr>
        <w:t>Levothyroxine use was defined as levothyroxine use in either of baseline to 4</w:t>
      </w:r>
      <w:r w:rsidRPr="00E74841">
        <w:rPr>
          <w:rFonts w:asciiTheme="majorBidi" w:eastAsia="Times New Roman" w:hAnsiTheme="majorBidi" w:cstheme="majorBidi"/>
          <w:vertAlign w:val="superscript"/>
        </w:rPr>
        <w:t>th</w:t>
      </w:r>
      <w:r>
        <w:rPr>
          <w:rFonts w:asciiTheme="majorBidi" w:eastAsia="Times New Roman" w:hAnsiTheme="majorBidi" w:cstheme="majorBidi"/>
        </w:rPr>
        <w:t>-year visits.</w:t>
      </w:r>
    </w:p>
    <w:p w14:paraId="1400920E" w14:textId="77777777" w:rsidR="006B014E" w:rsidRPr="00EE4DEF" w:rsidRDefault="006B014E" w:rsidP="006B014E">
      <w:pPr>
        <w:spacing w:line="480" w:lineRule="auto"/>
        <w:rPr>
          <w:rFonts w:asciiTheme="majorBidi" w:hAnsiTheme="majorBidi" w:cstheme="majorBidi"/>
        </w:rPr>
      </w:pPr>
      <w:r w:rsidRPr="00EE4DEF">
        <w:rPr>
          <w:rFonts w:asciiTheme="majorBidi" w:hAnsiTheme="majorBidi" w:cstheme="majorBidi"/>
          <w:b/>
          <w:bCs/>
        </w:rPr>
        <w:t xml:space="preserve">† </w:t>
      </w:r>
      <w:r w:rsidRPr="00EE4DEF">
        <w:rPr>
          <w:rFonts w:asciiTheme="majorBidi" w:hAnsiTheme="majorBidi" w:cstheme="majorBidi"/>
        </w:rPr>
        <w:t>Race of participants was categorized as white and non-white considering the small number of participants in each non-white race group.</w:t>
      </w:r>
    </w:p>
    <w:p w14:paraId="74EFDFDA" w14:textId="77777777" w:rsidR="006B014E" w:rsidRDefault="006B014E" w:rsidP="006B014E">
      <w:pPr>
        <w:spacing w:line="480" w:lineRule="auto"/>
        <w:rPr>
          <w:rFonts w:asciiTheme="majorBidi" w:hAnsiTheme="majorBidi" w:cstheme="majorBidi"/>
        </w:rPr>
      </w:pPr>
      <w:r w:rsidRPr="00EE4DEF">
        <w:rPr>
          <w:rFonts w:asciiTheme="majorBidi" w:hAnsiTheme="majorBidi" w:cstheme="majorBidi"/>
          <w:b/>
          <w:bCs/>
        </w:rPr>
        <w:t>§</w:t>
      </w:r>
      <w:r w:rsidRPr="00EE4DEF">
        <w:rPr>
          <w:rFonts w:asciiTheme="majorBidi" w:hAnsiTheme="majorBidi" w:cstheme="majorBidi"/>
        </w:rPr>
        <w:t xml:space="preserve"> Abdominal obesity was defined as a waist circumference of ≥94 cm in men and ≥80 cm in women on physical examination according to international diabetes foundation criteri</w:t>
      </w:r>
      <w:r>
        <w:rPr>
          <w:rFonts w:asciiTheme="majorBidi" w:hAnsiTheme="majorBidi" w:cstheme="majorBidi"/>
        </w:rPr>
        <w:t>a</w:t>
      </w:r>
    </w:p>
    <w:p w14:paraId="316B93F3" w14:textId="77777777" w:rsidR="006B014E" w:rsidRPr="00EE4DEF" w:rsidRDefault="006B014E" w:rsidP="006B014E">
      <w:pPr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column"/>
      </w:r>
      <w:r w:rsidRPr="00CF6BB5">
        <w:rPr>
          <w:rFonts w:asciiTheme="majorBidi" w:hAnsiTheme="majorBidi" w:cstheme="majorBidi"/>
          <w:b/>
          <w:bCs/>
        </w:rPr>
        <w:lastRenderedPageBreak/>
        <w:t>Table S</w:t>
      </w:r>
      <w:r>
        <w:rPr>
          <w:rFonts w:asciiTheme="majorBidi" w:hAnsiTheme="majorBidi" w:cstheme="majorBidi"/>
          <w:b/>
          <w:bCs/>
        </w:rPr>
        <w:t>3</w:t>
      </w:r>
      <w:r w:rsidRPr="00CF6BB5">
        <w:rPr>
          <w:rFonts w:asciiTheme="majorBidi" w:hAnsiTheme="majorBidi" w:cstheme="majorBidi"/>
          <w:b/>
          <w:bCs/>
        </w:rPr>
        <w:t>.2.</w:t>
      </w:r>
      <w:r w:rsidRPr="00CF6BB5">
        <w:rPr>
          <w:rFonts w:asciiTheme="majorBidi" w:hAnsiTheme="majorBidi" w:cstheme="majorBidi"/>
        </w:rPr>
        <w:t xml:space="preserve"> Sensitivity to </w:t>
      </w:r>
      <w:r w:rsidRPr="005B2A04">
        <w:rPr>
          <w:rFonts w:asciiTheme="majorBidi" w:hAnsiTheme="majorBidi" w:cstheme="majorBidi"/>
        </w:rPr>
        <w:t xml:space="preserve">inclusion of all levothyroxine users (both adherent and non-adherent </w:t>
      </w:r>
      <w:proofErr w:type="spellStart"/>
      <w:r w:rsidRPr="005B2A04">
        <w:rPr>
          <w:rFonts w:asciiTheme="majorBidi" w:hAnsiTheme="majorBidi" w:cstheme="majorBidi"/>
        </w:rPr>
        <w:t>usres</w:t>
      </w:r>
      <w:proofErr w:type="spellEnd"/>
      <w:r w:rsidRPr="005B2A04">
        <w:rPr>
          <w:rFonts w:asciiTheme="majorBidi" w:hAnsiTheme="majorBidi" w:cstheme="majorBidi"/>
        </w:rPr>
        <w:t xml:space="preserve">) </w:t>
      </w:r>
      <w:r w:rsidRPr="00EE4DEF">
        <w:rPr>
          <w:rFonts w:asciiTheme="majorBidi" w:hAnsiTheme="majorBidi" w:cstheme="majorBidi"/>
        </w:rPr>
        <w:t xml:space="preserve">for longitudinal changes in thigh muscle markers between </w:t>
      </w:r>
      <w:r>
        <w:rPr>
          <w:rFonts w:asciiTheme="majorBidi" w:hAnsiTheme="majorBidi" w:cstheme="majorBidi"/>
        </w:rPr>
        <w:t>levothyroxine users and nonuser</w:t>
      </w:r>
      <w:r w:rsidRPr="00EE4DEF">
        <w:rPr>
          <w:rFonts w:asciiTheme="majorBidi" w:hAnsiTheme="majorBidi" w:cstheme="majorBidi"/>
        </w:rPr>
        <w:t xml:space="preserve"> participants </w:t>
      </w:r>
    </w:p>
    <w:tbl>
      <w:tblPr>
        <w:tblW w:w="12492" w:type="dxa"/>
        <w:tblInd w:w="108" w:type="dxa"/>
        <w:tblLook w:val="04A0" w:firstRow="1" w:lastRow="0" w:firstColumn="1" w:lastColumn="0" w:noHBand="0" w:noVBand="1"/>
      </w:tblPr>
      <w:tblGrid>
        <w:gridCol w:w="2160"/>
        <w:gridCol w:w="2772"/>
        <w:gridCol w:w="2682"/>
        <w:gridCol w:w="2592"/>
        <w:gridCol w:w="2286"/>
      </w:tblGrid>
      <w:tr w:rsidR="006B014E" w:rsidRPr="00EE4DEF" w14:paraId="59B2BE33" w14:textId="77777777" w:rsidTr="0087754E">
        <w:trPr>
          <w:trHeight w:val="562"/>
        </w:trPr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9E88" w14:textId="77777777" w:rsidR="006B014E" w:rsidRPr="00EE4DEF" w:rsidRDefault="006B014E" w:rsidP="0087754E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9854C" w14:textId="77777777" w:rsidR="006B014E" w:rsidRPr="00EE4DEF" w:rsidRDefault="006B014E" w:rsidP="0087754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3EB8FCC" w14:textId="77777777" w:rsidR="006B014E" w:rsidRPr="00EE4DEF" w:rsidRDefault="006B014E" w:rsidP="0087754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</w:pPr>
          </w:p>
          <w:p w14:paraId="3EF8611F" w14:textId="77777777" w:rsidR="006B014E" w:rsidRPr="00EE4DEF" w:rsidRDefault="006B014E" w:rsidP="0087754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  <w:t>Average Difference/year (95% CI), P</w:t>
            </w:r>
          </w:p>
        </w:tc>
      </w:tr>
      <w:tr w:rsidR="006B014E" w:rsidRPr="00EE4DEF" w14:paraId="0EE38B43" w14:textId="77777777" w:rsidTr="0087754E">
        <w:trPr>
          <w:trHeight w:val="562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77F7F" w14:textId="77777777" w:rsidR="006B014E" w:rsidRPr="00EE4DEF" w:rsidRDefault="006B014E" w:rsidP="0087754E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</w:pPr>
            <w:r w:rsidRPr="00EE4DEF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3043B" w14:textId="77777777" w:rsidR="006B014E" w:rsidRPr="00EE4DEF" w:rsidRDefault="006B014E" w:rsidP="0087754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  <w:t>CSA (mm2)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5FDC9" w14:textId="77777777" w:rsidR="006B014E" w:rsidRPr="00EE4DEF" w:rsidRDefault="006B014E" w:rsidP="0087754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  <w:t>Intra-MAT CSA (mm2)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5E441" w14:textId="77777777" w:rsidR="006B014E" w:rsidRPr="00EE4DEF" w:rsidRDefault="006B014E" w:rsidP="0087754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  <w:t>Contractile %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28276" w14:textId="77777777" w:rsidR="006B014E" w:rsidRPr="00EE4DEF" w:rsidRDefault="006B014E" w:rsidP="0087754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  <w:t>Specific strength</w:t>
            </w:r>
          </w:p>
        </w:tc>
      </w:tr>
      <w:tr w:rsidR="006B014E" w:rsidRPr="00EE4DEF" w14:paraId="4A548992" w14:textId="77777777" w:rsidTr="0087754E">
        <w:trPr>
          <w:trHeight w:val="56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4B20" w14:textId="77777777" w:rsidR="006B014E" w:rsidRPr="00EE4DEF" w:rsidRDefault="006B014E" w:rsidP="0087754E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  <w:t>Total thigh muscles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8F6E6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b/>
                <w:bCs/>
                <w:color w:val="000000"/>
              </w:rPr>
              <w:t>-21.32 (-39.31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b/>
                <w:bCs/>
                <w:color w:val="000000"/>
              </w:rPr>
              <w:t>-3.33), P:0.020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49B16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</w:rPr>
              <w:t>1.42 (-2.58</w:t>
            </w:r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</w:rPr>
              <w:t>5.41), P:0.487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E8A69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</w:rPr>
              <w:t>-0.01 (-0.06</w:t>
            </w:r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</w:rPr>
              <w:t>0.03), P:0.537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0BBE1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6B014E" w:rsidRPr="00EE4DEF" w14:paraId="4D902C24" w14:textId="77777777" w:rsidTr="0087754E">
        <w:trPr>
          <w:trHeight w:val="56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6FFF" w14:textId="77777777" w:rsidR="006B014E" w:rsidRPr="00EE4DEF" w:rsidRDefault="006B014E" w:rsidP="0087754E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  <w:t>Quadriceps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B47D4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b/>
                <w:bCs/>
                <w:color w:val="000000"/>
              </w:rPr>
              <w:t>-14.30 (-24.42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b/>
                <w:bCs/>
                <w:color w:val="000000"/>
              </w:rPr>
              <w:t>-4.18), P:0.006*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F60B7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</w:rPr>
              <w:t>1.74 (-0.73</w:t>
            </w:r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</w:rPr>
              <w:t>4.22), P:0.167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E1803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</w:rPr>
              <w:t>-0.04 (-0.09</w:t>
            </w:r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</w:rPr>
              <w:t>0.02), P:0.219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BE22A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</w:rPr>
              <w:t>-0.00 (-0.06</w:t>
            </w:r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</w:rPr>
              <w:t>0.05), P:0.873</w:t>
            </w:r>
          </w:p>
        </w:tc>
      </w:tr>
      <w:tr w:rsidR="006B014E" w:rsidRPr="00EE4DEF" w14:paraId="02AE5A5B" w14:textId="77777777" w:rsidTr="0087754E">
        <w:trPr>
          <w:trHeight w:val="56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347A" w14:textId="77777777" w:rsidR="006B014E" w:rsidRPr="00EE4DEF" w:rsidRDefault="006B014E" w:rsidP="0087754E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  <w:t>Flexors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BE62A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</w:rPr>
              <w:t>-3.48 (-9.86</w:t>
            </w:r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</w:rPr>
              <w:t>2.90), P:0.285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9BBC9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</w:rPr>
              <w:t>0.11 (-2.07</w:t>
            </w:r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</w:rPr>
              <w:t>2.29), P:0.920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608C1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</w:rPr>
              <w:t>0.01 (-0.06</w:t>
            </w:r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</w:rPr>
              <w:t>0.08), P:0.786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A9BF8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</w:rPr>
              <w:t>-0.02 (-0.06</w:t>
            </w:r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</w:rPr>
              <w:t>0.03), P:0.459</w:t>
            </w:r>
          </w:p>
        </w:tc>
      </w:tr>
      <w:tr w:rsidR="006B014E" w:rsidRPr="00EE4DEF" w14:paraId="2D3D1F55" w14:textId="77777777" w:rsidTr="0087754E">
        <w:trPr>
          <w:trHeight w:val="56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FFB1" w14:textId="77777777" w:rsidR="006B014E" w:rsidRPr="00EE4DEF" w:rsidRDefault="006B014E" w:rsidP="0087754E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  <w:t>Adductors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A10B4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</w:rPr>
              <w:t>-2.62 (-9.30</w:t>
            </w:r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</w:rPr>
              <w:t>4.07), P:0.443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FAD6B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</w:rPr>
              <w:t>-0.11 (-0.98</w:t>
            </w:r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</w:rPr>
              <w:t>0.76), P:0.810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CCE84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</w:rPr>
              <w:t>-0.03 (-0.12</w:t>
            </w:r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</w:rPr>
              <w:t>0.06), P:0.514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B8655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6B014E" w:rsidRPr="00EE4DEF" w14:paraId="4A845D4C" w14:textId="77777777" w:rsidTr="0087754E">
        <w:trPr>
          <w:trHeight w:val="562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7B90D" w14:textId="77777777" w:rsidR="006B014E" w:rsidRPr="00EE4DEF" w:rsidRDefault="006B014E" w:rsidP="0087754E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  <w:t>Sartorius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B2F1E8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</w:rPr>
              <w:t>-0.36 (-1.38</w:t>
            </w:r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</w:rPr>
              <w:t>0.66), P:0.489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F6FE03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</w:rPr>
              <w:t>-0.21 (-0.63</w:t>
            </w:r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</w:rPr>
              <w:t>0.21), P:0.321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7BA3C9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</w:rPr>
              <w:t>0.04 (-0.09</w:t>
            </w:r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</w:rPr>
              <w:t>0.17), P:0.508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475494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</w:tbl>
    <w:p w14:paraId="52FC1AE7" w14:textId="77777777" w:rsidR="006B014E" w:rsidRPr="00EE4DEF" w:rsidRDefault="006B014E" w:rsidP="006B014E">
      <w:pPr>
        <w:spacing w:line="480" w:lineRule="auto"/>
        <w:rPr>
          <w:rFonts w:asciiTheme="majorBidi" w:hAnsiTheme="majorBidi" w:cstheme="majorBidi"/>
          <w:color w:val="000000"/>
        </w:rPr>
      </w:pPr>
      <w:r w:rsidRPr="00EE4DEF">
        <w:rPr>
          <w:rFonts w:asciiTheme="majorBidi" w:hAnsiTheme="majorBidi" w:cstheme="majorBidi"/>
          <w:color w:val="000000"/>
        </w:rPr>
        <w:t xml:space="preserve">Longitudinal mixed-effect regressions were used to assess difference in muscle biomarkers between all </w:t>
      </w:r>
      <w:r>
        <w:rPr>
          <w:rFonts w:asciiTheme="majorBidi" w:hAnsiTheme="majorBidi" w:cstheme="majorBidi"/>
          <w:color w:val="000000"/>
        </w:rPr>
        <w:t>levothyroxine users and nonuser</w:t>
      </w:r>
      <w:r w:rsidRPr="00EE4DEF">
        <w:rPr>
          <w:rFonts w:asciiTheme="majorBidi" w:hAnsiTheme="majorBidi" w:cstheme="majorBidi"/>
          <w:color w:val="000000"/>
        </w:rPr>
        <w:t xml:space="preserve"> participants. CI: Confidence interval, CSA: Cross-sectional Area, Intra-MAT: Intra-muscular Adipose Tissue.</w:t>
      </w:r>
    </w:p>
    <w:p w14:paraId="2CA0F825" w14:textId="77777777" w:rsidR="006B014E" w:rsidRDefault="006B014E" w:rsidP="006B014E">
      <w:pPr>
        <w:tabs>
          <w:tab w:val="left" w:pos="1164"/>
        </w:tabs>
        <w:spacing w:line="480" w:lineRule="auto"/>
        <w:rPr>
          <w:rFonts w:asciiTheme="majorBidi" w:eastAsia="Times New Roman" w:hAnsiTheme="majorBidi" w:cstheme="majorBidi"/>
        </w:rPr>
      </w:pPr>
      <w:bookmarkStart w:id="0" w:name="_Hlk88034552"/>
      <w:r>
        <w:rPr>
          <w:rFonts w:asciiTheme="majorBidi" w:eastAsia="Times New Roman" w:hAnsiTheme="majorBidi" w:cstheme="majorBidi"/>
        </w:rPr>
        <w:t>Levothyroxine use in either of baseline to 4</w:t>
      </w:r>
      <w:r w:rsidRPr="00E74841">
        <w:rPr>
          <w:rFonts w:asciiTheme="majorBidi" w:eastAsia="Times New Roman" w:hAnsiTheme="majorBidi" w:cstheme="majorBidi"/>
          <w:vertAlign w:val="superscript"/>
        </w:rPr>
        <w:t>th</w:t>
      </w:r>
      <w:r>
        <w:rPr>
          <w:rFonts w:asciiTheme="majorBidi" w:eastAsia="Times New Roman" w:hAnsiTheme="majorBidi" w:cstheme="majorBidi"/>
        </w:rPr>
        <w:t>-year visits</w:t>
      </w:r>
      <w:r w:rsidDel="0064325D">
        <w:rPr>
          <w:rFonts w:asciiTheme="majorBidi" w:eastAsia="Times New Roman" w:hAnsiTheme="majorBidi" w:cstheme="majorBidi"/>
        </w:rPr>
        <w:t xml:space="preserve"> </w:t>
      </w:r>
      <w:r>
        <w:rPr>
          <w:rFonts w:asciiTheme="majorBidi" w:eastAsia="Times New Roman" w:hAnsiTheme="majorBidi" w:cstheme="majorBidi"/>
        </w:rPr>
        <w:t>was the independent variable (i.e., predictor)</w:t>
      </w:r>
      <w:r w:rsidRPr="00EE4DEF">
        <w:rPr>
          <w:rFonts w:asciiTheme="majorBidi" w:eastAsia="Times New Roman" w:hAnsiTheme="majorBidi" w:cstheme="majorBidi"/>
        </w:rPr>
        <w:t>.</w:t>
      </w:r>
      <w:r>
        <w:rPr>
          <w:rFonts w:asciiTheme="majorBidi" w:eastAsia="Times New Roman" w:hAnsiTheme="majorBidi" w:cstheme="majorBidi"/>
        </w:rPr>
        <w:t xml:space="preserve"> All variables included in the PS-matching model were included as the covariate of adjustment.</w:t>
      </w:r>
    </w:p>
    <w:bookmarkEnd w:id="0"/>
    <w:p w14:paraId="365C7052" w14:textId="77777777" w:rsidR="006B014E" w:rsidRDefault="006B014E" w:rsidP="006B014E">
      <w:pPr>
        <w:tabs>
          <w:tab w:val="left" w:pos="1164"/>
        </w:tabs>
        <w:spacing w:line="480" w:lineRule="auto"/>
        <w:rPr>
          <w:rFonts w:asciiTheme="majorBidi" w:hAnsiTheme="majorBidi" w:cstheme="majorBidi"/>
        </w:rPr>
        <w:sectPr w:rsidR="006B014E" w:rsidSect="00E7256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EE4DEF">
        <w:rPr>
          <w:rFonts w:asciiTheme="majorBidi" w:hAnsiTheme="majorBidi" w:cstheme="majorBidi"/>
          <w:b/>
          <w:bCs/>
        </w:rPr>
        <w:t>*</w:t>
      </w:r>
      <w:r w:rsidRPr="00EE4DEF">
        <w:rPr>
          <w:rFonts w:asciiTheme="majorBidi" w:hAnsiTheme="majorBidi" w:cstheme="majorBidi"/>
        </w:rPr>
        <w:t xml:space="preserve"> P values that remained</w:t>
      </w:r>
      <w:r>
        <w:rPr>
          <w:rFonts w:asciiTheme="majorBidi" w:hAnsiTheme="majorBidi" w:cstheme="majorBidi"/>
        </w:rPr>
        <w:t xml:space="preserve"> significant after FDR correction,</w:t>
      </w:r>
      <w:r w:rsidRPr="00EE4DEF">
        <w:rPr>
          <w:rFonts w:asciiTheme="majorBidi" w:hAnsiTheme="majorBidi" w:cstheme="majorBidi"/>
        </w:rPr>
        <w:t xml:space="preserve"> indicative of a significant difference.</w:t>
      </w:r>
    </w:p>
    <w:p w14:paraId="134DBB34" w14:textId="77777777" w:rsidR="006B014E" w:rsidRPr="00EE4DEF" w:rsidRDefault="006B014E" w:rsidP="006B014E">
      <w:pPr>
        <w:pStyle w:val="Caption"/>
        <w:keepNext/>
        <w:spacing w:line="480" w:lineRule="auto"/>
        <w:jc w:val="both"/>
        <w:rPr>
          <w:rFonts w:asciiTheme="majorBidi" w:eastAsia="Times New Roman" w:hAnsiTheme="majorBidi" w:cstheme="majorBidi"/>
          <w:i w:val="0"/>
          <w:iCs w:val="0"/>
          <w:color w:val="auto"/>
          <w:sz w:val="24"/>
          <w:szCs w:val="24"/>
        </w:rPr>
      </w:pPr>
      <w:r w:rsidRPr="00CF6BB5"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sz w:val="24"/>
          <w:szCs w:val="24"/>
        </w:rPr>
        <w:lastRenderedPageBreak/>
        <w:t>Table S</w:t>
      </w:r>
      <w:r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sz w:val="24"/>
          <w:szCs w:val="24"/>
        </w:rPr>
        <w:t>3</w:t>
      </w:r>
      <w:r w:rsidRPr="00CF6BB5"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sz w:val="24"/>
          <w:szCs w:val="24"/>
        </w:rPr>
        <w:t>3</w:t>
      </w:r>
      <w:r w:rsidRPr="00CF6BB5"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CF6BB5">
        <w:rPr>
          <w:rFonts w:asciiTheme="majorBidi" w:eastAsia="Times New Roman" w:hAnsiTheme="majorBidi" w:cstheme="majorBidi"/>
          <w:i w:val="0"/>
          <w:iCs w:val="0"/>
          <w:color w:val="auto"/>
          <w:sz w:val="24"/>
          <w:szCs w:val="24"/>
        </w:rPr>
        <w:t xml:space="preserve"> Sensitivity </w:t>
      </w:r>
      <w:r w:rsidRPr="005B2A04">
        <w:rPr>
          <w:rFonts w:asciiTheme="majorBidi" w:eastAsia="Times New Roman" w:hAnsiTheme="majorBidi" w:cstheme="majorBidi"/>
          <w:i w:val="0"/>
          <w:iCs w:val="0"/>
          <w:color w:val="auto"/>
          <w:sz w:val="24"/>
          <w:szCs w:val="24"/>
        </w:rPr>
        <w:t xml:space="preserve">inclusion of all levothyroxine users (both adherent and non-adherent </w:t>
      </w:r>
      <w:proofErr w:type="spellStart"/>
      <w:r w:rsidRPr="005B2A04">
        <w:rPr>
          <w:rFonts w:asciiTheme="majorBidi" w:eastAsia="Times New Roman" w:hAnsiTheme="majorBidi" w:cstheme="majorBidi"/>
          <w:i w:val="0"/>
          <w:iCs w:val="0"/>
          <w:color w:val="auto"/>
          <w:sz w:val="24"/>
          <w:szCs w:val="24"/>
        </w:rPr>
        <w:t>usres</w:t>
      </w:r>
      <w:proofErr w:type="spellEnd"/>
      <w:r w:rsidRPr="005B2A04">
        <w:rPr>
          <w:rFonts w:asciiTheme="majorBidi" w:eastAsia="Times New Roman" w:hAnsiTheme="majorBidi" w:cstheme="majorBidi"/>
          <w:i w:val="0"/>
          <w:iCs w:val="0"/>
          <w:color w:val="auto"/>
          <w:sz w:val="24"/>
          <w:szCs w:val="24"/>
        </w:rPr>
        <w:t xml:space="preserve">) </w:t>
      </w:r>
      <w:r w:rsidRPr="00EE4DEF">
        <w:rPr>
          <w:rFonts w:asciiTheme="majorBidi" w:eastAsia="Times New Roman" w:hAnsiTheme="majorBidi" w:cstheme="majorBidi"/>
          <w:i w:val="0"/>
          <w:iCs w:val="0"/>
          <w:color w:val="auto"/>
          <w:sz w:val="24"/>
          <w:szCs w:val="24"/>
        </w:rPr>
        <w:t xml:space="preserve">for the assessment of the association between </w:t>
      </w:r>
      <w:r>
        <w:rPr>
          <w:rFonts w:asciiTheme="majorBidi" w:eastAsia="Times New Roman" w:hAnsiTheme="majorBidi" w:cstheme="majorBidi"/>
          <w:i w:val="0"/>
          <w:iCs w:val="0"/>
          <w:color w:val="auto"/>
          <w:sz w:val="24"/>
          <w:szCs w:val="24"/>
        </w:rPr>
        <w:t>levothyroxine use</w:t>
      </w:r>
      <w:r w:rsidRPr="00EE4DEF">
        <w:rPr>
          <w:rFonts w:asciiTheme="majorBidi" w:eastAsia="Times New Roman" w:hAnsiTheme="majorBidi" w:cstheme="majorBidi"/>
          <w:i w:val="0"/>
          <w:iCs w:val="0"/>
          <w:color w:val="auto"/>
          <w:sz w:val="24"/>
          <w:szCs w:val="24"/>
        </w:rPr>
        <w:t xml:space="preserve"> and risk of KOA</w:t>
      </w:r>
      <w:r>
        <w:rPr>
          <w:rFonts w:asciiTheme="majorBidi" w:eastAsia="Times New Roman" w:hAnsiTheme="majorBidi" w:cstheme="majorBidi"/>
          <w:i w:val="0"/>
          <w:iCs w:val="0"/>
          <w:color w:val="auto"/>
          <w:sz w:val="24"/>
          <w:szCs w:val="24"/>
        </w:rPr>
        <w:t xml:space="preserve"> incidence</w:t>
      </w:r>
    </w:p>
    <w:tbl>
      <w:tblPr>
        <w:tblW w:w="8064" w:type="dxa"/>
        <w:tblInd w:w="108" w:type="dxa"/>
        <w:tblLook w:val="04A0" w:firstRow="1" w:lastRow="0" w:firstColumn="1" w:lastColumn="0" w:noHBand="0" w:noVBand="1"/>
      </w:tblPr>
      <w:tblGrid>
        <w:gridCol w:w="4032"/>
        <w:gridCol w:w="4032"/>
      </w:tblGrid>
      <w:tr w:rsidR="006B014E" w:rsidRPr="00EE4DEF" w14:paraId="4A8D03A4" w14:textId="77777777" w:rsidTr="0087754E">
        <w:trPr>
          <w:trHeight w:val="605"/>
        </w:trPr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38352" w14:textId="77777777" w:rsidR="006B014E" w:rsidRPr="00EE4DEF" w:rsidRDefault="006B014E" w:rsidP="0087754E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Outcomes  </w:t>
            </w: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1BAEE" w14:textId="77777777" w:rsidR="006B014E" w:rsidRPr="00EE4DEF" w:rsidRDefault="006B014E" w:rsidP="0087754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E4DEF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Hazard ratio (95%CI), P</w:t>
            </w:r>
          </w:p>
        </w:tc>
      </w:tr>
      <w:tr w:rsidR="006B014E" w:rsidRPr="00EE4DEF" w14:paraId="4C97D09D" w14:textId="77777777" w:rsidTr="0087754E">
        <w:trPr>
          <w:trHeight w:val="605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99D9" w14:textId="77777777" w:rsidR="006B014E" w:rsidRPr="00CF6BB5" w:rsidRDefault="006B014E" w:rsidP="0087754E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F6BB5">
              <w:rPr>
                <w:rFonts w:asciiTheme="majorBidi" w:hAnsiTheme="majorBidi" w:cstheme="majorBidi"/>
                <w:b/>
                <w:bCs/>
                <w:color w:val="000000"/>
              </w:rPr>
              <w:t>KOA radiographic Incidence</w:t>
            </w:r>
          </w:p>
        </w:tc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E98E" w14:textId="77777777" w:rsidR="006B014E" w:rsidRPr="00E74841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</w:rPr>
              <w:t>1.60 (1.13-2.28), P:0.008*</w:t>
            </w:r>
          </w:p>
        </w:tc>
      </w:tr>
      <w:tr w:rsidR="006B014E" w:rsidRPr="00EE4DEF" w14:paraId="508ADF61" w14:textId="77777777" w:rsidTr="0087754E">
        <w:trPr>
          <w:trHeight w:val="605"/>
        </w:trPr>
        <w:tc>
          <w:tcPr>
            <w:tcW w:w="4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B03AE" w14:textId="77777777" w:rsidR="006B014E" w:rsidRPr="00CF6BB5" w:rsidRDefault="006B014E" w:rsidP="0087754E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F6BB5">
              <w:rPr>
                <w:rFonts w:asciiTheme="majorBidi" w:hAnsiTheme="majorBidi" w:cstheme="majorBidi"/>
                <w:b/>
                <w:bCs/>
                <w:color w:val="000000"/>
              </w:rPr>
              <w:t>KOA symptomatic Incidence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91296" w14:textId="77777777" w:rsidR="006B014E" w:rsidRPr="00E74841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4841">
              <w:rPr>
                <w:rFonts w:ascii="Times New Roman" w:hAnsi="Times New Roman" w:cs="Times New Roman"/>
                <w:b/>
                <w:bCs/>
                <w:color w:val="000000"/>
              </w:rPr>
              <w:t>1.66 (1.13-2.44), P:0.009*</w:t>
            </w:r>
          </w:p>
        </w:tc>
      </w:tr>
    </w:tbl>
    <w:p w14:paraId="7AA872BD" w14:textId="77777777" w:rsidR="006B014E" w:rsidRPr="00EE4DEF" w:rsidRDefault="006B014E" w:rsidP="006B014E">
      <w:pPr>
        <w:rPr>
          <w:rFonts w:asciiTheme="majorBidi" w:hAnsiTheme="majorBidi" w:cstheme="majorBidi"/>
        </w:rPr>
      </w:pPr>
    </w:p>
    <w:p w14:paraId="2B46A915" w14:textId="77777777" w:rsidR="006B014E" w:rsidRDefault="006B014E" w:rsidP="006B014E">
      <w:pPr>
        <w:spacing w:line="480" w:lineRule="auto"/>
        <w:rPr>
          <w:rFonts w:asciiTheme="majorBidi" w:eastAsia="Times New Roman" w:hAnsiTheme="majorBidi" w:cstheme="majorBidi"/>
        </w:rPr>
      </w:pPr>
      <w:r w:rsidRPr="00EE4DEF">
        <w:rPr>
          <w:rFonts w:asciiTheme="majorBidi" w:hAnsiTheme="majorBidi" w:cstheme="majorBidi"/>
        </w:rPr>
        <w:t>CI: Confidence interval, JSN</w:t>
      </w:r>
      <w:r w:rsidRPr="00EE4DEF">
        <w:rPr>
          <w:rFonts w:asciiTheme="majorBidi" w:hAnsiTheme="majorBidi" w:cstheme="majorBidi"/>
          <w:color w:val="000000"/>
        </w:rPr>
        <w:t>: Joint Space Narrowing,</w:t>
      </w:r>
      <w:r>
        <w:rPr>
          <w:rFonts w:asciiTheme="majorBidi" w:eastAsia="Times New Roman" w:hAnsiTheme="majorBidi" w:cstheme="majorBidi"/>
        </w:rPr>
        <w:t xml:space="preserve"> Knee osteoarthritis</w:t>
      </w:r>
      <w:r w:rsidRPr="00EE4DEF">
        <w:rPr>
          <w:rFonts w:asciiTheme="majorBidi" w:eastAsia="Times New Roman" w:hAnsiTheme="majorBidi" w:cstheme="majorBidi"/>
        </w:rPr>
        <w:t>.</w:t>
      </w:r>
      <w:r>
        <w:rPr>
          <w:rFonts w:asciiTheme="majorBidi" w:eastAsia="Times New Roman" w:hAnsiTheme="majorBidi" w:cstheme="majorBidi"/>
        </w:rPr>
        <w:t xml:space="preserve"> Adjusted analysis </w:t>
      </w:r>
      <w:proofErr w:type="gramStart"/>
      <w:r>
        <w:rPr>
          <w:rFonts w:asciiTheme="majorBidi" w:eastAsia="Times New Roman" w:hAnsiTheme="majorBidi" w:cstheme="majorBidi"/>
        </w:rPr>
        <w:t>were</w:t>
      </w:r>
      <w:proofErr w:type="gramEnd"/>
      <w:r>
        <w:rPr>
          <w:rFonts w:asciiTheme="majorBidi" w:eastAsia="Times New Roman" w:hAnsiTheme="majorBidi" w:cstheme="majorBidi"/>
        </w:rPr>
        <w:t xml:space="preserve"> performed on a</w:t>
      </w:r>
      <w:r w:rsidRPr="00EE4DEF">
        <w:rPr>
          <w:rFonts w:asciiTheme="majorBidi" w:eastAsia="Times New Roman" w:hAnsiTheme="majorBidi" w:cstheme="majorBidi"/>
        </w:rPr>
        <w:t>ll eligible knees (</w:t>
      </w:r>
      <w:r w:rsidRPr="00CF6BB5">
        <w:rPr>
          <w:rFonts w:asciiTheme="majorBidi" w:eastAsia="Times New Roman" w:hAnsiTheme="majorBidi" w:cstheme="majorBidi"/>
        </w:rPr>
        <w:t>391</w:t>
      </w:r>
      <w:r>
        <w:rPr>
          <w:rFonts w:asciiTheme="majorBidi" w:eastAsia="Times New Roman" w:hAnsiTheme="majorBidi" w:cstheme="majorBidi"/>
        </w:rPr>
        <w:t xml:space="preserve"> </w:t>
      </w:r>
      <w:r w:rsidRPr="00EE4DEF">
        <w:rPr>
          <w:rFonts w:asciiTheme="majorBidi" w:eastAsia="Times New Roman" w:hAnsiTheme="majorBidi" w:cstheme="majorBidi"/>
        </w:rPr>
        <w:t xml:space="preserve">knees of </w:t>
      </w:r>
      <w:r>
        <w:rPr>
          <w:rFonts w:asciiTheme="majorBidi" w:eastAsia="Times New Roman" w:hAnsiTheme="majorBidi" w:cstheme="majorBidi"/>
        </w:rPr>
        <w:t>levothyroxine users</w:t>
      </w:r>
      <w:r w:rsidRPr="00EE4DEF">
        <w:rPr>
          <w:rFonts w:asciiTheme="majorBidi" w:eastAsia="Times New Roman" w:hAnsiTheme="majorBidi" w:cstheme="majorBidi"/>
        </w:rPr>
        <w:t xml:space="preserve">: </w:t>
      </w:r>
      <w:r w:rsidRPr="00CF6BB5">
        <w:rPr>
          <w:rFonts w:asciiTheme="majorBidi" w:eastAsia="Times New Roman" w:hAnsiTheme="majorBidi" w:cstheme="majorBidi"/>
        </w:rPr>
        <w:t>2635</w:t>
      </w:r>
      <w:r>
        <w:rPr>
          <w:rFonts w:asciiTheme="majorBidi" w:eastAsia="Times New Roman" w:hAnsiTheme="majorBidi" w:cstheme="majorBidi"/>
        </w:rPr>
        <w:t xml:space="preserve"> </w:t>
      </w:r>
      <w:r w:rsidRPr="00EE4DEF">
        <w:rPr>
          <w:rFonts w:asciiTheme="majorBidi" w:eastAsia="Times New Roman" w:hAnsiTheme="majorBidi" w:cstheme="majorBidi"/>
        </w:rPr>
        <w:t xml:space="preserve">knees of </w:t>
      </w:r>
      <w:r>
        <w:rPr>
          <w:rFonts w:asciiTheme="majorBidi" w:eastAsia="Times New Roman" w:hAnsiTheme="majorBidi" w:cstheme="majorBidi"/>
        </w:rPr>
        <w:t>levothyroxine non-users</w:t>
      </w:r>
      <w:r w:rsidRPr="00EE4DEF">
        <w:rPr>
          <w:rFonts w:asciiTheme="majorBidi" w:eastAsia="Times New Roman" w:hAnsiTheme="majorBidi" w:cstheme="majorBidi"/>
        </w:rPr>
        <w:t>) were included.</w:t>
      </w:r>
      <w:r>
        <w:rPr>
          <w:rFonts w:asciiTheme="majorBidi" w:eastAsia="Times New Roman" w:hAnsiTheme="majorBidi" w:cstheme="majorBidi"/>
        </w:rPr>
        <w:t xml:space="preserve"> All variables included in the PS-matching model were included as the covariate of adjustment.</w:t>
      </w:r>
      <w:r w:rsidRPr="00EE4DEF">
        <w:rPr>
          <w:rFonts w:asciiTheme="majorBidi" w:eastAsia="Times New Roman" w:hAnsiTheme="majorBidi" w:cstheme="majorBidi"/>
          <w:b/>
          <w:bCs/>
          <w:color w:val="000000"/>
        </w:rPr>
        <w:t xml:space="preserve"> </w:t>
      </w:r>
      <w:r>
        <w:rPr>
          <w:rFonts w:asciiTheme="majorBidi" w:eastAsia="Times New Roman" w:hAnsiTheme="majorBidi" w:cstheme="majorBidi"/>
        </w:rPr>
        <w:t>Levothyroxine use in either of baseline to 4</w:t>
      </w:r>
      <w:r w:rsidRPr="00E20BFE">
        <w:rPr>
          <w:rFonts w:asciiTheme="majorBidi" w:eastAsia="Times New Roman" w:hAnsiTheme="majorBidi" w:cstheme="majorBidi"/>
          <w:vertAlign w:val="superscript"/>
        </w:rPr>
        <w:t>th</w:t>
      </w:r>
      <w:r>
        <w:rPr>
          <w:rFonts w:asciiTheme="majorBidi" w:eastAsia="Times New Roman" w:hAnsiTheme="majorBidi" w:cstheme="majorBidi"/>
        </w:rPr>
        <w:t>-year visits</w:t>
      </w:r>
      <w:r w:rsidRPr="00EE4DEF">
        <w:rPr>
          <w:rFonts w:asciiTheme="majorBidi" w:eastAsia="Times New Roman" w:hAnsiTheme="majorBidi" w:cstheme="majorBidi"/>
        </w:rPr>
        <w:t>, as the independent variable, was associated with an increased risk of KOA incidence over the 8-year follow-up period, which is similar to the main results.</w:t>
      </w:r>
    </w:p>
    <w:p w14:paraId="50D15E2C" w14:textId="77777777" w:rsidR="006B014E" w:rsidRPr="00E20BFE" w:rsidRDefault="006B014E" w:rsidP="006B014E">
      <w:pPr>
        <w:spacing w:line="480" w:lineRule="auto"/>
        <w:rPr>
          <w:rFonts w:asciiTheme="majorBidi" w:eastAsia="Times New Roman" w:hAnsiTheme="majorBidi" w:cstheme="majorBidi"/>
        </w:rPr>
        <w:sectPr w:rsidR="006B014E" w:rsidRPr="00E20BFE" w:rsidSect="00E20BF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E4DEF">
        <w:rPr>
          <w:rFonts w:asciiTheme="majorBidi" w:hAnsiTheme="majorBidi" w:cstheme="majorBidi"/>
          <w:b/>
          <w:bCs/>
        </w:rPr>
        <w:t>*</w:t>
      </w:r>
      <w:r w:rsidRPr="00EE4DEF">
        <w:rPr>
          <w:rFonts w:asciiTheme="majorBidi" w:hAnsiTheme="majorBidi" w:cstheme="majorBidi"/>
        </w:rPr>
        <w:t xml:space="preserve"> P values that remained</w:t>
      </w:r>
      <w:r>
        <w:rPr>
          <w:rFonts w:asciiTheme="majorBidi" w:hAnsiTheme="majorBidi" w:cstheme="majorBidi"/>
        </w:rPr>
        <w:t xml:space="preserve"> significant after FDR correction,</w:t>
      </w:r>
      <w:r w:rsidRPr="00EE4DEF">
        <w:rPr>
          <w:rFonts w:asciiTheme="majorBidi" w:hAnsiTheme="majorBidi" w:cstheme="majorBidi"/>
        </w:rPr>
        <w:t xml:space="preserve"> indicative of a significant </w:t>
      </w:r>
      <w:r>
        <w:rPr>
          <w:rFonts w:asciiTheme="majorBidi" w:hAnsiTheme="majorBidi" w:cstheme="majorBidi"/>
        </w:rPr>
        <w:t>values.</w:t>
      </w:r>
      <w:r>
        <w:rPr>
          <w:rFonts w:asciiTheme="majorBidi" w:eastAsia="Times New Roman" w:hAnsiTheme="majorBidi" w:cstheme="majorBidi"/>
        </w:rPr>
        <w:t xml:space="preserve">  </w:t>
      </w:r>
    </w:p>
    <w:p w14:paraId="0B16AC22" w14:textId="77777777" w:rsidR="006B014E" w:rsidRPr="00EE4DEF" w:rsidRDefault="006B014E" w:rsidP="006B014E">
      <w:pPr>
        <w:tabs>
          <w:tab w:val="left" w:pos="1164"/>
        </w:tabs>
        <w:spacing w:line="480" w:lineRule="auto"/>
        <w:rPr>
          <w:rFonts w:asciiTheme="majorBidi" w:hAnsiTheme="majorBidi" w:cstheme="majorBidi"/>
        </w:rPr>
      </w:pPr>
      <w:r w:rsidRPr="003C6BD1">
        <w:rPr>
          <w:rFonts w:asciiTheme="majorBidi" w:hAnsiTheme="majorBidi" w:cstheme="majorBidi"/>
          <w:b/>
          <w:bCs/>
        </w:rPr>
        <w:lastRenderedPageBreak/>
        <w:t>Table S</w:t>
      </w:r>
      <w:r>
        <w:rPr>
          <w:rFonts w:asciiTheme="majorBidi" w:hAnsiTheme="majorBidi" w:cstheme="majorBidi"/>
          <w:b/>
          <w:bCs/>
        </w:rPr>
        <w:t>3</w:t>
      </w:r>
      <w:r w:rsidRPr="003C6BD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>4</w:t>
      </w:r>
      <w:r w:rsidRPr="003C6BD1">
        <w:rPr>
          <w:rFonts w:asciiTheme="majorBidi" w:hAnsiTheme="majorBidi" w:cstheme="majorBidi"/>
          <w:b/>
          <w:bCs/>
        </w:rPr>
        <w:t xml:space="preserve">. </w:t>
      </w:r>
      <w:r w:rsidRPr="00CF6BB5">
        <w:rPr>
          <w:rFonts w:asciiTheme="majorBidi" w:eastAsia="Times New Roman" w:hAnsiTheme="majorBidi" w:cstheme="majorBidi"/>
        </w:rPr>
        <w:t>Sensitivity</w:t>
      </w:r>
      <w:r>
        <w:rPr>
          <w:rFonts w:asciiTheme="majorBidi" w:eastAsia="Times New Roman" w:hAnsiTheme="majorBidi" w:cstheme="majorBidi"/>
        </w:rPr>
        <w:t xml:space="preserve"> analysis on the</w:t>
      </w:r>
      <w:r w:rsidRPr="00CF6BB5">
        <w:rPr>
          <w:rFonts w:asciiTheme="majorBidi" w:eastAsia="Times New Roman" w:hAnsiTheme="majorBidi" w:cstheme="majorBidi"/>
        </w:rPr>
        <w:t xml:space="preserve"> </w:t>
      </w:r>
      <w:r w:rsidRPr="005B2A04">
        <w:rPr>
          <w:rFonts w:asciiTheme="majorBidi" w:eastAsia="Times New Roman" w:hAnsiTheme="majorBidi" w:cstheme="majorBidi"/>
        </w:rPr>
        <w:t xml:space="preserve">inclusion of all levothyroxine users (both adherent and non-adherent </w:t>
      </w:r>
      <w:proofErr w:type="spellStart"/>
      <w:r w:rsidRPr="005B2A04">
        <w:rPr>
          <w:rFonts w:asciiTheme="majorBidi" w:eastAsia="Times New Roman" w:hAnsiTheme="majorBidi" w:cstheme="majorBidi"/>
        </w:rPr>
        <w:t>usres</w:t>
      </w:r>
      <w:proofErr w:type="spellEnd"/>
      <w:r w:rsidRPr="005B2A04">
        <w:rPr>
          <w:rFonts w:asciiTheme="majorBidi" w:eastAsia="Times New Roman" w:hAnsiTheme="majorBidi" w:cstheme="majorBidi"/>
        </w:rPr>
        <w:t>)</w:t>
      </w:r>
      <w:r w:rsidRPr="00EE4DEF">
        <w:rPr>
          <w:rFonts w:asciiTheme="majorBidi" w:hAnsiTheme="majorBidi" w:cstheme="majorBidi"/>
        </w:rPr>
        <w:t xml:space="preserve"> for mediatory role of thigh muscle markers in the association between </w:t>
      </w:r>
      <w:r>
        <w:rPr>
          <w:rFonts w:asciiTheme="majorBidi" w:hAnsiTheme="majorBidi" w:cstheme="majorBidi"/>
        </w:rPr>
        <w:t>levothyroxine use</w:t>
      </w:r>
      <w:r w:rsidRPr="00EE4DEF">
        <w:rPr>
          <w:rFonts w:asciiTheme="majorBidi" w:hAnsiTheme="majorBidi" w:cstheme="majorBidi"/>
        </w:rPr>
        <w:t xml:space="preserve"> and KOA</w:t>
      </w:r>
      <w:r>
        <w:rPr>
          <w:rFonts w:asciiTheme="majorBidi" w:hAnsiTheme="majorBidi" w:cstheme="majorBidi"/>
        </w:rPr>
        <w:t xml:space="preserve"> incidence</w:t>
      </w:r>
    </w:p>
    <w:tbl>
      <w:tblPr>
        <w:tblW w:w="12900" w:type="dxa"/>
        <w:tblLook w:val="04A0" w:firstRow="1" w:lastRow="0" w:firstColumn="1" w:lastColumn="0" w:noHBand="0" w:noVBand="1"/>
      </w:tblPr>
      <w:tblGrid>
        <w:gridCol w:w="1617"/>
        <w:gridCol w:w="1803"/>
        <w:gridCol w:w="3240"/>
        <w:gridCol w:w="3163"/>
        <w:gridCol w:w="3077"/>
      </w:tblGrid>
      <w:tr w:rsidR="006B014E" w:rsidRPr="00CF6BB5" w14:paraId="750023F4" w14:textId="77777777" w:rsidTr="0087754E">
        <w:trPr>
          <w:trHeight w:val="315"/>
        </w:trPr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4846" w14:textId="77777777" w:rsidR="006B014E" w:rsidRPr="00CF6BB5" w:rsidRDefault="006B014E" w:rsidP="0087754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FA0E9" w14:textId="77777777" w:rsidR="006B014E" w:rsidRPr="00CF6BB5" w:rsidRDefault="006B014E" w:rsidP="008775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CF1AC" w14:textId="77777777" w:rsidR="006B014E" w:rsidRPr="00CF6BB5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6B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Estimate (95% CI), P</w:t>
            </w:r>
          </w:p>
        </w:tc>
      </w:tr>
      <w:tr w:rsidR="006B014E" w:rsidRPr="00CF6BB5" w14:paraId="1EAB93B4" w14:textId="77777777" w:rsidTr="0087754E">
        <w:trPr>
          <w:trHeight w:val="1155"/>
        </w:trPr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04AFE" w14:textId="77777777" w:rsidR="006B014E" w:rsidRPr="00CF6BB5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6B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9B5C8" w14:textId="77777777" w:rsidR="006B014E" w:rsidRPr="00CF6BB5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F6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Mediatory variables</w:t>
            </w:r>
            <w:r w:rsidRPr="00CF6B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†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FACBE" w14:textId="77777777" w:rsidR="006B014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F6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Total association of levothyroxine use with KOA incidence</w:t>
            </w:r>
          </w:p>
          <w:p w14:paraId="0552F53B" w14:textId="77777777" w:rsidR="006B014E" w:rsidRPr="00CF6BB5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C4EE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(Through Equation 1 in Figure 2)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683BE" w14:textId="77777777" w:rsidR="006B014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F6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Direct association of levothyroxine use with KOA incidence</w:t>
            </w:r>
          </w:p>
          <w:p w14:paraId="5B48E969" w14:textId="77777777" w:rsidR="006B014E" w:rsidRPr="00CF6BB5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C4EE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(Through Equation 2 in Figure 2)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2F55BC" w14:textId="77777777" w:rsidR="006B014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F6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Mediatory role of thigh muscle biomarkers in the association of levothyroxine </w:t>
            </w:r>
            <w:proofErr w:type="gramStart"/>
            <w:r w:rsidRPr="00CF6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use</w:t>
            </w:r>
            <w:proofErr w:type="gramEnd"/>
            <w:r w:rsidRPr="00CF6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and KOA incidence</w:t>
            </w:r>
          </w:p>
          <w:p w14:paraId="0DF8D90E" w14:textId="77777777" w:rsidR="006B014E" w:rsidRPr="00CF6BB5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(Through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Equasions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3</w:t>
            </w:r>
            <w:r w:rsidRPr="00FC4EE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 and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FC4EE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 in Figure 2)</w:t>
            </w:r>
          </w:p>
        </w:tc>
      </w:tr>
      <w:tr w:rsidR="006B014E" w:rsidRPr="00CF6BB5" w14:paraId="5BABF2BB" w14:textId="77777777" w:rsidTr="0087754E">
        <w:trPr>
          <w:trHeight w:val="315"/>
        </w:trPr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E1AE9" w14:textId="77777777" w:rsidR="006B014E" w:rsidRPr="00CF6BB5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6B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KOA incidence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B312A" w14:textId="77777777" w:rsidR="006B014E" w:rsidRPr="00CF6BB5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6B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4-year changes in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F6B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CSA (mm2)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9EDE7" w14:textId="77777777" w:rsidR="006B014E" w:rsidRPr="00CF6BB5" w:rsidRDefault="006B014E" w:rsidP="008775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F6BB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881FE" w14:textId="77777777" w:rsidR="006B014E" w:rsidRPr="00CF6BB5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6B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FEDA0" w14:textId="77777777" w:rsidR="006B014E" w:rsidRPr="00CF6BB5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6B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6B014E" w:rsidRPr="00CF6BB5" w14:paraId="4C4F48AA" w14:textId="77777777" w:rsidTr="0087754E">
        <w:trPr>
          <w:trHeight w:val="315"/>
        </w:trPr>
        <w:tc>
          <w:tcPr>
            <w:tcW w:w="16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8BE771" w14:textId="77777777" w:rsidR="006B014E" w:rsidRPr="00CF6BB5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6B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Radiographic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ACF64" w14:textId="77777777" w:rsidR="006B014E" w:rsidRPr="00CF6BB5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6B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Quadriceps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F430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3.994 (2.370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5.884), P&lt;0.001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AC81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3.832 (2.251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5.734), P&lt;0.001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AD3F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0.161 (0.023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0.345), P:0.020</w:t>
            </w:r>
          </w:p>
        </w:tc>
      </w:tr>
      <w:tr w:rsidR="006B014E" w:rsidRPr="00CF6BB5" w14:paraId="3B2CB18F" w14:textId="77777777" w:rsidTr="0087754E">
        <w:trPr>
          <w:trHeight w:val="630"/>
        </w:trPr>
        <w:tc>
          <w:tcPr>
            <w:tcW w:w="16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A3887D" w14:textId="77777777" w:rsidR="006B014E" w:rsidRPr="00CF6BB5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B7D802" w14:textId="77777777" w:rsidR="006B014E" w:rsidRPr="00CF6BB5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6B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thigh muscles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6B233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4.224 (2.452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6.274), P&lt;0.001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F1077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4.310 (2.527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6.387), P&lt;0.001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77914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-0.086 (-0.249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0.044), P:0.200</w:t>
            </w:r>
          </w:p>
        </w:tc>
      </w:tr>
      <w:tr w:rsidR="006B014E" w:rsidRPr="00CF6BB5" w14:paraId="44CE1E1C" w14:textId="77777777" w:rsidTr="0087754E">
        <w:trPr>
          <w:trHeight w:val="315"/>
        </w:trPr>
        <w:tc>
          <w:tcPr>
            <w:tcW w:w="161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A484C1" w14:textId="77777777" w:rsidR="006B014E" w:rsidRPr="00CF6BB5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6B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Symptomatic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5B6BC" w14:textId="77777777" w:rsidR="006B014E" w:rsidRPr="00CF6BB5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6B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Quadriceps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FCE0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4.628 (2.466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7.252), P&lt;0.001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E827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4.551 (2.312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7.232), P&lt;0.001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04A6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0.077 (-0.073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0.277), P:0.240</w:t>
            </w:r>
          </w:p>
        </w:tc>
      </w:tr>
      <w:tr w:rsidR="006B014E" w:rsidRPr="00CF6BB5" w14:paraId="7B53F8CD" w14:textId="77777777" w:rsidTr="0087754E">
        <w:trPr>
          <w:trHeight w:val="645"/>
        </w:trPr>
        <w:tc>
          <w:tcPr>
            <w:tcW w:w="16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65EECA" w14:textId="77777777" w:rsidR="006B014E" w:rsidRPr="00CF6BB5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869454" w14:textId="77777777" w:rsidR="006B014E" w:rsidRPr="00CF6BB5" w:rsidRDefault="006B014E" w:rsidP="008775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6B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Total thigh muscles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4FEEE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4.742 (2.516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7.199), P&lt;0.001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4D4F2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4.927 (2.571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7.509), P&lt;0.001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9EB48" w14:textId="77777777" w:rsidR="006B014E" w:rsidRPr="00E20BFE" w:rsidRDefault="006B014E" w:rsidP="00877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(-0.410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</w:t>
            </w: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0.037), P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  <w:r w:rsidRPr="00E20B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0.100</w:t>
            </w:r>
          </w:p>
        </w:tc>
      </w:tr>
    </w:tbl>
    <w:p w14:paraId="5F7CD3E5" w14:textId="77777777" w:rsidR="006B014E" w:rsidRPr="00EE4DEF" w:rsidRDefault="006B014E" w:rsidP="006B014E">
      <w:pPr>
        <w:tabs>
          <w:tab w:val="left" w:pos="5184"/>
        </w:tabs>
        <w:spacing w:line="480" w:lineRule="auto"/>
        <w:rPr>
          <w:rFonts w:asciiTheme="majorBidi" w:eastAsia="Times New Roman" w:hAnsiTheme="majorBidi" w:cstheme="majorBidi"/>
          <w:color w:val="000000"/>
        </w:rPr>
      </w:pPr>
      <w:r>
        <w:rPr>
          <w:rFonts w:asciiTheme="majorBidi" w:eastAsia="Times New Roman" w:hAnsiTheme="majorBidi" w:cstheme="majorBidi"/>
        </w:rPr>
        <w:t>Levothyroxine user were considered as participants with levothyroxine use in either of baseline to 4</w:t>
      </w:r>
      <w:r w:rsidRPr="00E74841">
        <w:rPr>
          <w:rFonts w:asciiTheme="majorBidi" w:eastAsia="Times New Roman" w:hAnsiTheme="majorBidi" w:cstheme="majorBidi"/>
          <w:vertAlign w:val="superscript"/>
        </w:rPr>
        <w:t>th</w:t>
      </w:r>
      <w:r>
        <w:rPr>
          <w:rFonts w:asciiTheme="majorBidi" w:eastAsia="Times New Roman" w:hAnsiTheme="majorBidi" w:cstheme="majorBidi"/>
        </w:rPr>
        <w:t>-year visits.</w:t>
      </w:r>
    </w:p>
    <w:p w14:paraId="52D9E91C" w14:textId="77777777" w:rsidR="006B014E" w:rsidRPr="00EE4DEF" w:rsidRDefault="006B014E" w:rsidP="006B014E">
      <w:pPr>
        <w:spacing w:line="480" w:lineRule="auto"/>
        <w:rPr>
          <w:rFonts w:asciiTheme="majorBidi" w:eastAsia="Times New Roman" w:hAnsiTheme="majorBidi" w:cstheme="majorBidi"/>
        </w:rPr>
      </w:pPr>
      <w:r w:rsidRPr="00EE4DEF">
        <w:rPr>
          <w:rFonts w:asciiTheme="majorBidi" w:hAnsiTheme="majorBidi" w:cstheme="majorBidi"/>
          <w:color w:val="000000"/>
        </w:rPr>
        <w:t xml:space="preserve">CI: Confidence interval, CSA: Cross-sectional Area, Intra-MAT: Intra-muscular Adipose Tissue, JSN: Joint space narrowing, KOA: </w:t>
      </w:r>
      <w:r>
        <w:rPr>
          <w:rFonts w:asciiTheme="majorBidi" w:hAnsiTheme="majorBidi" w:cstheme="majorBidi"/>
          <w:color w:val="000000"/>
        </w:rPr>
        <w:t>Knee osteoarthritis.</w:t>
      </w:r>
    </w:p>
    <w:p w14:paraId="0CD0A6C0" w14:textId="77777777" w:rsidR="006B014E" w:rsidRPr="00EE4DEF" w:rsidRDefault="006B014E" w:rsidP="006B014E">
      <w:pPr>
        <w:spacing w:line="480" w:lineRule="auto"/>
        <w:rPr>
          <w:rFonts w:asciiTheme="majorBidi" w:hAnsiTheme="majorBidi" w:cstheme="majorBidi"/>
        </w:rPr>
      </w:pPr>
      <w:r w:rsidRPr="00EE4DEF">
        <w:rPr>
          <w:rFonts w:asciiTheme="majorBidi" w:hAnsiTheme="majorBidi" w:cstheme="majorBidi"/>
          <w:b/>
          <w:bCs/>
        </w:rPr>
        <w:t>†</w:t>
      </w:r>
      <w:r w:rsidRPr="00EE4DEF">
        <w:rPr>
          <w:rFonts w:asciiTheme="majorBidi" w:eastAsia="Times New Roman" w:hAnsiTheme="majorBidi" w:cstheme="majorBidi"/>
          <w:color w:val="000000"/>
        </w:rPr>
        <w:t xml:space="preserve"> Thigh muscle markers that </w:t>
      </w:r>
      <w:r>
        <w:rPr>
          <w:rFonts w:asciiTheme="majorBidi" w:eastAsia="Times New Roman" w:hAnsiTheme="majorBidi" w:cstheme="majorBidi"/>
          <w:color w:val="000000"/>
        </w:rPr>
        <w:t xml:space="preserve">their changes </w:t>
      </w:r>
      <w:r w:rsidRPr="00EE4DEF">
        <w:rPr>
          <w:rFonts w:asciiTheme="majorBidi" w:eastAsia="Times New Roman" w:hAnsiTheme="majorBidi" w:cstheme="majorBidi"/>
          <w:color w:val="000000"/>
        </w:rPr>
        <w:t xml:space="preserve">were associated with </w:t>
      </w:r>
      <w:r>
        <w:rPr>
          <w:rFonts w:asciiTheme="majorBidi" w:eastAsia="Times New Roman" w:hAnsiTheme="majorBidi" w:cstheme="majorBidi"/>
          <w:color w:val="000000"/>
        </w:rPr>
        <w:t>levothyroxine use</w:t>
      </w:r>
      <w:r w:rsidRPr="00EE4DEF">
        <w:rPr>
          <w:rFonts w:asciiTheme="majorBidi" w:eastAsia="Times New Roman" w:hAnsiTheme="majorBidi" w:cstheme="majorBidi"/>
          <w:color w:val="000000"/>
        </w:rPr>
        <w:t xml:space="preserve"> selected for causal mediation analysis.</w:t>
      </w:r>
    </w:p>
    <w:p w14:paraId="3B99C37B" w14:textId="77777777" w:rsidR="006B014E" w:rsidRPr="00EE4DEF" w:rsidRDefault="006B014E" w:rsidP="006B014E">
      <w:pPr>
        <w:spacing w:line="480" w:lineRule="auto"/>
        <w:rPr>
          <w:rFonts w:asciiTheme="majorBidi" w:hAnsiTheme="majorBidi" w:cstheme="majorBidi"/>
        </w:rPr>
        <w:sectPr w:rsidR="006B014E" w:rsidRPr="00EE4DEF" w:rsidSect="00E7256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4ED1436" w14:textId="77777777" w:rsidR="006B014E" w:rsidRPr="00EE4DEF" w:rsidRDefault="006B014E" w:rsidP="006B014E">
      <w:pPr>
        <w:pStyle w:val="NormalWeb"/>
        <w:rPr>
          <w:rFonts w:asciiTheme="majorBidi" w:hAnsiTheme="majorBidi" w:cstheme="majorBidi"/>
        </w:rPr>
      </w:pPr>
      <w:r w:rsidRPr="00EE4DEF">
        <w:rPr>
          <w:rFonts w:asciiTheme="majorBidi" w:hAnsiTheme="majorBidi" w:cstheme="majorBidi"/>
          <w:b/>
          <w:bCs/>
          <w:color w:val="0E101A"/>
        </w:rPr>
        <w:lastRenderedPageBreak/>
        <w:t>Figure S</w:t>
      </w:r>
      <w:r>
        <w:rPr>
          <w:rFonts w:asciiTheme="majorBidi" w:hAnsiTheme="majorBidi" w:cstheme="majorBidi"/>
          <w:b/>
          <w:bCs/>
          <w:color w:val="0E101A"/>
        </w:rPr>
        <w:t>1</w:t>
      </w:r>
      <w:r w:rsidRPr="00EE4DEF">
        <w:rPr>
          <w:rFonts w:asciiTheme="majorBidi" w:hAnsiTheme="majorBidi" w:cstheme="majorBidi"/>
        </w:rPr>
        <w:t>. Study outcome variables.</w:t>
      </w:r>
    </w:p>
    <w:p w14:paraId="662D1CE1" w14:textId="77777777" w:rsidR="006B014E" w:rsidRPr="00EE4DEF" w:rsidRDefault="006B014E" w:rsidP="006B014E">
      <w:pPr>
        <w:pStyle w:val="NormalWeb"/>
        <w:rPr>
          <w:rFonts w:asciiTheme="majorBidi" w:hAnsiTheme="majorBidi" w:cstheme="majorBidi"/>
        </w:rPr>
      </w:pPr>
      <w:r w:rsidRPr="00EE4DEF">
        <w:rPr>
          <w:rFonts w:asciiTheme="majorBidi" w:hAnsiTheme="majorBidi" w:cstheme="majorBidi"/>
          <w:noProof/>
          <w:color w:val="0E101A"/>
        </w:rPr>
        <w:drawing>
          <wp:inline distT="0" distB="0" distL="0" distR="0" wp14:anchorId="342B6E37" wp14:editId="012FF399">
            <wp:extent cx="5943600" cy="4907280"/>
            <wp:effectExtent l="0" t="0" r="0" b="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0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9C598" w14:textId="77777777" w:rsidR="006B014E" w:rsidRPr="00EE4DEF" w:rsidRDefault="006B014E" w:rsidP="006B014E">
      <w:pPr>
        <w:spacing w:line="480" w:lineRule="auto"/>
        <w:rPr>
          <w:rFonts w:asciiTheme="majorBidi" w:eastAsia="Times New Roman" w:hAnsiTheme="majorBidi" w:cstheme="majorBidi"/>
        </w:rPr>
      </w:pPr>
      <w:r w:rsidRPr="00EE4DEF">
        <w:rPr>
          <w:rFonts w:asciiTheme="majorBidi" w:eastAsia="Times New Roman" w:hAnsiTheme="majorBidi" w:cstheme="majorBidi"/>
        </w:rPr>
        <w:t>Illustration of study outcome variables. CSA: Cross-sectional Area, IMT: Inter-muscular Tissue, Inter-MAT: Inter-muscular Adipose Tissue, Intra-MAT: Intra-muscular Adipose Tissue, SCF: Subcutaneous Fat.</w:t>
      </w:r>
    </w:p>
    <w:p w14:paraId="50DE3A99" w14:textId="77777777" w:rsidR="006B014E" w:rsidRPr="00EE4DEF" w:rsidRDefault="006B014E" w:rsidP="006B014E">
      <w:pPr>
        <w:pStyle w:val="Heading2"/>
        <w:spacing w:line="480" w:lineRule="auto"/>
        <w:jc w:val="both"/>
      </w:pPr>
      <w:r w:rsidRPr="00EE4DEF">
        <w:rPr>
          <w:rFonts w:eastAsia="Times New Roman"/>
        </w:rPr>
        <w:br w:type="column"/>
      </w:r>
      <w:r w:rsidRPr="00EE4DEF">
        <w:lastRenderedPageBreak/>
        <w:t>Appendix References</w:t>
      </w:r>
    </w:p>
    <w:p w14:paraId="787AEC73" w14:textId="77777777" w:rsidR="006B014E" w:rsidRPr="00DE54DD" w:rsidRDefault="006B014E" w:rsidP="006B014E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Theme="majorBidi" w:hAnsiTheme="majorBidi" w:cstheme="majorBidi"/>
        </w:rPr>
      </w:pPr>
      <w:r w:rsidRPr="00DE54DD">
        <w:rPr>
          <w:rFonts w:asciiTheme="majorBidi" w:hAnsiTheme="majorBidi" w:cstheme="majorBidi"/>
        </w:rPr>
        <w:t>Alberti KG, Zimmet P, Shaw J. Metabolic syndrome--a new worldwide definition. A consensus statement from the International Diabetes Federation. Diabet Med 2006;23(5):469-480. doi: 10.1111/j.1464-5491.</w:t>
      </w:r>
      <w:proofErr w:type="gramStart"/>
      <w:r w:rsidRPr="00DE54DD">
        <w:rPr>
          <w:rFonts w:asciiTheme="majorBidi" w:hAnsiTheme="majorBidi" w:cstheme="majorBidi"/>
        </w:rPr>
        <w:t>2006.01858.x</w:t>
      </w:r>
      <w:proofErr w:type="gramEnd"/>
    </w:p>
    <w:p w14:paraId="1ECDF50F" w14:textId="77777777" w:rsidR="006B014E" w:rsidRPr="00DE54DD" w:rsidRDefault="006B014E" w:rsidP="006B014E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Theme="majorBidi" w:hAnsiTheme="majorBidi" w:cstheme="majorBidi"/>
        </w:rPr>
      </w:pPr>
      <w:r w:rsidRPr="00DE54DD">
        <w:rPr>
          <w:rFonts w:asciiTheme="majorBidi" w:hAnsiTheme="majorBidi" w:cstheme="majorBidi"/>
        </w:rPr>
        <w:t xml:space="preserve">Li C. Little's test of missing completely at random. Stata Journal 2013;13(4):795-809. </w:t>
      </w:r>
    </w:p>
    <w:p w14:paraId="5E3F0EE6" w14:textId="77777777" w:rsidR="006B014E" w:rsidRPr="00DE54DD" w:rsidRDefault="006B014E" w:rsidP="006B014E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Theme="majorBidi" w:hAnsiTheme="majorBidi" w:cstheme="majorBidi"/>
        </w:rPr>
      </w:pPr>
      <w:r w:rsidRPr="00DE54DD">
        <w:rPr>
          <w:rFonts w:asciiTheme="majorBidi" w:hAnsiTheme="majorBidi" w:cstheme="majorBidi"/>
        </w:rPr>
        <w:t>Resseguier N, Giorgi R, Paoletti X. Sensitivity analysis when data are missing not-at-random. Epidemiology 2011;22(2):282. doi: 10.1097/EDE.0b013e318209dec7</w:t>
      </w:r>
    </w:p>
    <w:p w14:paraId="35EBBA94" w14:textId="77777777" w:rsidR="00796996" w:rsidRDefault="00796996"/>
    <w:sectPr w:rsidR="007969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A68AA"/>
    <w:multiLevelType w:val="hybridMultilevel"/>
    <w:tmpl w:val="3A2E7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82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14E"/>
    <w:rsid w:val="00470D29"/>
    <w:rsid w:val="006B014E"/>
    <w:rsid w:val="007419E7"/>
    <w:rsid w:val="00796996"/>
    <w:rsid w:val="00CC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ADE38"/>
  <w15:chartTrackingRefBased/>
  <w15:docId w15:val="{E3C185A3-DCC5-406B-89BE-E1941B1FC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14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14E"/>
    <w:pPr>
      <w:keepNext/>
      <w:keepLines/>
      <w:spacing w:before="240"/>
      <w:outlineLvl w:val="0"/>
    </w:pPr>
    <w:rPr>
      <w:rFonts w:asciiTheme="majorBidi" w:eastAsiaTheme="majorEastAsia" w:hAnsiTheme="majorBid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19E7"/>
    <w:pPr>
      <w:keepNext/>
      <w:keepLines/>
      <w:spacing w:before="40"/>
      <w:outlineLvl w:val="1"/>
    </w:pPr>
    <w:rPr>
      <w:rFonts w:asciiTheme="majorBidi" w:eastAsiaTheme="majorEastAsia" w:hAnsiTheme="majorBidi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19E7"/>
    <w:rPr>
      <w:rFonts w:asciiTheme="majorBidi" w:eastAsiaTheme="majorEastAsia" w:hAnsiTheme="majorBidi" w:cstheme="majorBidi"/>
      <w:b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B014E"/>
    <w:rPr>
      <w:rFonts w:asciiTheme="majorBidi" w:eastAsiaTheme="majorEastAsia" w:hAnsiTheme="majorBidi" w:cstheme="majorBidi"/>
      <w:b/>
      <w:sz w:val="28"/>
      <w:szCs w:val="32"/>
    </w:rPr>
  </w:style>
  <w:style w:type="paragraph" w:styleId="ListParagraph">
    <w:name w:val="List Paragraph"/>
    <w:basedOn w:val="Normal"/>
    <w:uiPriority w:val="34"/>
    <w:qFormat/>
    <w:rsid w:val="006B014E"/>
    <w:pPr>
      <w:ind w:left="720"/>
      <w:contextualSpacing/>
    </w:pPr>
  </w:style>
  <w:style w:type="paragraph" w:styleId="NormalWeb">
    <w:name w:val="Normal (Web)"/>
    <w:basedOn w:val="Normal"/>
    <w:link w:val="NormalWebChar"/>
    <w:uiPriority w:val="99"/>
    <w:unhideWhenUsed/>
    <w:rsid w:val="006B014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basedOn w:val="DefaultParagraphFont"/>
    <w:link w:val="NormalWeb"/>
    <w:uiPriority w:val="99"/>
    <w:rsid w:val="006B014E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B014E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2152</Words>
  <Characters>12269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2022-06-25T16:54:00Z</dcterms:created>
  <dcterms:modified xsi:type="dcterms:W3CDTF">2022-06-25T17:02:00Z</dcterms:modified>
</cp:coreProperties>
</file>