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after="100" w:line="240" w:lineRule="auto"/>
        <w:ind w:left="100" w:right="100" w:firstLine="0"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Table 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S1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. Clinicopathological characteristics of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patients with 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or without preoperative chemotherapy</w:t>
      </w: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9"/>
        <w:gridCol w:w="1686"/>
        <w:gridCol w:w="1686"/>
        <w:gridCol w:w="1786"/>
        <w:gridCol w:w="7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Total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686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Operation time (mean (SD))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115.071 (34.384)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111.667 (33.367)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127.556 (37.182)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0.2234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Hemorrhage (median [IQR])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 [20, 200]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 [20, 200]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 [60, 300]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0.1392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Tumor rupture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20" w:firstLineChars="20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 (64.29)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 (66.67)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 (55.56)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0.8226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ind w:firstLine="420" w:firstLineChars="20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 (35.71)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 (33.33)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 (44.44)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Metastasis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20" w:firstLineChars="20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 (42.86)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 (45.45)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 (33.33)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0.7861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 w:val="0"/>
              <w:ind w:firstLine="420" w:firstLineChars="20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168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 (57.14)</w:t>
            </w:r>
          </w:p>
        </w:tc>
        <w:tc>
          <w:tcPr>
            <w:tcW w:w="168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 (54.55)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 (66.67)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</w:tbl>
    <w:p>
      <w:pPr>
        <w:rPr>
          <w:rFonts w:hint="default" w:ascii="Times New Roman" w:hAnsi="Times New Roman" w:cs="Times New Roman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4C519F"/>
    <w:rsid w:val="02EE513F"/>
    <w:rsid w:val="062C1C83"/>
    <w:rsid w:val="18B66446"/>
    <w:rsid w:val="2330636C"/>
    <w:rsid w:val="33311BF2"/>
    <w:rsid w:val="34C610B8"/>
    <w:rsid w:val="37277EFC"/>
    <w:rsid w:val="4AC31EF2"/>
    <w:rsid w:val="4C4C519F"/>
    <w:rsid w:val="64DB01EE"/>
    <w:rsid w:val="6F1F610B"/>
    <w:rsid w:val="7D2C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394</Characters>
  <Lines>0</Lines>
  <Paragraphs>0</Paragraphs>
  <TotalTime>0</TotalTime>
  <ScaleCrop>false</ScaleCrop>
  <LinksUpToDate>false</LinksUpToDate>
  <CharactersWithSpaces>433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2021-10-13T14:02:00Z</dcterms:created>
  <dc:creator>空格键</dc:creator>
  <cp:lastModifiedBy>张黄医生</cp:lastModifiedBy>
  <dcterms:modified xsi:type="dcterms:W3CDTF">2022-04-02T09:30:35Z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2B9BB6F2A39041F2803FC6E247DF80DE</vt:lpwstr>
  </property>
</Properties>
</file>