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4ABAC" w14:textId="0FDE8C8F" w:rsidR="0056348E" w:rsidRPr="009F0669" w:rsidRDefault="0056348E" w:rsidP="0056348E">
      <w:pPr>
        <w:spacing w:after="0" w:line="240" w:lineRule="auto"/>
        <w:rPr>
          <w:rFonts w:ascii="Times New Roman" w:eastAsia="Times New Roman" w:hAnsi="Times New Roman" w:cs="Times New Roman"/>
          <w:sz w:val="24"/>
          <w:szCs w:val="24"/>
          <w:lang w:eastAsia="en-GB"/>
        </w:rPr>
      </w:pPr>
      <w:r w:rsidRPr="009F0669">
        <w:rPr>
          <w:rFonts w:ascii="Arial" w:eastAsia="Times New Roman" w:hAnsi="Arial" w:cs="Arial"/>
          <w:b/>
          <w:bCs/>
          <w:color w:val="000000"/>
          <w:sz w:val="28"/>
          <w:szCs w:val="28"/>
          <w:lang w:eastAsia="en-GB"/>
        </w:rPr>
        <w:t>Supplementary Information</w:t>
      </w:r>
    </w:p>
    <w:p w14:paraId="6E1ADF3E" w14:textId="77777777" w:rsidR="0056348E" w:rsidRPr="009F0669" w:rsidRDefault="0056348E" w:rsidP="0056348E">
      <w:pPr>
        <w:spacing w:after="0" w:line="240" w:lineRule="auto"/>
        <w:rPr>
          <w:rFonts w:ascii="Times New Roman" w:eastAsia="Times New Roman" w:hAnsi="Times New Roman" w:cs="Times New Roman"/>
          <w:sz w:val="24"/>
          <w:szCs w:val="24"/>
          <w:lang w:eastAsia="en-GB"/>
        </w:rPr>
      </w:pPr>
    </w:p>
    <w:p w14:paraId="32187E31" w14:textId="77777777" w:rsidR="00C02646" w:rsidRDefault="00C02646" w:rsidP="00C02646">
      <w:pPr>
        <w:spacing w:after="200" w:line="276" w:lineRule="auto"/>
        <w:jc w:val="both"/>
        <w:rPr>
          <w:rFonts w:ascii="Times New Roman" w:eastAsia="Times New Roman" w:hAnsi="Times New Roman" w:cs="Times New Roman"/>
          <w:sz w:val="24"/>
          <w:szCs w:val="24"/>
        </w:rPr>
      </w:pPr>
      <w:bookmarkStart w:id="0" w:name="_gjdgxs" w:colFirst="0" w:colLast="0"/>
      <w:bookmarkEnd w:id="0"/>
      <w:r>
        <w:rPr>
          <w:rFonts w:ascii="Arial" w:eastAsia="Arial" w:hAnsi="Arial" w:cs="Arial"/>
          <w:color w:val="000000"/>
          <w:sz w:val="28"/>
          <w:szCs w:val="28"/>
        </w:rPr>
        <w:t>Keap1-resistant ΔN-Nrf2 isoform does not translocate to the nucleus upon electrophilic stress</w:t>
      </w:r>
    </w:p>
    <w:p w14:paraId="672E4176" w14:textId="77777777" w:rsidR="0056348E" w:rsidRPr="00961941" w:rsidRDefault="0056348E" w:rsidP="00C02646">
      <w:pPr>
        <w:spacing w:after="200" w:line="240" w:lineRule="auto"/>
        <w:jc w:val="both"/>
        <w:rPr>
          <w:rFonts w:ascii="Arial" w:eastAsia="Times New Roman" w:hAnsi="Arial" w:cs="Arial"/>
          <w:color w:val="000000"/>
          <w:sz w:val="20"/>
          <w:szCs w:val="20"/>
          <w:vertAlign w:val="superscript"/>
          <w:lang w:eastAsia="en-GB"/>
        </w:rPr>
      </w:pPr>
      <w:r w:rsidRPr="00961941">
        <w:rPr>
          <w:rFonts w:ascii="Arial" w:eastAsia="Times New Roman" w:hAnsi="Arial" w:cs="Arial"/>
          <w:color w:val="000000"/>
          <w:sz w:val="20"/>
          <w:szCs w:val="20"/>
          <w:lang w:eastAsia="en-GB"/>
        </w:rPr>
        <w:t>Sara Mikac</w:t>
      </w:r>
      <w:r w:rsidRPr="00961941">
        <w:rPr>
          <w:rFonts w:ascii="Arial" w:eastAsia="Times New Roman" w:hAnsi="Arial" w:cs="Arial"/>
          <w:color w:val="000000"/>
          <w:sz w:val="20"/>
          <w:szCs w:val="20"/>
          <w:vertAlign w:val="superscript"/>
          <w:lang w:eastAsia="en-GB"/>
        </w:rPr>
        <w:t>1</w:t>
      </w:r>
      <w:r w:rsidRPr="00961941">
        <w:rPr>
          <w:rFonts w:ascii="Arial" w:eastAsia="Times New Roman" w:hAnsi="Arial" w:cs="Arial"/>
          <w:color w:val="000000"/>
          <w:sz w:val="20"/>
          <w:szCs w:val="20"/>
          <w:lang w:eastAsia="en-GB"/>
        </w:rPr>
        <w:t xml:space="preserve">, </w:t>
      </w:r>
      <w:proofErr w:type="spellStart"/>
      <w:r w:rsidRPr="00961941">
        <w:rPr>
          <w:rFonts w:ascii="Arial" w:eastAsia="Times New Roman" w:hAnsi="Arial" w:cs="Arial"/>
          <w:color w:val="000000"/>
          <w:sz w:val="20"/>
          <w:szCs w:val="20"/>
          <w:lang w:eastAsia="en-GB"/>
        </w:rPr>
        <w:t>Alicja</w:t>
      </w:r>
      <w:proofErr w:type="spellEnd"/>
      <w:r w:rsidRPr="00961941">
        <w:rPr>
          <w:rFonts w:ascii="Arial" w:eastAsia="Times New Roman" w:hAnsi="Arial" w:cs="Arial"/>
          <w:color w:val="000000"/>
          <w:sz w:val="20"/>
          <w:szCs w:val="20"/>
          <w:lang w:eastAsia="en-GB"/>
        </w:rPr>
        <w:t xml:space="preserve"> Dziadosz</w:t>
      </w:r>
      <w:r w:rsidRPr="00961941">
        <w:rPr>
          <w:rFonts w:ascii="Arial" w:eastAsia="Times New Roman" w:hAnsi="Arial" w:cs="Arial"/>
          <w:color w:val="000000"/>
          <w:sz w:val="20"/>
          <w:szCs w:val="20"/>
          <w:vertAlign w:val="superscript"/>
          <w:lang w:eastAsia="en-GB"/>
        </w:rPr>
        <w:t>1</w:t>
      </w:r>
      <w:r w:rsidRPr="00961941">
        <w:rPr>
          <w:rFonts w:ascii="Arial" w:eastAsia="Times New Roman" w:hAnsi="Arial" w:cs="Arial"/>
          <w:color w:val="000000"/>
          <w:sz w:val="20"/>
          <w:szCs w:val="20"/>
          <w:lang w:eastAsia="en-GB"/>
        </w:rPr>
        <w:t xml:space="preserve">, </w:t>
      </w:r>
      <w:proofErr w:type="spellStart"/>
      <w:r w:rsidRPr="00961941">
        <w:rPr>
          <w:rFonts w:ascii="Arial" w:eastAsia="Times New Roman" w:hAnsi="Arial" w:cs="Arial"/>
          <w:color w:val="000000"/>
          <w:sz w:val="20"/>
          <w:szCs w:val="20"/>
          <w:lang w:eastAsia="en-GB"/>
        </w:rPr>
        <w:t>Monikaben</w:t>
      </w:r>
      <w:proofErr w:type="spellEnd"/>
      <w:r w:rsidRPr="00961941">
        <w:rPr>
          <w:rFonts w:ascii="Arial" w:eastAsia="Times New Roman" w:hAnsi="Arial" w:cs="Arial"/>
          <w:color w:val="000000"/>
          <w:sz w:val="20"/>
          <w:szCs w:val="20"/>
          <w:lang w:eastAsia="en-GB"/>
        </w:rPr>
        <w:t xml:space="preserve"> Padariya</w:t>
      </w:r>
      <w:r w:rsidRPr="00961941">
        <w:rPr>
          <w:rFonts w:ascii="Arial" w:eastAsia="Times New Roman" w:hAnsi="Arial" w:cs="Arial"/>
          <w:color w:val="000000"/>
          <w:sz w:val="20"/>
          <w:szCs w:val="20"/>
          <w:vertAlign w:val="superscript"/>
          <w:lang w:eastAsia="en-GB"/>
        </w:rPr>
        <w:t>1</w:t>
      </w:r>
      <w:r w:rsidRPr="00961941">
        <w:rPr>
          <w:rFonts w:ascii="Arial" w:eastAsia="Times New Roman" w:hAnsi="Arial" w:cs="Arial"/>
          <w:color w:val="000000"/>
          <w:sz w:val="20"/>
          <w:szCs w:val="20"/>
          <w:lang w:eastAsia="en-GB"/>
        </w:rPr>
        <w:t>, Umesh Kalathiya</w:t>
      </w:r>
      <w:r w:rsidRPr="00961941">
        <w:rPr>
          <w:rFonts w:ascii="Arial" w:eastAsia="Times New Roman" w:hAnsi="Arial" w:cs="Arial"/>
          <w:color w:val="000000"/>
          <w:sz w:val="20"/>
          <w:szCs w:val="20"/>
          <w:vertAlign w:val="superscript"/>
          <w:lang w:eastAsia="en-GB"/>
        </w:rPr>
        <w:t>1</w:t>
      </w:r>
      <w:r w:rsidRPr="00961941">
        <w:rPr>
          <w:rFonts w:ascii="Arial" w:eastAsia="Times New Roman" w:hAnsi="Arial" w:cs="Arial"/>
          <w:color w:val="000000"/>
          <w:sz w:val="20"/>
          <w:szCs w:val="20"/>
          <w:lang w:eastAsia="en-GB"/>
        </w:rPr>
        <w:t>, Robin Fahraeus</w:t>
      </w:r>
      <w:r w:rsidRPr="00961941">
        <w:rPr>
          <w:rFonts w:ascii="Arial" w:eastAsia="Times New Roman" w:hAnsi="Arial" w:cs="Arial"/>
          <w:color w:val="000000"/>
          <w:sz w:val="20"/>
          <w:szCs w:val="20"/>
          <w:vertAlign w:val="superscript"/>
          <w:lang w:eastAsia="en-GB"/>
        </w:rPr>
        <w:t>1</w:t>
      </w:r>
      <w:r>
        <w:rPr>
          <w:rFonts w:ascii="Arial" w:eastAsia="Times New Roman" w:hAnsi="Arial" w:cs="Arial"/>
          <w:color w:val="000000"/>
          <w:sz w:val="20"/>
          <w:szCs w:val="20"/>
          <w:vertAlign w:val="superscript"/>
          <w:lang w:eastAsia="en-GB"/>
        </w:rPr>
        <w:t xml:space="preserve"> 2 3 4</w:t>
      </w:r>
      <w:r w:rsidRPr="00961941">
        <w:rPr>
          <w:rFonts w:ascii="Arial" w:eastAsia="Times New Roman" w:hAnsi="Arial" w:cs="Arial"/>
          <w:color w:val="000000"/>
          <w:sz w:val="20"/>
          <w:szCs w:val="20"/>
          <w:lang w:eastAsia="en-GB"/>
        </w:rPr>
        <w:t>, Natalia Marek-Trzonkowska</w:t>
      </w:r>
      <w:r w:rsidRPr="006E77EA">
        <w:rPr>
          <w:rFonts w:ascii="Arial" w:eastAsia="Times New Roman" w:hAnsi="Arial" w:cs="Arial"/>
          <w:color w:val="000000"/>
          <w:sz w:val="20"/>
          <w:szCs w:val="20"/>
          <w:vertAlign w:val="superscript"/>
          <w:lang w:eastAsia="en-GB"/>
        </w:rPr>
        <w:t>1</w:t>
      </w:r>
      <w:r>
        <w:rPr>
          <w:rFonts w:ascii="Arial" w:eastAsia="Times New Roman" w:hAnsi="Arial" w:cs="Arial"/>
          <w:color w:val="000000"/>
          <w:sz w:val="20"/>
          <w:szCs w:val="20"/>
          <w:vertAlign w:val="superscript"/>
          <w:lang w:eastAsia="en-GB"/>
        </w:rPr>
        <w:t xml:space="preserve"> 5 6</w:t>
      </w:r>
      <w:r w:rsidRPr="00961941">
        <w:rPr>
          <w:rFonts w:ascii="Arial" w:eastAsia="Times New Roman" w:hAnsi="Arial" w:cs="Arial"/>
          <w:color w:val="000000"/>
          <w:sz w:val="20"/>
          <w:szCs w:val="20"/>
          <w:lang w:eastAsia="en-GB"/>
        </w:rPr>
        <w:t xml:space="preserve">, </w:t>
      </w:r>
      <w:proofErr w:type="spellStart"/>
      <w:r w:rsidRPr="00961941">
        <w:rPr>
          <w:rFonts w:ascii="Arial" w:eastAsia="Times New Roman" w:hAnsi="Arial" w:cs="Arial"/>
          <w:color w:val="000000"/>
          <w:sz w:val="20"/>
          <w:szCs w:val="20"/>
          <w:lang w:eastAsia="en-GB"/>
        </w:rPr>
        <w:t>Elżbieta</w:t>
      </w:r>
      <w:proofErr w:type="spellEnd"/>
      <w:r w:rsidRPr="00961941">
        <w:rPr>
          <w:rFonts w:ascii="Arial" w:eastAsia="Times New Roman" w:hAnsi="Arial" w:cs="Arial"/>
          <w:color w:val="000000"/>
          <w:sz w:val="20"/>
          <w:szCs w:val="20"/>
          <w:lang w:eastAsia="en-GB"/>
        </w:rPr>
        <w:t xml:space="preserve"> Chruściel</w:t>
      </w:r>
      <w:r w:rsidRPr="006E77EA">
        <w:rPr>
          <w:rFonts w:ascii="Arial" w:eastAsia="Times New Roman" w:hAnsi="Arial" w:cs="Arial"/>
          <w:color w:val="000000"/>
          <w:sz w:val="20"/>
          <w:szCs w:val="20"/>
          <w:vertAlign w:val="superscript"/>
          <w:lang w:eastAsia="en-GB"/>
        </w:rPr>
        <w:t>1</w:t>
      </w:r>
      <w:r w:rsidRPr="00961941">
        <w:rPr>
          <w:rFonts w:ascii="Arial" w:eastAsia="Times New Roman" w:hAnsi="Arial" w:cs="Arial"/>
          <w:color w:val="000000"/>
          <w:sz w:val="20"/>
          <w:szCs w:val="20"/>
          <w:lang w:eastAsia="en-GB"/>
        </w:rPr>
        <w:t xml:space="preserve">, </w:t>
      </w:r>
      <w:proofErr w:type="spellStart"/>
      <w:r w:rsidRPr="00961941">
        <w:rPr>
          <w:rFonts w:ascii="Arial" w:eastAsia="Times New Roman" w:hAnsi="Arial" w:cs="Arial"/>
          <w:color w:val="000000"/>
          <w:sz w:val="20"/>
          <w:szCs w:val="20"/>
          <w:lang w:eastAsia="en-GB"/>
        </w:rPr>
        <w:t>Zuzanna</w:t>
      </w:r>
      <w:proofErr w:type="spellEnd"/>
      <w:r w:rsidRPr="00961941">
        <w:rPr>
          <w:rFonts w:ascii="Arial" w:eastAsia="Times New Roman" w:hAnsi="Arial" w:cs="Arial"/>
          <w:color w:val="000000"/>
          <w:sz w:val="20"/>
          <w:szCs w:val="20"/>
          <w:lang w:eastAsia="en-GB"/>
        </w:rPr>
        <w:t>-Urban Wójciuk</w:t>
      </w:r>
      <w:r w:rsidRPr="006E77EA">
        <w:rPr>
          <w:rFonts w:ascii="Arial" w:eastAsia="Times New Roman" w:hAnsi="Arial" w:cs="Arial"/>
          <w:color w:val="000000"/>
          <w:sz w:val="20"/>
          <w:szCs w:val="20"/>
          <w:vertAlign w:val="superscript"/>
          <w:lang w:eastAsia="en-GB"/>
        </w:rPr>
        <w:t>1</w:t>
      </w:r>
      <w:r w:rsidRPr="00961941">
        <w:rPr>
          <w:rFonts w:ascii="Arial" w:eastAsia="Times New Roman" w:hAnsi="Arial" w:cs="Arial"/>
          <w:color w:val="000000"/>
          <w:sz w:val="20"/>
          <w:szCs w:val="20"/>
          <w:lang w:eastAsia="en-GB"/>
        </w:rPr>
        <w:t>, Ines Papak</w:t>
      </w:r>
      <w:r w:rsidRPr="006E77EA">
        <w:rPr>
          <w:rFonts w:ascii="Arial" w:eastAsia="Times New Roman" w:hAnsi="Arial" w:cs="Arial"/>
          <w:color w:val="000000"/>
          <w:sz w:val="20"/>
          <w:szCs w:val="20"/>
          <w:vertAlign w:val="superscript"/>
          <w:lang w:eastAsia="en-GB"/>
        </w:rPr>
        <w:t>1</w:t>
      </w:r>
      <w:r w:rsidRPr="00961941">
        <w:rPr>
          <w:rFonts w:ascii="Arial" w:eastAsia="Times New Roman" w:hAnsi="Arial" w:cs="Arial"/>
          <w:color w:val="000000"/>
          <w:sz w:val="20"/>
          <w:szCs w:val="20"/>
          <w:lang w:eastAsia="en-GB"/>
        </w:rPr>
        <w:t xml:space="preserve">, </w:t>
      </w:r>
      <w:proofErr w:type="spellStart"/>
      <w:r w:rsidRPr="00961941">
        <w:rPr>
          <w:rFonts w:ascii="Arial" w:eastAsia="Times New Roman" w:hAnsi="Arial" w:cs="Arial"/>
          <w:color w:val="000000"/>
          <w:sz w:val="20"/>
          <w:szCs w:val="20"/>
          <w:lang w:eastAsia="en-GB"/>
        </w:rPr>
        <w:t>Łukasz</w:t>
      </w:r>
      <w:proofErr w:type="spellEnd"/>
      <w:r w:rsidRPr="00961941">
        <w:rPr>
          <w:rFonts w:ascii="Arial" w:eastAsia="Times New Roman" w:hAnsi="Arial" w:cs="Arial"/>
          <w:color w:val="000000"/>
          <w:sz w:val="20"/>
          <w:szCs w:val="20"/>
          <w:lang w:eastAsia="en-GB"/>
        </w:rPr>
        <w:t xml:space="preserve"> Arcimowicz</w:t>
      </w:r>
      <w:r w:rsidRPr="006E77EA">
        <w:rPr>
          <w:rFonts w:ascii="Arial" w:eastAsia="Times New Roman" w:hAnsi="Arial" w:cs="Arial"/>
          <w:color w:val="000000"/>
          <w:sz w:val="20"/>
          <w:szCs w:val="20"/>
          <w:vertAlign w:val="superscript"/>
          <w:lang w:eastAsia="en-GB"/>
        </w:rPr>
        <w:t>1</w:t>
      </w:r>
      <w:r w:rsidRPr="00961941">
        <w:rPr>
          <w:rFonts w:ascii="Arial" w:eastAsia="Times New Roman" w:hAnsi="Arial" w:cs="Arial"/>
          <w:color w:val="000000"/>
          <w:sz w:val="20"/>
          <w:szCs w:val="20"/>
          <w:lang w:eastAsia="en-GB"/>
        </w:rPr>
        <w:t>, Tomasz Marjanski</w:t>
      </w:r>
      <w:r>
        <w:rPr>
          <w:rFonts w:ascii="Arial" w:eastAsia="Times New Roman" w:hAnsi="Arial" w:cs="Arial"/>
          <w:color w:val="000000"/>
          <w:sz w:val="20"/>
          <w:szCs w:val="20"/>
          <w:vertAlign w:val="superscript"/>
          <w:lang w:eastAsia="en-GB"/>
        </w:rPr>
        <w:t>7</w:t>
      </w:r>
      <w:r w:rsidRPr="00961941">
        <w:rPr>
          <w:rFonts w:ascii="Arial" w:eastAsia="Times New Roman" w:hAnsi="Arial" w:cs="Arial"/>
          <w:color w:val="000000"/>
          <w:sz w:val="20"/>
          <w:szCs w:val="20"/>
          <w:lang w:eastAsia="en-GB"/>
        </w:rPr>
        <w:t>, Witold Rzyman</w:t>
      </w:r>
      <w:r>
        <w:rPr>
          <w:rFonts w:ascii="Arial" w:eastAsia="Times New Roman" w:hAnsi="Arial" w:cs="Arial"/>
          <w:color w:val="000000"/>
          <w:sz w:val="20"/>
          <w:szCs w:val="20"/>
          <w:vertAlign w:val="superscript"/>
          <w:lang w:eastAsia="en-GB"/>
        </w:rPr>
        <w:t>7</w:t>
      </w:r>
      <w:r w:rsidRPr="00961941">
        <w:rPr>
          <w:rFonts w:ascii="Arial" w:eastAsia="Times New Roman" w:hAnsi="Arial" w:cs="Arial"/>
          <w:color w:val="000000"/>
          <w:sz w:val="20"/>
          <w:szCs w:val="20"/>
          <w:lang w:eastAsia="en-GB"/>
        </w:rPr>
        <w:t xml:space="preserve">, </w:t>
      </w:r>
      <w:proofErr w:type="spellStart"/>
      <w:r w:rsidRPr="00961941">
        <w:rPr>
          <w:rFonts w:ascii="Arial" w:eastAsia="Times New Roman" w:hAnsi="Arial" w:cs="Arial"/>
          <w:color w:val="000000"/>
          <w:sz w:val="20"/>
          <w:szCs w:val="20"/>
          <w:lang w:eastAsia="en-GB"/>
        </w:rPr>
        <w:t>Alicja</w:t>
      </w:r>
      <w:proofErr w:type="spellEnd"/>
      <w:r w:rsidRPr="00961941">
        <w:rPr>
          <w:rFonts w:ascii="Arial" w:eastAsia="Times New Roman" w:hAnsi="Arial" w:cs="Arial"/>
          <w:color w:val="000000"/>
          <w:sz w:val="20"/>
          <w:szCs w:val="20"/>
          <w:lang w:eastAsia="en-GB"/>
        </w:rPr>
        <w:t xml:space="preserve"> Sznarkowska</w:t>
      </w:r>
      <w:r w:rsidRPr="006E77EA">
        <w:rPr>
          <w:rFonts w:ascii="Arial" w:eastAsia="Times New Roman" w:hAnsi="Arial" w:cs="Arial"/>
          <w:color w:val="000000"/>
          <w:sz w:val="20"/>
          <w:szCs w:val="20"/>
          <w:vertAlign w:val="superscript"/>
          <w:lang w:eastAsia="en-GB"/>
        </w:rPr>
        <w:t>1</w:t>
      </w:r>
      <w:r>
        <w:rPr>
          <w:rFonts w:ascii="Arial" w:eastAsia="Times New Roman" w:hAnsi="Arial" w:cs="Arial"/>
          <w:color w:val="000000"/>
          <w:sz w:val="20"/>
          <w:szCs w:val="20"/>
          <w:vertAlign w:val="superscript"/>
          <w:lang w:eastAsia="en-GB"/>
        </w:rPr>
        <w:t>*</w:t>
      </w:r>
    </w:p>
    <w:p w14:paraId="74924699" w14:textId="77777777" w:rsidR="0056348E" w:rsidRPr="00332605" w:rsidRDefault="0056348E" w:rsidP="00C02646">
      <w:pPr>
        <w:spacing w:after="0" w:line="276" w:lineRule="auto"/>
        <w:jc w:val="both"/>
        <w:rPr>
          <w:rFonts w:ascii="Arial" w:eastAsia="Times New Roman" w:hAnsi="Arial" w:cs="Arial"/>
          <w:color w:val="000000"/>
          <w:sz w:val="18"/>
          <w:szCs w:val="18"/>
          <w:lang w:eastAsia="en-GB"/>
        </w:rPr>
      </w:pPr>
      <w:r w:rsidRPr="00961941">
        <w:rPr>
          <w:rFonts w:ascii="Arial" w:eastAsia="Times New Roman" w:hAnsi="Arial" w:cs="Arial"/>
          <w:color w:val="000000"/>
          <w:sz w:val="18"/>
          <w:szCs w:val="18"/>
          <w:vertAlign w:val="superscript"/>
          <w:lang w:eastAsia="en-GB"/>
        </w:rPr>
        <w:t>1</w:t>
      </w:r>
      <w:r w:rsidRPr="00332605">
        <w:rPr>
          <w:rFonts w:ascii="Arial" w:eastAsia="Times New Roman" w:hAnsi="Arial" w:cs="Arial"/>
          <w:color w:val="000000"/>
          <w:sz w:val="18"/>
          <w:szCs w:val="18"/>
          <w:lang w:eastAsia="en-GB"/>
        </w:rPr>
        <w:t xml:space="preserve"> </w:t>
      </w:r>
      <w:r w:rsidRPr="00961941">
        <w:rPr>
          <w:rFonts w:ascii="Arial" w:eastAsia="Times New Roman" w:hAnsi="Arial" w:cs="Arial"/>
          <w:color w:val="000000"/>
          <w:sz w:val="18"/>
          <w:szCs w:val="18"/>
          <w:lang w:eastAsia="en-GB"/>
        </w:rPr>
        <w:t>International Centre for Cancer Vaccine Science, University of Gdansk, 80-308 Gdansk, Poland;</w:t>
      </w:r>
    </w:p>
    <w:p w14:paraId="2AAB49A7" w14:textId="77777777" w:rsidR="0056348E" w:rsidRPr="00332605" w:rsidRDefault="0056348E" w:rsidP="00C02646">
      <w:pPr>
        <w:spacing w:after="0" w:line="276" w:lineRule="auto"/>
        <w:jc w:val="both"/>
        <w:rPr>
          <w:rFonts w:ascii="Arial" w:eastAsia="Times New Roman" w:hAnsi="Arial" w:cs="Arial"/>
          <w:sz w:val="18"/>
          <w:szCs w:val="18"/>
          <w:lang w:eastAsia="en-GB"/>
        </w:rPr>
      </w:pPr>
      <w:r w:rsidRPr="00332605">
        <w:rPr>
          <w:rFonts w:ascii="Arial" w:eastAsia="Times New Roman" w:hAnsi="Arial" w:cs="Arial"/>
          <w:sz w:val="18"/>
          <w:szCs w:val="18"/>
          <w:vertAlign w:val="superscript"/>
          <w:lang w:eastAsia="en-GB"/>
        </w:rPr>
        <w:t>2</w:t>
      </w:r>
      <w:r w:rsidRPr="00332605">
        <w:rPr>
          <w:rFonts w:ascii="Arial" w:eastAsia="Times New Roman" w:hAnsi="Arial" w:cs="Arial"/>
          <w:sz w:val="18"/>
          <w:szCs w:val="18"/>
          <w:lang w:eastAsia="en-GB"/>
        </w:rPr>
        <w:t xml:space="preserve"> </w:t>
      </w:r>
      <w:proofErr w:type="spellStart"/>
      <w:r w:rsidRPr="00332605">
        <w:rPr>
          <w:rFonts w:ascii="Arial" w:eastAsia="Times New Roman" w:hAnsi="Arial" w:cs="Arial"/>
          <w:sz w:val="18"/>
          <w:szCs w:val="18"/>
          <w:lang w:eastAsia="en-GB"/>
        </w:rPr>
        <w:t>Inserm</w:t>
      </w:r>
      <w:proofErr w:type="spellEnd"/>
      <w:r w:rsidRPr="00332605">
        <w:rPr>
          <w:rFonts w:ascii="Arial" w:eastAsia="Times New Roman" w:hAnsi="Arial" w:cs="Arial"/>
          <w:sz w:val="18"/>
          <w:szCs w:val="18"/>
          <w:lang w:eastAsia="en-GB"/>
        </w:rPr>
        <w:t xml:space="preserve"> UMRS1131, </w:t>
      </w:r>
      <w:proofErr w:type="spellStart"/>
      <w:r w:rsidRPr="00332605">
        <w:rPr>
          <w:rFonts w:ascii="Arial" w:eastAsia="Times New Roman" w:hAnsi="Arial" w:cs="Arial"/>
          <w:sz w:val="18"/>
          <w:szCs w:val="18"/>
          <w:lang w:eastAsia="en-GB"/>
        </w:rPr>
        <w:t>Institut</w:t>
      </w:r>
      <w:proofErr w:type="spellEnd"/>
      <w:r w:rsidRPr="00332605">
        <w:rPr>
          <w:rFonts w:ascii="Arial" w:eastAsia="Times New Roman" w:hAnsi="Arial" w:cs="Arial"/>
          <w:sz w:val="18"/>
          <w:szCs w:val="18"/>
          <w:lang w:eastAsia="en-GB"/>
        </w:rPr>
        <w:t xml:space="preserve"> de </w:t>
      </w:r>
      <w:proofErr w:type="spellStart"/>
      <w:r w:rsidRPr="00332605">
        <w:rPr>
          <w:rFonts w:ascii="Arial" w:eastAsia="Times New Roman" w:hAnsi="Arial" w:cs="Arial"/>
          <w:sz w:val="18"/>
          <w:szCs w:val="18"/>
          <w:lang w:eastAsia="en-GB"/>
        </w:rPr>
        <w:t>Génétique</w:t>
      </w:r>
      <w:proofErr w:type="spellEnd"/>
      <w:r w:rsidRPr="00332605">
        <w:rPr>
          <w:rFonts w:ascii="Arial" w:eastAsia="Times New Roman" w:hAnsi="Arial" w:cs="Arial"/>
          <w:sz w:val="18"/>
          <w:szCs w:val="18"/>
          <w:lang w:eastAsia="en-GB"/>
        </w:rPr>
        <w:t xml:space="preserve"> </w:t>
      </w:r>
      <w:proofErr w:type="spellStart"/>
      <w:r w:rsidRPr="00332605">
        <w:rPr>
          <w:rFonts w:ascii="Arial" w:eastAsia="Times New Roman" w:hAnsi="Arial" w:cs="Arial"/>
          <w:sz w:val="18"/>
          <w:szCs w:val="18"/>
          <w:lang w:eastAsia="en-GB"/>
        </w:rPr>
        <w:t>Moléculaire</w:t>
      </w:r>
      <w:proofErr w:type="spellEnd"/>
      <w:r w:rsidRPr="00332605">
        <w:rPr>
          <w:rFonts w:ascii="Arial" w:eastAsia="Times New Roman" w:hAnsi="Arial" w:cs="Arial"/>
          <w:sz w:val="18"/>
          <w:szCs w:val="18"/>
          <w:lang w:eastAsia="en-GB"/>
        </w:rPr>
        <w:t xml:space="preserve">, Université Paris 7, </w:t>
      </w:r>
      <w:proofErr w:type="spellStart"/>
      <w:r w:rsidRPr="00332605">
        <w:rPr>
          <w:rFonts w:ascii="Arial" w:eastAsia="Times New Roman" w:hAnsi="Arial" w:cs="Arial"/>
          <w:sz w:val="18"/>
          <w:szCs w:val="18"/>
          <w:lang w:eastAsia="en-GB"/>
        </w:rPr>
        <w:t>Hôpital</w:t>
      </w:r>
      <w:proofErr w:type="spellEnd"/>
      <w:r w:rsidRPr="00332605">
        <w:rPr>
          <w:rFonts w:ascii="Arial" w:eastAsia="Times New Roman" w:hAnsi="Arial" w:cs="Arial"/>
          <w:sz w:val="18"/>
          <w:szCs w:val="18"/>
          <w:lang w:eastAsia="en-GB"/>
        </w:rPr>
        <w:t xml:space="preserve"> St. Louis, F-75010 Paris, France;</w:t>
      </w:r>
    </w:p>
    <w:p w14:paraId="08355F11" w14:textId="77777777" w:rsidR="0056348E" w:rsidRPr="00332605" w:rsidRDefault="0056348E" w:rsidP="00C02646">
      <w:pPr>
        <w:spacing w:after="0" w:line="276" w:lineRule="auto"/>
        <w:jc w:val="both"/>
        <w:rPr>
          <w:rFonts w:ascii="Arial" w:eastAsia="Times New Roman" w:hAnsi="Arial" w:cs="Arial"/>
          <w:sz w:val="18"/>
          <w:szCs w:val="18"/>
          <w:lang w:eastAsia="en-GB"/>
        </w:rPr>
      </w:pPr>
      <w:r w:rsidRPr="00332605">
        <w:rPr>
          <w:rFonts w:ascii="Arial" w:eastAsia="Times New Roman" w:hAnsi="Arial" w:cs="Arial"/>
          <w:sz w:val="18"/>
          <w:szCs w:val="18"/>
          <w:vertAlign w:val="superscript"/>
          <w:lang w:eastAsia="en-GB"/>
        </w:rPr>
        <w:t xml:space="preserve">3 </w:t>
      </w:r>
      <w:r w:rsidRPr="00332605">
        <w:rPr>
          <w:rFonts w:ascii="Arial" w:eastAsia="Times New Roman" w:hAnsi="Arial" w:cs="Arial"/>
          <w:sz w:val="18"/>
          <w:szCs w:val="18"/>
          <w:lang w:eastAsia="en-GB"/>
        </w:rPr>
        <w:t xml:space="preserve">RECAMO, Masaryk Memorial Cancer Institute, </w:t>
      </w:r>
      <w:proofErr w:type="spellStart"/>
      <w:r w:rsidRPr="00332605">
        <w:rPr>
          <w:rFonts w:ascii="Arial" w:eastAsia="Times New Roman" w:hAnsi="Arial" w:cs="Arial"/>
          <w:sz w:val="18"/>
          <w:szCs w:val="18"/>
          <w:lang w:eastAsia="en-GB"/>
        </w:rPr>
        <w:t>Zluty</w:t>
      </w:r>
      <w:proofErr w:type="spellEnd"/>
      <w:r w:rsidRPr="00332605">
        <w:rPr>
          <w:rFonts w:ascii="Arial" w:eastAsia="Times New Roman" w:hAnsi="Arial" w:cs="Arial"/>
          <w:sz w:val="18"/>
          <w:szCs w:val="18"/>
          <w:lang w:eastAsia="en-GB"/>
        </w:rPr>
        <w:t xml:space="preserve"> </w:t>
      </w:r>
      <w:proofErr w:type="spellStart"/>
      <w:r w:rsidRPr="00332605">
        <w:rPr>
          <w:rFonts w:ascii="Arial" w:eastAsia="Times New Roman" w:hAnsi="Arial" w:cs="Arial"/>
          <w:sz w:val="18"/>
          <w:szCs w:val="18"/>
          <w:lang w:eastAsia="en-GB"/>
        </w:rPr>
        <w:t>kopec</w:t>
      </w:r>
      <w:proofErr w:type="spellEnd"/>
      <w:r w:rsidRPr="00332605">
        <w:rPr>
          <w:rFonts w:ascii="Arial" w:eastAsia="Times New Roman" w:hAnsi="Arial" w:cs="Arial"/>
          <w:sz w:val="18"/>
          <w:szCs w:val="18"/>
          <w:lang w:eastAsia="en-GB"/>
        </w:rPr>
        <w:t xml:space="preserve"> 7, 65653 Brno, Czech Republic;</w:t>
      </w:r>
    </w:p>
    <w:p w14:paraId="028CC906" w14:textId="77777777" w:rsidR="0056348E" w:rsidRPr="00332605" w:rsidRDefault="0056348E" w:rsidP="00C02646">
      <w:pPr>
        <w:spacing w:after="0" w:line="276" w:lineRule="auto"/>
        <w:jc w:val="both"/>
        <w:rPr>
          <w:rFonts w:ascii="Arial" w:eastAsia="Times New Roman" w:hAnsi="Arial" w:cs="Arial"/>
          <w:sz w:val="18"/>
          <w:szCs w:val="18"/>
          <w:lang w:eastAsia="en-GB"/>
        </w:rPr>
      </w:pPr>
      <w:r w:rsidRPr="00332605">
        <w:rPr>
          <w:rFonts w:ascii="Arial" w:eastAsia="Times New Roman" w:hAnsi="Arial" w:cs="Arial"/>
          <w:sz w:val="18"/>
          <w:szCs w:val="18"/>
          <w:vertAlign w:val="superscript"/>
          <w:lang w:eastAsia="en-GB"/>
        </w:rPr>
        <w:t>4</w:t>
      </w:r>
      <w:r w:rsidRPr="00332605">
        <w:rPr>
          <w:rFonts w:ascii="Arial" w:eastAsia="Times New Roman" w:hAnsi="Arial" w:cs="Arial"/>
          <w:sz w:val="18"/>
          <w:szCs w:val="18"/>
          <w:lang w:eastAsia="en-GB"/>
        </w:rPr>
        <w:t xml:space="preserve"> Department of Medical Biosciences, Building 6M, </w:t>
      </w:r>
      <w:proofErr w:type="spellStart"/>
      <w:r w:rsidRPr="00332605">
        <w:rPr>
          <w:rFonts w:ascii="Arial" w:eastAsia="Times New Roman" w:hAnsi="Arial" w:cs="Arial"/>
          <w:sz w:val="18"/>
          <w:szCs w:val="18"/>
          <w:lang w:eastAsia="en-GB"/>
        </w:rPr>
        <w:t>Umeå</w:t>
      </w:r>
      <w:proofErr w:type="spellEnd"/>
      <w:r w:rsidRPr="00332605">
        <w:rPr>
          <w:rFonts w:ascii="Arial" w:eastAsia="Times New Roman" w:hAnsi="Arial" w:cs="Arial"/>
          <w:sz w:val="18"/>
          <w:szCs w:val="18"/>
          <w:lang w:eastAsia="en-GB"/>
        </w:rPr>
        <w:t xml:space="preserve"> University, 901 85 </w:t>
      </w:r>
      <w:proofErr w:type="spellStart"/>
      <w:r w:rsidRPr="00332605">
        <w:rPr>
          <w:rFonts w:ascii="Arial" w:eastAsia="Times New Roman" w:hAnsi="Arial" w:cs="Arial"/>
          <w:sz w:val="18"/>
          <w:szCs w:val="18"/>
          <w:lang w:eastAsia="en-GB"/>
        </w:rPr>
        <w:t>Umeå</w:t>
      </w:r>
      <w:proofErr w:type="spellEnd"/>
      <w:r w:rsidRPr="00332605">
        <w:rPr>
          <w:rFonts w:ascii="Arial" w:eastAsia="Times New Roman" w:hAnsi="Arial" w:cs="Arial"/>
          <w:sz w:val="18"/>
          <w:szCs w:val="18"/>
          <w:lang w:eastAsia="en-GB"/>
        </w:rPr>
        <w:t xml:space="preserve">, Sweden; </w:t>
      </w:r>
    </w:p>
    <w:p w14:paraId="6E08A758" w14:textId="77777777" w:rsidR="0056348E" w:rsidRPr="00332605" w:rsidRDefault="0056348E" w:rsidP="00C02646">
      <w:pPr>
        <w:spacing w:after="0" w:line="276" w:lineRule="auto"/>
        <w:jc w:val="both"/>
        <w:rPr>
          <w:rFonts w:ascii="Arial" w:eastAsia="Times New Roman" w:hAnsi="Arial" w:cs="Arial"/>
          <w:sz w:val="18"/>
          <w:szCs w:val="18"/>
          <w:lang w:eastAsia="en-GB"/>
        </w:rPr>
      </w:pPr>
      <w:r w:rsidRPr="00332605">
        <w:rPr>
          <w:rFonts w:ascii="Arial" w:eastAsia="Times New Roman" w:hAnsi="Arial" w:cs="Arial"/>
          <w:sz w:val="18"/>
          <w:szCs w:val="18"/>
          <w:vertAlign w:val="superscript"/>
          <w:lang w:eastAsia="en-GB"/>
        </w:rPr>
        <w:t>5</w:t>
      </w:r>
      <w:r w:rsidRPr="00332605">
        <w:rPr>
          <w:rFonts w:ascii="Arial" w:eastAsia="Times New Roman" w:hAnsi="Arial" w:cs="Arial"/>
          <w:sz w:val="18"/>
          <w:szCs w:val="18"/>
          <w:lang w:eastAsia="en-GB"/>
        </w:rPr>
        <w:t xml:space="preserve"> Department of Family Medicine, Medical University of </w:t>
      </w:r>
      <w:proofErr w:type="spellStart"/>
      <w:r w:rsidRPr="00332605">
        <w:rPr>
          <w:rFonts w:ascii="Arial" w:eastAsia="Times New Roman" w:hAnsi="Arial" w:cs="Arial"/>
          <w:sz w:val="18"/>
          <w:szCs w:val="18"/>
          <w:lang w:eastAsia="en-GB"/>
        </w:rPr>
        <w:t>Gdańsk</w:t>
      </w:r>
      <w:proofErr w:type="spellEnd"/>
      <w:r w:rsidRPr="00332605">
        <w:rPr>
          <w:rFonts w:ascii="Arial" w:eastAsia="Times New Roman" w:hAnsi="Arial" w:cs="Arial"/>
          <w:sz w:val="18"/>
          <w:szCs w:val="18"/>
          <w:lang w:eastAsia="en-GB"/>
        </w:rPr>
        <w:t xml:space="preserve">, </w:t>
      </w:r>
      <w:proofErr w:type="spellStart"/>
      <w:r w:rsidRPr="00332605">
        <w:rPr>
          <w:rFonts w:ascii="Arial" w:eastAsia="Times New Roman" w:hAnsi="Arial" w:cs="Arial"/>
          <w:sz w:val="18"/>
          <w:szCs w:val="18"/>
          <w:lang w:eastAsia="en-GB"/>
        </w:rPr>
        <w:t>Gdańsk</w:t>
      </w:r>
      <w:proofErr w:type="spellEnd"/>
      <w:r w:rsidRPr="00332605">
        <w:rPr>
          <w:rFonts w:ascii="Arial" w:eastAsia="Times New Roman" w:hAnsi="Arial" w:cs="Arial"/>
          <w:sz w:val="18"/>
          <w:szCs w:val="18"/>
          <w:lang w:eastAsia="en-GB"/>
        </w:rPr>
        <w:t xml:space="preserve">, Poland.; </w:t>
      </w:r>
    </w:p>
    <w:p w14:paraId="5D08D5B4" w14:textId="77777777" w:rsidR="0056348E" w:rsidRPr="00332605" w:rsidRDefault="0056348E" w:rsidP="00C02646">
      <w:pPr>
        <w:spacing w:after="0" w:line="276" w:lineRule="auto"/>
        <w:jc w:val="both"/>
        <w:rPr>
          <w:rFonts w:ascii="Arial" w:eastAsia="Times New Roman" w:hAnsi="Arial" w:cs="Arial"/>
          <w:sz w:val="18"/>
          <w:szCs w:val="18"/>
          <w:lang w:eastAsia="en-GB"/>
        </w:rPr>
      </w:pPr>
      <w:r w:rsidRPr="00332605">
        <w:rPr>
          <w:rFonts w:ascii="Arial" w:eastAsia="Times New Roman" w:hAnsi="Arial" w:cs="Arial"/>
          <w:sz w:val="18"/>
          <w:szCs w:val="18"/>
          <w:vertAlign w:val="superscript"/>
          <w:lang w:eastAsia="en-GB"/>
        </w:rPr>
        <w:t>6</w:t>
      </w:r>
      <w:r w:rsidRPr="00332605">
        <w:rPr>
          <w:rFonts w:ascii="Arial" w:eastAsia="Times New Roman" w:hAnsi="Arial" w:cs="Arial"/>
          <w:sz w:val="18"/>
          <w:szCs w:val="18"/>
          <w:lang w:eastAsia="en-GB"/>
        </w:rPr>
        <w:t xml:space="preserve"> Department of Medical Immunology, Medical University of </w:t>
      </w:r>
      <w:proofErr w:type="spellStart"/>
      <w:r w:rsidRPr="00332605">
        <w:rPr>
          <w:rFonts w:ascii="Arial" w:eastAsia="Times New Roman" w:hAnsi="Arial" w:cs="Arial"/>
          <w:sz w:val="18"/>
          <w:szCs w:val="18"/>
          <w:lang w:eastAsia="en-GB"/>
        </w:rPr>
        <w:t>Gdańsk</w:t>
      </w:r>
      <w:proofErr w:type="spellEnd"/>
      <w:r w:rsidRPr="00332605">
        <w:rPr>
          <w:rFonts w:ascii="Arial" w:eastAsia="Times New Roman" w:hAnsi="Arial" w:cs="Arial"/>
          <w:sz w:val="18"/>
          <w:szCs w:val="18"/>
          <w:lang w:eastAsia="en-GB"/>
        </w:rPr>
        <w:t xml:space="preserve">, </w:t>
      </w:r>
      <w:proofErr w:type="spellStart"/>
      <w:r w:rsidRPr="00332605">
        <w:rPr>
          <w:rFonts w:ascii="Arial" w:eastAsia="Times New Roman" w:hAnsi="Arial" w:cs="Arial"/>
          <w:sz w:val="18"/>
          <w:szCs w:val="18"/>
          <w:lang w:eastAsia="en-GB"/>
        </w:rPr>
        <w:t>Gdańsk</w:t>
      </w:r>
      <w:proofErr w:type="spellEnd"/>
      <w:r w:rsidRPr="00332605">
        <w:rPr>
          <w:rFonts w:ascii="Arial" w:eastAsia="Times New Roman" w:hAnsi="Arial" w:cs="Arial"/>
          <w:sz w:val="18"/>
          <w:szCs w:val="18"/>
          <w:lang w:eastAsia="en-GB"/>
        </w:rPr>
        <w:t>, Poland;</w:t>
      </w:r>
    </w:p>
    <w:p w14:paraId="36FB392D" w14:textId="77777777" w:rsidR="0056348E" w:rsidRDefault="0056348E" w:rsidP="00C02646">
      <w:pPr>
        <w:spacing w:after="0" w:line="276" w:lineRule="auto"/>
        <w:jc w:val="both"/>
        <w:rPr>
          <w:rFonts w:ascii="Arial" w:eastAsia="Times New Roman" w:hAnsi="Arial" w:cs="Arial"/>
          <w:sz w:val="18"/>
          <w:szCs w:val="18"/>
          <w:lang w:eastAsia="en-GB"/>
        </w:rPr>
      </w:pPr>
      <w:r>
        <w:rPr>
          <w:rFonts w:ascii="Arial" w:eastAsia="Times New Roman" w:hAnsi="Arial" w:cs="Arial"/>
          <w:sz w:val="18"/>
          <w:szCs w:val="18"/>
          <w:vertAlign w:val="superscript"/>
          <w:lang w:eastAsia="en-GB"/>
        </w:rPr>
        <w:t>7</w:t>
      </w:r>
      <w:r w:rsidRPr="00332605">
        <w:rPr>
          <w:rFonts w:ascii="Arial" w:eastAsia="Times New Roman" w:hAnsi="Arial" w:cs="Arial"/>
          <w:sz w:val="18"/>
          <w:szCs w:val="18"/>
          <w:vertAlign w:val="superscript"/>
          <w:lang w:eastAsia="en-GB"/>
        </w:rPr>
        <w:t xml:space="preserve"> </w:t>
      </w:r>
      <w:r w:rsidRPr="00332605">
        <w:rPr>
          <w:rFonts w:ascii="Arial" w:eastAsia="Times New Roman" w:hAnsi="Arial" w:cs="Arial"/>
          <w:sz w:val="18"/>
          <w:szCs w:val="18"/>
          <w:lang w:eastAsia="en-GB"/>
        </w:rPr>
        <w:t>Department of Thoracic Surgery, Medical University of Gdansk, Gdansk, Poland</w:t>
      </w:r>
      <w:r>
        <w:rPr>
          <w:rFonts w:ascii="Arial" w:eastAsia="Times New Roman" w:hAnsi="Arial" w:cs="Arial"/>
          <w:sz w:val="18"/>
          <w:szCs w:val="18"/>
          <w:lang w:eastAsia="en-GB"/>
        </w:rPr>
        <w:t>.</w:t>
      </w:r>
    </w:p>
    <w:p w14:paraId="5ECD4492" w14:textId="77777777" w:rsidR="0056348E" w:rsidRDefault="0056348E" w:rsidP="00C02646">
      <w:pPr>
        <w:spacing w:after="0" w:line="240" w:lineRule="auto"/>
        <w:jc w:val="both"/>
        <w:rPr>
          <w:rFonts w:ascii="Arial" w:eastAsia="Times New Roman" w:hAnsi="Arial" w:cs="Arial"/>
          <w:color w:val="000000"/>
          <w:sz w:val="20"/>
          <w:szCs w:val="20"/>
          <w:lang w:eastAsia="en-GB"/>
        </w:rPr>
      </w:pPr>
    </w:p>
    <w:p w14:paraId="03CC6AFC" w14:textId="77777777" w:rsidR="0056348E" w:rsidRPr="009F0669" w:rsidRDefault="0056348E" w:rsidP="00C02646">
      <w:pPr>
        <w:spacing w:after="0" w:line="240" w:lineRule="auto"/>
        <w:jc w:val="both"/>
        <w:rPr>
          <w:rFonts w:ascii="Arial" w:eastAsia="Times New Roman" w:hAnsi="Arial" w:cs="Arial"/>
          <w:b/>
          <w:bCs/>
          <w:color w:val="000000"/>
          <w:sz w:val="20"/>
          <w:szCs w:val="20"/>
          <w:lang w:val="pl-PL" w:eastAsia="en-GB"/>
        </w:rPr>
      </w:pPr>
      <w:r w:rsidRPr="009F0669">
        <w:rPr>
          <w:rFonts w:ascii="Arial" w:eastAsia="Times New Roman" w:hAnsi="Arial" w:cs="Arial"/>
          <w:color w:val="000000"/>
          <w:sz w:val="20"/>
          <w:szCs w:val="20"/>
          <w:lang w:val="pl-PL" w:eastAsia="en-GB"/>
        </w:rPr>
        <w:t xml:space="preserve">* </w:t>
      </w:r>
      <w:proofErr w:type="spellStart"/>
      <w:r w:rsidRPr="009F0669">
        <w:rPr>
          <w:rFonts w:ascii="Arial" w:eastAsia="Times New Roman" w:hAnsi="Arial" w:cs="Arial"/>
          <w:color w:val="000000"/>
          <w:sz w:val="20"/>
          <w:szCs w:val="20"/>
          <w:lang w:val="pl-PL" w:eastAsia="en-GB"/>
        </w:rPr>
        <w:t>Correspondence</w:t>
      </w:r>
      <w:proofErr w:type="spellEnd"/>
      <w:r w:rsidRPr="009F0669">
        <w:rPr>
          <w:rFonts w:ascii="Arial" w:eastAsia="Times New Roman" w:hAnsi="Arial" w:cs="Arial"/>
          <w:color w:val="000000"/>
          <w:sz w:val="20"/>
          <w:szCs w:val="20"/>
          <w:lang w:val="pl-PL" w:eastAsia="en-GB"/>
        </w:rPr>
        <w:t xml:space="preserve">: Alicja </w:t>
      </w:r>
      <w:proofErr w:type="spellStart"/>
      <w:r w:rsidRPr="009F0669">
        <w:rPr>
          <w:rFonts w:ascii="Arial" w:eastAsia="Times New Roman" w:hAnsi="Arial" w:cs="Arial"/>
          <w:color w:val="000000"/>
          <w:sz w:val="20"/>
          <w:szCs w:val="20"/>
          <w:lang w:val="pl-PL" w:eastAsia="en-GB"/>
        </w:rPr>
        <w:t>Sznarkowska</w:t>
      </w:r>
      <w:proofErr w:type="spellEnd"/>
      <w:r w:rsidRPr="009F0669">
        <w:rPr>
          <w:rFonts w:ascii="Arial" w:eastAsia="Times New Roman" w:hAnsi="Arial" w:cs="Arial"/>
          <w:color w:val="000000"/>
          <w:sz w:val="20"/>
          <w:szCs w:val="20"/>
          <w:lang w:val="pl-PL" w:eastAsia="en-GB"/>
        </w:rPr>
        <w:t> </w:t>
      </w:r>
      <w:r w:rsidRPr="009F0669">
        <w:rPr>
          <w:rFonts w:ascii="Arial" w:eastAsia="Times New Roman" w:hAnsi="Arial" w:cs="Arial"/>
          <w:b/>
          <w:bCs/>
          <w:color w:val="000000"/>
          <w:sz w:val="20"/>
          <w:szCs w:val="20"/>
          <w:lang w:val="pl-PL" w:eastAsia="en-GB"/>
        </w:rPr>
        <w:t xml:space="preserve"> </w:t>
      </w:r>
    </w:p>
    <w:p w14:paraId="54310622" w14:textId="77777777" w:rsidR="0056348E" w:rsidRPr="009F0669" w:rsidRDefault="0056348E" w:rsidP="0056348E">
      <w:pPr>
        <w:spacing w:before="240" w:after="240" w:line="240" w:lineRule="auto"/>
        <w:rPr>
          <w:rFonts w:ascii="Times New Roman" w:eastAsia="Times New Roman" w:hAnsi="Times New Roman" w:cs="Times New Roman"/>
          <w:sz w:val="24"/>
          <w:szCs w:val="24"/>
          <w:lang w:val="pl-PL" w:eastAsia="en-GB"/>
        </w:rPr>
      </w:pPr>
      <w:r w:rsidRPr="005E394E">
        <w:rPr>
          <w:rFonts w:ascii="Arial" w:eastAsia="Times New Roman" w:hAnsi="Arial" w:cs="Arial"/>
          <w:b/>
          <w:bCs/>
          <w:color w:val="000000"/>
          <w:sz w:val="20"/>
          <w:szCs w:val="20"/>
          <w:lang w:val="pl-PL" w:eastAsia="en-GB"/>
        </w:rPr>
        <w:t xml:space="preserve">Email: </w:t>
      </w:r>
      <w:r w:rsidRPr="005E394E">
        <w:rPr>
          <w:rFonts w:ascii="Arial" w:eastAsia="Times New Roman" w:hAnsi="Arial" w:cs="Arial"/>
          <w:color w:val="000000"/>
          <w:sz w:val="20"/>
          <w:szCs w:val="20"/>
          <w:lang w:val="pl-PL" w:eastAsia="en-GB"/>
        </w:rPr>
        <w:t> alicja.sznarkowska@ug.edu.pl</w:t>
      </w:r>
    </w:p>
    <w:p w14:paraId="77C53637" w14:textId="77777777" w:rsidR="0056348E" w:rsidRPr="009F0669" w:rsidRDefault="0056348E" w:rsidP="0056348E">
      <w:pPr>
        <w:spacing w:after="0" w:line="240" w:lineRule="auto"/>
        <w:rPr>
          <w:rFonts w:ascii="Arial" w:eastAsia="Times New Roman" w:hAnsi="Arial" w:cs="Arial"/>
          <w:b/>
          <w:bCs/>
          <w:color w:val="000000"/>
          <w:sz w:val="20"/>
          <w:szCs w:val="20"/>
          <w:lang w:val="pl-PL" w:eastAsia="en-GB"/>
        </w:rPr>
      </w:pPr>
    </w:p>
    <w:p w14:paraId="278B87E5" w14:textId="1F2EF5F8" w:rsidR="0056348E" w:rsidRPr="009F0669" w:rsidRDefault="0056348E" w:rsidP="0056348E">
      <w:pPr>
        <w:spacing w:before="240" w:after="60" w:line="240" w:lineRule="auto"/>
        <w:rPr>
          <w:rFonts w:ascii="Times New Roman" w:eastAsia="Times New Roman" w:hAnsi="Times New Roman" w:cs="Times New Roman"/>
          <w:sz w:val="24"/>
          <w:szCs w:val="24"/>
          <w:lang w:eastAsia="en-GB"/>
        </w:rPr>
      </w:pPr>
      <w:r w:rsidRPr="009F0669">
        <w:rPr>
          <w:rFonts w:ascii="Arial" w:eastAsia="Times New Roman" w:hAnsi="Arial" w:cs="Arial"/>
          <w:b/>
          <w:bCs/>
          <w:color w:val="000000"/>
          <w:sz w:val="20"/>
          <w:szCs w:val="20"/>
          <w:lang w:eastAsia="en-GB"/>
        </w:rPr>
        <w:t>Supplementary Information Text</w:t>
      </w:r>
    </w:p>
    <w:p w14:paraId="2EE923AD" w14:textId="77777777" w:rsidR="0056348E" w:rsidRPr="009F0669" w:rsidRDefault="0056348E" w:rsidP="0056348E">
      <w:pPr>
        <w:spacing w:before="240" w:after="60" w:line="240" w:lineRule="auto"/>
        <w:rPr>
          <w:rFonts w:ascii="Times New Roman" w:eastAsia="Times New Roman" w:hAnsi="Times New Roman" w:cs="Times New Roman"/>
          <w:sz w:val="24"/>
          <w:szCs w:val="24"/>
          <w:lang w:eastAsia="en-GB"/>
        </w:rPr>
      </w:pPr>
      <w:r w:rsidRPr="009F0669">
        <w:rPr>
          <w:rFonts w:ascii="Arial" w:eastAsia="Times New Roman" w:hAnsi="Arial" w:cs="Arial"/>
          <w:b/>
          <w:bCs/>
          <w:color w:val="000000"/>
          <w:sz w:val="20"/>
          <w:szCs w:val="20"/>
          <w:lang w:eastAsia="en-GB"/>
        </w:rPr>
        <w:t>Materials and Methods </w:t>
      </w:r>
    </w:p>
    <w:p w14:paraId="410A6243" w14:textId="77777777" w:rsidR="0056348E" w:rsidRPr="009F0669" w:rsidRDefault="0056348E" w:rsidP="00C02646">
      <w:pPr>
        <w:spacing w:after="0" w:line="480" w:lineRule="auto"/>
        <w:rPr>
          <w:rFonts w:ascii="Times New Roman" w:eastAsia="Times New Roman" w:hAnsi="Times New Roman" w:cs="Times New Roman"/>
          <w:sz w:val="24"/>
          <w:szCs w:val="24"/>
          <w:lang w:eastAsia="en-GB"/>
        </w:rPr>
      </w:pPr>
    </w:p>
    <w:p w14:paraId="466889F1" w14:textId="77777777" w:rsidR="0056348E" w:rsidRPr="009F0669" w:rsidRDefault="0056348E" w:rsidP="00C02646">
      <w:pPr>
        <w:spacing w:after="200" w:line="480" w:lineRule="auto"/>
        <w:jc w:val="both"/>
        <w:rPr>
          <w:rFonts w:ascii="Times New Roman" w:eastAsia="Times New Roman" w:hAnsi="Times New Roman" w:cs="Times New Roman"/>
          <w:sz w:val="24"/>
          <w:szCs w:val="24"/>
          <w:lang w:eastAsia="en-GB"/>
        </w:rPr>
      </w:pPr>
      <w:r w:rsidRPr="009F0669">
        <w:rPr>
          <w:rFonts w:ascii="Arial" w:eastAsia="Times New Roman" w:hAnsi="Arial" w:cs="Arial"/>
          <w:i/>
          <w:iCs/>
          <w:color w:val="000000"/>
          <w:sz w:val="20"/>
          <w:szCs w:val="20"/>
          <w:lang w:eastAsia="en-GB"/>
        </w:rPr>
        <w:t>Treatment with translation inhibitor emetine dihydrochloride </w:t>
      </w:r>
    </w:p>
    <w:p w14:paraId="3380C814" w14:textId="77777777" w:rsidR="0056348E" w:rsidRPr="009F0669" w:rsidRDefault="0056348E" w:rsidP="00C02646">
      <w:pPr>
        <w:spacing w:after="200" w:line="480" w:lineRule="auto"/>
        <w:jc w:val="both"/>
        <w:rPr>
          <w:rFonts w:ascii="Times New Roman" w:eastAsia="Times New Roman" w:hAnsi="Times New Roman" w:cs="Times New Roman"/>
          <w:sz w:val="24"/>
          <w:szCs w:val="24"/>
          <w:lang w:eastAsia="en-GB"/>
        </w:rPr>
      </w:pPr>
      <w:r w:rsidRPr="009F0669">
        <w:rPr>
          <w:rFonts w:ascii="Arial" w:eastAsia="Times New Roman" w:hAnsi="Arial" w:cs="Arial"/>
          <w:color w:val="000000"/>
          <w:sz w:val="20"/>
          <w:szCs w:val="20"/>
          <w:lang w:eastAsia="en-GB"/>
        </w:rPr>
        <w:t xml:space="preserve">Cells were seeded in 6-well plates, 300 000 cells/well. 48 hours later cells were treated with emetine dihydrochloride (20 µM), for 15 minutes, 4, 8, 16 and 24 hours. Cells were collected and Nrf2 levels were </w:t>
      </w:r>
      <w:proofErr w:type="spellStart"/>
      <w:r w:rsidRPr="009F0669">
        <w:rPr>
          <w:rFonts w:ascii="Arial" w:eastAsia="Times New Roman" w:hAnsi="Arial" w:cs="Arial"/>
          <w:color w:val="000000"/>
          <w:sz w:val="20"/>
          <w:szCs w:val="20"/>
          <w:lang w:eastAsia="en-GB"/>
        </w:rPr>
        <w:t>analyzed</w:t>
      </w:r>
      <w:proofErr w:type="spellEnd"/>
      <w:r w:rsidRPr="009F0669">
        <w:rPr>
          <w:rFonts w:ascii="Arial" w:eastAsia="Times New Roman" w:hAnsi="Arial" w:cs="Arial"/>
          <w:color w:val="000000"/>
          <w:sz w:val="20"/>
          <w:szCs w:val="20"/>
          <w:lang w:eastAsia="en-GB"/>
        </w:rPr>
        <w:t xml:space="preserve"> by western blot with anti-NRF2 [EP1808Y] – </w:t>
      </w:r>
      <w:proofErr w:type="spellStart"/>
      <w:r w:rsidRPr="009F0669">
        <w:rPr>
          <w:rFonts w:ascii="Arial" w:eastAsia="Times New Roman" w:hAnsi="Arial" w:cs="Arial"/>
          <w:color w:val="000000"/>
          <w:sz w:val="20"/>
          <w:szCs w:val="20"/>
          <w:lang w:eastAsia="en-GB"/>
        </w:rPr>
        <w:t>ChIP</w:t>
      </w:r>
      <w:proofErr w:type="spellEnd"/>
      <w:r w:rsidRPr="009F0669">
        <w:rPr>
          <w:rFonts w:ascii="Arial" w:eastAsia="Times New Roman" w:hAnsi="Arial" w:cs="Arial"/>
          <w:color w:val="000000"/>
          <w:sz w:val="20"/>
          <w:szCs w:val="20"/>
          <w:lang w:eastAsia="en-GB"/>
        </w:rPr>
        <w:t xml:space="preserve"> Grade (cat. no. ab62352; Abcam). For calculation of the protein half-life, average band densities for each time point were normalized to controls, and data were fitted using nonlinear regression and a one-phase exponential decay equation using GraphPad Prism software.</w:t>
      </w:r>
    </w:p>
    <w:p w14:paraId="6E8885D3" w14:textId="77777777" w:rsidR="0056348E" w:rsidRPr="009F0669" w:rsidRDefault="0056348E" w:rsidP="00C02646">
      <w:pPr>
        <w:spacing w:after="200" w:line="480" w:lineRule="auto"/>
        <w:jc w:val="both"/>
        <w:rPr>
          <w:rFonts w:ascii="Times New Roman" w:eastAsia="Times New Roman" w:hAnsi="Times New Roman" w:cs="Times New Roman"/>
          <w:sz w:val="24"/>
          <w:szCs w:val="24"/>
          <w:lang w:eastAsia="en-GB"/>
        </w:rPr>
      </w:pPr>
      <w:r w:rsidRPr="009F0669">
        <w:rPr>
          <w:rFonts w:ascii="Arial" w:eastAsia="Times New Roman" w:hAnsi="Arial" w:cs="Arial"/>
          <w:i/>
          <w:iCs/>
          <w:color w:val="000000"/>
          <w:sz w:val="20"/>
          <w:szCs w:val="20"/>
          <w:lang w:eastAsia="en-GB"/>
        </w:rPr>
        <w:lastRenderedPageBreak/>
        <w:t>Treatment with neddylation inhibitor MLN4924</w:t>
      </w:r>
    </w:p>
    <w:p w14:paraId="0682D256" w14:textId="77777777" w:rsidR="0056348E" w:rsidRPr="009F0669" w:rsidRDefault="0056348E" w:rsidP="00C02646">
      <w:pPr>
        <w:spacing w:after="200" w:line="480" w:lineRule="auto"/>
        <w:jc w:val="both"/>
        <w:rPr>
          <w:rFonts w:ascii="Times New Roman" w:eastAsia="Times New Roman" w:hAnsi="Times New Roman" w:cs="Times New Roman"/>
          <w:sz w:val="24"/>
          <w:szCs w:val="24"/>
          <w:lang w:eastAsia="en-GB"/>
        </w:rPr>
      </w:pPr>
      <w:r w:rsidRPr="009F0669">
        <w:rPr>
          <w:rFonts w:ascii="Arial" w:eastAsia="Times New Roman" w:hAnsi="Arial" w:cs="Arial"/>
          <w:color w:val="000000"/>
          <w:sz w:val="20"/>
          <w:szCs w:val="20"/>
          <w:lang w:eastAsia="en-GB"/>
        </w:rPr>
        <w:t xml:space="preserve">Cells were seeded in 6-well plates, 500,000 cells/well. 24 hours later, cells were treated with neddylation inhibitor MLN4924 (1 </w:t>
      </w:r>
      <w:proofErr w:type="spellStart"/>
      <w:r w:rsidRPr="009F0669">
        <w:rPr>
          <w:rFonts w:ascii="Arial" w:eastAsia="Times New Roman" w:hAnsi="Arial" w:cs="Arial"/>
          <w:color w:val="000000"/>
          <w:sz w:val="20"/>
          <w:szCs w:val="20"/>
          <w:lang w:eastAsia="en-GB"/>
        </w:rPr>
        <w:t>μM</w:t>
      </w:r>
      <w:proofErr w:type="spellEnd"/>
      <w:r w:rsidRPr="009F0669">
        <w:rPr>
          <w:rFonts w:ascii="Arial" w:eastAsia="Times New Roman" w:hAnsi="Arial" w:cs="Arial"/>
          <w:color w:val="000000"/>
          <w:sz w:val="20"/>
          <w:szCs w:val="20"/>
          <w:lang w:eastAsia="en-GB"/>
        </w:rPr>
        <w:t xml:space="preserve">) for 12 hours. Cells were collected and Nrf2 levels were </w:t>
      </w:r>
      <w:proofErr w:type="spellStart"/>
      <w:r w:rsidRPr="009F0669">
        <w:rPr>
          <w:rFonts w:ascii="Arial" w:eastAsia="Times New Roman" w:hAnsi="Arial" w:cs="Arial"/>
          <w:color w:val="000000"/>
          <w:sz w:val="20"/>
          <w:szCs w:val="20"/>
          <w:lang w:eastAsia="en-GB"/>
        </w:rPr>
        <w:t>analyzed</w:t>
      </w:r>
      <w:proofErr w:type="spellEnd"/>
      <w:r w:rsidRPr="009F0669">
        <w:rPr>
          <w:rFonts w:ascii="Arial" w:eastAsia="Times New Roman" w:hAnsi="Arial" w:cs="Arial"/>
          <w:color w:val="000000"/>
          <w:sz w:val="20"/>
          <w:szCs w:val="20"/>
          <w:lang w:eastAsia="en-GB"/>
        </w:rPr>
        <w:t xml:space="preserve"> by western blot. </w:t>
      </w:r>
    </w:p>
    <w:p w14:paraId="63CBE942" w14:textId="77777777" w:rsidR="0056348E" w:rsidRPr="009F0669" w:rsidRDefault="0056348E" w:rsidP="00C02646">
      <w:pPr>
        <w:spacing w:after="200" w:line="480" w:lineRule="auto"/>
        <w:jc w:val="both"/>
        <w:rPr>
          <w:rFonts w:ascii="Times New Roman" w:eastAsia="Times New Roman" w:hAnsi="Times New Roman" w:cs="Times New Roman"/>
          <w:sz w:val="24"/>
          <w:szCs w:val="24"/>
          <w:lang w:eastAsia="en-GB"/>
        </w:rPr>
      </w:pPr>
      <w:r w:rsidRPr="009F0669">
        <w:rPr>
          <w:rFonts w:ascii="Arial" w:eastAsia="Times New Roman" w:hAnsi="Arial" w:cs="Arial"/>
          <w:i/>
          <w:iCs/>
          <w:color w:val="000000"/>
          <w:sz w:val="20"/>
          <w:szCs w:val="20"/>
          <w:lang w:eastAsia="en-GB"/>
        </w:rPr>
        <w:t>Treatment with Lambda Protein Phosphatase (</w:t>
      </w:r>
      <w:proofErr w:type="spellStart"/>
      <w:r w:rsidRPr="009F0669">
        <w:rPr>
          <w:rFonts w:ascii="Arial" w:eastAsia="Times New Roman" w:hAnsi="Arial" w:cs="Arial"/>
          <w:i/>
          <w:iCs/>
          <w:color w:val="000000"/>
          <w:sz w:val="20"/>
          <w:szCs w:val="20"/>
          <w:lang w:eastAsia="en-GB"/>
        </w:rPr>
        <w:t>λPP</w:t>
      </w:r>
      <w:proofErr w:type="spellEnd"/>
      <w:r w:rsidRPr="009F0669">
        <w:rPr>
          <w:rFonts w:ascii="Arial" w:eastAsia="Times New Roman" w:hAnsi="Arial" w:cs="Arial"/>
          <w:i/>
          <w:iCs/>
          <w:color w:val="000000"/>
          <w:sz w:val="20"/>
          <w:szCs w:val="20"/>
          <w:lang w:eastAsia="en-GB"/>
        </w:rPr>
        <w:t>)</w:t>
      </w:r>
    </w:p>
    <w:p w14:paraId="20C075C6" w14:textId="77777777" w:rsidR="0056348E" w:rsidRPr="009F0669" w:rsidRDefault="0056348E" w:rsidP="00C02646">
      <w:pPr>
        <w:spacing w:after="200" w:line="480" w:lineRule="auto"/>
        <w:jc w:val="both"/>
        <w:rPr>
          <w:rFonts w:ascii="Times New Roman" w:eastAsia="Times New Roman" w:hAnsi="Times New Roman" w:cs="Times New Roman"/>
          <w:sz w:val="24"/>
          <w:szCs w:val="24"/>
          <w:lang w:eastAsia="en-GB"/>
        </w:rPr>
      </w:pPr>
      <w:r w:rsidRPr="009F0669">
        <w:rPr>
          <w:rFonts w:ascii="Arial" w:eastAsia="Times New Roman" w:hAnsi="Arial" w:cs="Arial"/>
          <w:color w:val="000000"/>
          <w:sz w:val="20"/>
          <w:szCs w:val="20"/>
          <w:lang w:eastAsia="en-GB"/>
        </w:rPr>
        <w:t xml:space="preserve">800,000 cells were lysed in 250 µL of RIPA lysis buffer, sonicated for 15 min on ice and briefly centrifuged at 13,000 x g. For dephosphorylation, 40 µL of cell lysate was incubated with 400 U of </w:t>
      </w:r>
      <w:proofErr w:type="spellStart"/>
      <w:r w:rsidRPr="009F0669">
        <w:rPr>
          <w:rFonts w:ascii="Arial" w:eastAsia="Times New Roman" w:hAnsi="Arial" w:cs="Arial"/>
          <w:color w:val="000000"/>
          <w:sz w:val="20"/>
          <w:szCs w:val="20"/>
          <w:lang w:eastAsia="en-GB"/>
        </w:rPr>
        <w:t>λPP</w:t>
      </w:r>
      <w:proofErr w:type="spellEnd"/>
      <w:r w:rsidRPr="009F0669">
        <w:rPr>
          <w:rFonts w:ascii="Arial" w:eastAsia="Times New Roman" w:hAnsi="Arial" w:cs="Arial"/>
          <w:color w:val="000000"/>
          <w:sz w:val="20"/>
          <w:szCs w:val="20"/>
          <w:lang w:eastAsia="en-GB"/>
        </w:rPr>
        <w:t xml:space="preserve"> (New England Biolabs) in the dedicated buffer and in the presence of manganese ions at 30°C for 30 min. Control samples underwent the same treatment, but without the enzyme. The Nrf2 phosphorylation was </w:t>
      </w:r>
      <w:proofErr w:type="spellStart"/>
      <w:r w:rsidRPr="009F0669">
        <w:rPr>
          <w:rFonts w:ascii="Arial" w:eastAsia="Times New Roman" w:hAnsi="Arial" w:cs="Arial"/>
          <w:color w:val="000000"/>
          <w:sz w:val="20"/>
          <w:szCs w:val="20"/>
          <w:lang w:eastAsia="en-GB"/>
        </w:rPr>
        <w:t>analyzed</w:t>
      </w:r>
      <w:proofErr w:type="spellEnd"/>
      <w:r w:rsidRPr="009F0669">
        <w:rPr>
          <w:rFonts w:ascii="Arial" w:eastAsia="Times New Roman" w:hAnsi="Arial" w:cs="Arial"/>
          <w:color w:val="000000"/>
          <w:sz w:val="20"/>
          <w:szCs w:val="20"/>
          <w:lang w:eastAsia="en-GB"/>
        </w:rPr>
        <w:t xml:space="preserve"> by western blot.</w:t>
      </w:r>
    </w:p>
    <w:p w14:paraId="1272FCE2" w14:textId="77777777" w:rsidR="0056348E" w:rsidRPr="009F0669" w:rsidRDefault="0056348E" w:rsidP="00C02646">
      <w:pPr>
        <w:spacing w:after="200" w:line="480" w:lineRule="auto"/>
        <w:jc w:val="both"/>
        <w:rPr>
          <w:rFonts w:ascii="Times New Roman" w:eastAsia="Times New Roman" w:hAnsi="Times New Roman" w:cs="Times New Roman"/>
          <w:sz w:val="24"/>
          <w:szCs w:val="24"/>
          <w:lang w:eastAsia="en-GB"/>
        </w:rPr>
      </w:pPr>
      <w:r w:rsidRPr="009F0669">
        <w:rPr>
          <w:rFonts w:ascii="Arial" w:eastAsia="Times New Roman" w:hAnsi="Arial" w:cs="Arial"/>
          <w:i/>
          <w:iCs/>
          <w:color w:val="000000"/>
          <w:sz w:val="20"/>
          <w:szCs w:val="20"/>
          <w:lang w:eastAsia="en-GB"/>
        </w:rPr>
        <w:t xml:space="preserve">Treatment with </w:t>
      </w:r>
      <w:r w:rsidRPr="009F0669">
        <w:rPr>
          <w:rFonts w:ascii="Arial" w:eastAsia="Times New Roman" w:hAnsi="Arial" w:cs="Arial"/>
          <w:i/>
          <w:iCs/>
          <w:color w:val="202124"/>
          <w:sz w:val="20"/>
          <w:szCs w:val="20"/>
          <w:shd w:val="clear" w:color="auto" w:fill="FFFFFF"/>
          <w:lang w:eastAsia="en-GB"/>
        </w:rPr>
        <w:t>tert-butylhydroquinone (</w:t>
      </w:r>
      <w:proofErr w:type="spellStart"/>
      <w:r w:rsidRPr="009F0669">
        <w:rPr>
          <w:rFonts w:ascii="Arial" w:eastAsia="Times New Roman" w:hAnsi="Arial" w:cs="Arial"/>
          <w:i/>
          <w:iCs/>
          <w:color w:val="202124"/>
          <w:sz w:val="20"/>
          <w:szCs w:val="20"/>
          <w:shd w:val="clear" w:color="auto" w:fill="FFFFFF"/>
          <w:lang w:eastAsia="en-GB"/>
        </w:rPr>
        <w:t>tBHQ</w:t>
      </w:r>
      <w:proofErr w:type="spellEnd"/>
      <w:r w:rsidRPr="009F0669">
        <w:rPr>
          <w:rFonts w:ascii="Arial" w:eastAsia="Times New Roman" w:hAnsi="Arial" w:cs="Arial"/>
          <w:i/>
          <w:iCs/>
          <w:color w:val="202124"/>
          <w:sz w:val="20"/>
          <w:szCs w:val="20"/>
          <w:shd w:val="clear" w:color="auto" w:fill="FFFFFF"/>
          <w:lang w:eastAsia="en-GB"/>
        </w:rPr>
        <w:t>)</w:t>
      </w:r>
    </w:p>
    <w:p w14:paraId="605C164F" w14:textId="77777777" w:rsidR="0056348E" w:rsidRDefault="0056348E" w:rsidP="00C02646">
      <w:pPr>
        <w:spacing w:before="240" w:after="240" w:line="480" w:lineRule="auto"/>
        <w:jc w:val="both"/>
        <w:rPr>
          <w:rFonts w:ascii="Arial" w:eastAsia="Times New Roman" w:hAnsi="Arial" w:cs="Arial"/>
          <w:color w:val="000000"/>
          <w:sz w:val="20"/>
          <w:szCs w:val="20"/>
          <w:lang w:eastAsia="en-GB"/>
        </w:rPr>
      </w:pPr>
      <w:r w:rsidRPr="009F0669">
        <w:rPr>
          <w:rFonts w:ascii="Arial" w:eastAsia="Times New Roman" w:hAnsi="Arial" w:cs="Arial"/>
          <w:color w:val="000000"/>
          <w:sz w:val="20"/>
          <w:szCs w:val="20"/>
          <w:lang w:eastAsia="en-GB"/>
        </w:rPr>
        <w:t>Cells were seeded in 60 mm plates, 1 000 000 cells/plate. 24 hours later, cells were treated with tert-butylhydroquinone (</w:t>
      </w:r>
      <w:proofErr w:type="spellStart"/>
      <w:r w:rsidRPr="009F0669">
        <w:rPr>
          <w:rFonts w:ascii="Arial" w:eastAsia="Times New Roman" w:hAnsi="Arial" w:cs="Arial"/>
          <w:color w:val="000000"/>
          <w:sz w:val="20"/>
          <w:szCs w:val="20"/>
          <w:lang w:eastAsia="en-GB"/>
        </w:rPr>
        <w:t>tBHQ</w:t>
      </w:r>
      <w:proofErr w:type="spellEnd"/>
      <w:r w:rsidRPr="009F0669">
        <w:rPr>
          <w:rFonts w:ascii="Arial" w:eastAsia="Times New Roman" w:hAnsi="Arial" w:cs="Arial"/>
          <w:color w:val="000000"/>
          <w:sz w:val="20"/>
          <w:szCs w:val="20"/>
          <w:lang w:eastAsia="en-GB"/>
        </w:rPr>
        <w:t xml:space="preserve">) (20 </w:t>
      </w:r>
      <w:proofErr w:type="spellStart"/>
      <w:r w:rsidRPr="009F0669">
        <w:rPr>
          <w:rFonts w:ascii="Arial" w:eastAsia="Times New Roman" w:hAnsi="Arial" w:cs="Arial"/>
          <w:color w:val="000000"/>
          <w:sz w:val="20"/>
          <w:szCs w:val="20"/>
          <w:lang w:eastAsia="en-GB"/>
        </w:rPr>
        <w:t>μM</w:t>
      </w:r>
      <w:proofErr w:type="spellEnd"/>
      <w:r w:rsidRPr="009F0669">
        <w:rPr>
          <w:rFonts w:ascii="Arial" w:eastAsia="Times New Roman" w:hAnsi="Arial" w:cs="Arial"/>
          <w:color w:val="000000"/>
          <w:sz w:val="20"/>
          <w:szCs w:val="20"/>
          <w:lang w:eastAsia="en-GB"/>
        </w:rPr>
        <w:t xml:space="preserve">). Cells were collected after 6 hours and cellular fractionation was performed. Nrf2 levels were </w:t>
      </w:r>
      <w:proofErr w:type="spellStart"/>
      <w:r w:rsidRPr="009F0669">
        <w:rPr>
          <w:rFonts w:ascii="Arial" w:eastAsia="Times New Roman" w:hAnsi="Arial" w:cs="Arial"/>
          <w:color w:val="000000"/>
          <w:sz w:val="20"/>
          <w:szCs w:val="20"/>
          <w:lang w:eastAsia="en-GB"/>
        </w:rPr>
        <w:t>analyzed</w:t>
      </w:r>
      <w:proofErr w:type="spellEnd"/>
      <w:r w:rsidRPr="009F0669">
        <w:rPr>
          <w:rFonts w:ascii="Arial" w:eastAsia="Times New Roman" w:hAnsi="Arial" w:cs="Arial"/>
          <w:color w:val="000000"/>
          <w:sz w:val="20"/>
          <w:szCs w:val="20"/>
          <w:lang w:eastAsia="en-GB"/>
        </w:rPr>
        <w:t xml:space="preserve"> by western blot.  </w:t>
      </w:r>
    </w:p>
    <w:p w14:paraId="47D0B4FB" w14:textId="1844CD7A" w:rsidR="0056348E" w:rsidRDefault="0056348E" w:rsidP="00C02646">
      <w:pPr>
        <w:spacing w:before="240" w:after="240" w:line="480" w:lineRule="auto"/>
        <w:jc w:val="both"/>
        <w:rPr>
          <w:rFonts w:ascii="Arial" w:eastAsia="Times New Roman" w:hAnsi="Arial" w:cs="Arial"/>
          <w:color w:val="000000"/>
          <w:sz w:val="20"/>
          <w:szCs w:val="20"/>
          <w:lang w:eastAsia="en-GB"/>
        </w:rPr>
      </w:pPr>
      <w:r w:rsidRPr="009F0669">
        <w:rPr>
          <w:rFonts w:ascii="Arial" w:eastAsia="Times New Roman" w:hAnsi="Arial" w:cs="Arial"/>
          <w:b/>
          <w:bCs/>
          <w:color w:val="000000"/>
          <w:sz w:val="20"/>
          <w:szCs w:val="20"/>
          <w:lang w:eastAsia="en-GB"/>
        </w:rPr>
        <w:t>Figure</w:t>
      </w:r>
      <w:r>
        <w:rPr>
          <w:rFonts w:ascii="Arial" w:eastAsia="Times New Roman" w:hAnsi="Arial" w:cs="Arial"/>
          <w:b/>
          <w:bCs/>
          <w:color w:val="000000"/>
          <w:sz w:val="20"/>
          <w:szCs w:val="20"/>
          <w:lang w:eastAsia="en-GB"/>
        </w:rPr>
        <w:t>s</w:t>
      </w:r>
    </w:p>
    <w:p w14:paraId="2F78B4B0" w14:textId="228B8AD4" w:rsidR="0056348E" w:rsidRDefault="0056348E" w:rsidP="00C02646">
      <w:pPr>
        <w:spacing w:line="480" w:lineRule="auto"/>
        <w:rPr>
          <w:rFonts w:ascii="Arial" w:eastAsia="Times New Roman" w:hAnsi="Arial" w:cs="Arial"/>
          <w:color w:val="000000"/>
          <w:sz w:val="20"/>
          <w:szCs w:val="20"/>
          <w:lang w:eastAsia="en-GB"/>
        </w:rPr>
      </w:pPr>
      <w:r w:rsidRPr="009F0669">
        <w:rPr>
          <w:rFonts w:ascii="Arial" w:eastAsia="Times New Roman" w:hAnsi="Arial" w:cs="Arial"/>
          <w:color w:val="000000"/>
          <w:sz w:val="20"/>
          <w:szCs w:val="20"/>
          <w:lang w:eastAsia="en-GB"/>
        </w:rPr>
        <w:t>Figure S1.</w:t>
      </w:r>
      <w:r w:rsidRPr="009F0669">
        <w:rPr>
          <w:rFonts w:ascii="Arial" w:eastAsia="Times New Roman" w:hAnsi="Arial" w:cs="Arial"/>
          <w:b/>
          <w:bCs/>
          <w:color w:val="000000"/>
          <w:sz w:val="20"/>
          <w:szCs w:val="20"/>
          <w:lang w:eastAsia="en-GB"/>
        </w:rPr>
        <w:t xml:space="preserve"> Stable, non-canonically regulated 105 </w:t>
      </w:r>
      <w:proofErr w:type="spellStart"/>
      <w:r w:rsidRPr="009F0669">
        <w:rPr>
          <w:rFonts w:ascii="Arial" w:eastAsia="Times New Roman" w:hAnsi="Arial" w:cs="Arial"/>
          <w:b/>
          <w:bCs/>
          <w:color w:val="000000"/>
          <w:sz w:val="20"/>
          <w:szCs w:val="20"/>
          <w:lang w:eastAsia="en-GB"/>
        </w:rPr>
        <w:t>kDa</w:t>
      </w:r>
      <w:proofErr w:type="spellEnd"/>
      <w:r w:rsidRPr="009F0669">
        <w:rPr>
          <w:rFonts w:ascii="Arial" w:eastAsia="Times New Roman" w:hAnsi="Arial" w:cs="Arial"/>
          <w:b/>
          <w:bCs/>
          <w:color w:val="000000"/>
          <w:sz w:val="20"/>
          <w:szCs w:val="20"/>
          <w:lang w:eastAsia="en-GB"/>
        </w:rPr>
        <w:t xml:space="preserve"> Nrf2 form is expressed in all tested cells</w:t>
      </w:r>
      <w:r w:rsidRPr="009F0669">
        <w:rPr>
          <w:rFonts w:ascii="Arial" w:eastAsia="Times New Roman" w:hAnsi="Arial" w:cs="Arial"/>
          <w:color w:val="000000"/>
          <w:sz w:val="20"/>
          <w:szCs w:val="20"/>
          <w:lang w:eastAsia="en-GB"/>
        </w:rPr>
        <w:t>. (A) Western blot analysis of the two most abundant Nrf2 forms in lung cancer cell lines H1299, RERF and A549 and in patients’ samples (NSCLC 1 and 2) and normal lung fibroblasts (NLF). Nrf2 was detected with Abcam EP1808Y antibodies. Actin was used as a loading control. (B) Western blot</w:t>
      </w:r>
      <w:r>
        <w:rPr>
          <w:rFonts w:ascii="Arial" w:eastAsia="Times New Roman" w:hAnsi="Arial" w:cs="Arial"/>
          <w:color w:val="000000"/>
          <w:sz w:val="20"/>
          <w:szCs w:val="20"/>
          <w:lang w:eastAsia="en-GB"/>
        </w:rPr>
        <w:t xml:space="preserve"> </w:t>
      </w:r>
      <w:r w:rsidRPr="009F0669">
        <w:rPr>
          <w:rFonts w:ascii="Arial" w:eastAsia="Times New Roman" w:hAnsi="Arial" w:cs="Arial"/>
          <w:color w:val="000000"/>
          <w:sz w:val="20"/>
          <w:szCs w:val="20"/>
          <w:lang w:eastAsia="en-GB"/>
        </w:rPr>
        <w:t xml:space="preserve">analysis of two most abundant Nrf2 forms in NSCLC cells. Nrf2 was </w:t>
      </w:r>
      <w:r w:rsidRPr="009F0669">
        <w:rPr>
          <w:rFonts w:ascii="Arial" w:eastAsia="Times New Roman" w:hAnsi="Arial" w:cs="Arial"/>
          <w:color w:val="000000"/>
          <w:sz w:val="20"/>
          <w:szCs w:val="20"/>
          <w:lang w:eastAsia="en-GB"/>
        </w:rPr>
        <w:lastRenderedPageBreak/>
        <w:t xml:space="preserve">detected with Abcam EP1808Y and Cell </w:t>
      </w:r>
      <w:proofErr w:type="spellStart"/>
      <w:r>
        <w:rPr>
          <w:rFonts w:ascii="Arial" w:eastAsia="Times New Roman" w:hAnsi="Arial" w:cs="Arial"/>
          <w:color w:val="000000"/>
          <w:sz w:val="20"/>
          <w:szCs w:val="20"/>
          <w:lang w:eastAsia="en-GB"/>
        </w:rPr>
        <w:t>s</w:t>
      </w:r>
      <w:r w:rsidRPr="009F0669">
        <w:rPr>
          <w:rFonts w:ascii="Arial" w:eastAsia="Times New Roman" w:hAnsi="Arial" w:cs="Arial"/>
          <w:color w:val="000000"/>
          <w:sz w:val="20"/>
          <w:szCs w:val="20"/>
          <w:lang w:eastAsia="en-GB"/>
        </w:rPr>
        <w:t>ignal</w:t>
      </w:r>
      <w:r>
        <w:rPr>
          <w:rFonts w:ascii="Arial" w:eastAsia="Times New Roman" w:hAnsi="Arial" w:cs="Arial"/>
          <w:color w:val="000000"/>
          <w:sz w:val="20"/>
          <w:szCs w:val="20"/>
          <w:lang w:eastAsia="en-GB"/>
        </w:rPr>
        <w:t>i</w:t>
      </w:r>
      <w:r w:rsidRPr="009F0669">
        <w:rPr>
          <w:rFonts w:ascii="Arial" w:eastAsia="Times New Roman" w:hAnsi="Arial" w:cs="Arial"/>
          <w:color w:val="000000"/>
          <w:sz w:val="20"/>
          <w:szCs w:val="20"/>
          <w:lang w:eastAsia="en-GB"/>
        </w:rPr>
        <w:t>ng</w:t>
      </w:r>
      <w:proofErr w:type="spellEnd"/>
      <w:r w:rsidRPr="009F0669">
        <w:rPr>
          <w:rFonts w:ascii="Arial" w:eastAsia="Times New Roman" w:hAnsi="Arial" w:cs="Arial"/>
          <w:color w:val="000000"/>
          <w:sz w:val="20"/>
          <w:szCs w:val="20"/>
          <w:lang w:eastAsia="en-GB"/>
        </w:rPr>
        <w:t xml:space="preserve"> (D1Z9C) antibodies. Actin was used as a loading control.</w:t>
      </w:r>
    </w:p>
    <w:p w14:paraId="44B889D8" w14:textId="58CC65FC" w:rsidR="0056348E" w:rsidRPr="00960C45" w:rsidRDefault="0056348E" w:rsidP="00C02646">
      <w:pPr>
        <w:spacing w:before="240" w:after="60" w:line="480" w:lineRule="auto"/>
        <w:jc w:val="both"/>
        <w:rPr>
          <w:rFonts w:ascii="Arial" w:eastAsia="Times New Roman" w:hAnsi="Arial" w:cs="Arial"/>
          <w:color w:val="000000"/>
          <w:sz w:val="20"/>
          <w:szCs w:val="20"/>
          <w:lang w:eastAsia="en-GB"/>
        </w:rPr>
      </w:pPr>
      <w:r w:rsidRPr="009F0669">
        <w:rPr>
          <w:rFonts w:ascii="Arial" w:eastAsia="Times New Roman" w:hAnsi="Arial" w:cs="Arial"/>
          <w:color w:val="000000"/>
          <w:sz w:val="20"/>
          <w:szCs w:val="20"/>
          <w:lang w:eastAsia="en-GB"/>
        </w:rPr>
        <w:t>Figure S2.</w:t>
      </w:r>
      <w:r w:rsidRPr="009F0669">
        <w:rPr>
          <w:rFonts w:ascii="Arial" w:eastAsia="Times New Roman" w:hAnsi="Arial" w:cs="Arial"/>
          <w:b/>
          <w:bCs/>
          <w:color w:val="000000"/>
          <w:sz w:val="20"/>
          <w:szCs w:val="20"/>
          <w:lang w:eastAsia="en-GB"/>
        </w:rPr>
        <w:t xml:space="preserve"> The stability of newly identified, shorter Nrf2 form after translation inhibition.</w:t>
      </w:r>
      <w:r w:rsidRPr="009F0669">
        <w:rPr>
          <w:rFonts w:ascii="Arial" w:eastAsia="Times New Roman" w:hAnsi="Arial" w:cs="Arial"/>
          <w:color w:val="000000"/>
          <w:sz w:val="20"/>
          <w:szCs w:val="20"/>
          <w:lang w:eastAsia="en-GB"/>
        </w:rPr>
        <w:t xml:space="preserve"> </w:t>
      </w:r>
      <w:r w:rsidR="00CD5393">
        <w:rPr>
          <w:rFonts w:ascii="Arial" w:eastAsia="Times New Roman" w:hAnsi="Arial" w:cs="Arial"/>
          <w:color w:val="000000"/>
          <w:sz w:val="20"/>
          <w:szCs w:val="20"/>
          <w:lang w:eastAsia="en-GB"/>
        </w:rPr>
        <w:t>(A)</w:t>
      </w:r>
      <w:r w:rsidR="00CD5393" w:rsidRPr="00CD5393">
        <w:rPr>
          <w:rFonts w:ascii="Arial" w:eastAsia="Times New Roman" w:hAnsi="Arial" w:cs="Arial"/>
          <w:color w:val="000000"/>
          <w:sz w:val="20"/>
          <w:szCs w:val="20"/>
          <w:lang w:eastAsia="en-GB"/>
        </w:rPr>
        <w:t xml:space="preserve"> Nrf2 knockdown with a pool of Nrf2-targeting siRNAs (siNrf2, 25 </w:t>
      </w:r>
      <w:proofErr w:type="spellStart"/>
      <w:r w:rsidR="00CD5393" w:rsidRPr="00CD5393">
        <w:rPr>
          <w:rFonts w:ascii="Arial" w:eastAsia="Times New Roman" w:hAnsi="Arial" w:cs="Arial"/>
          <w:color w:val="000000"/>
          <w:sz w:val="20"/>
          <w:szCs w:val="20"/>
          <w:lang w:eastAsia="en-GB"/>
        </w:rPr>
        <w:t>nM</w:t>
      </w:r>
      <w:proofErr w:type="spellEnd"/>
      <w:r w:rsidR="00CD5393" w:rsidRPr="00CD5393">
        <w:rPr>
          <w:rFonts w:ascii="Arial" w:eastAsia="Times New Roman" w:hAnsi="Arial" w:cs="Arial"/>
          <w:color w:val="000000"/>
          <w:sz w:val="20"/>
          <w:szCs w:val="20"/>
          <w:lang w:eastAsia="en-GB"/>
        </w:rPr>
        <w:t>) and unspecific control RNAs (</w:t>
      </w:r>
      <w:proofErr w:type="spellStart"/>
      <w:r w:rsidR="00CD5393" w:rsidRPr="00CD5393">
        <w:rPr>
          <w:rFonts w:ascii="Arial" w:eastAsia="Times New Roman" w:hAnsi="Arial" w:cs="Arial"/>
          <w:color w:val="000000"/>
          <w:sz w:val="20"/>
          <w:szCs w:val="20"/>
          <w:lang w:eastAsia="en-GB"/>
        </w:rPr>
        <w:t>scrRNA</w:t>
      </w:r>
      <w:proofErr w:type="spellEnd"/>
      <w:r w:rsidR="00CD5393" w:rsidRPr="00CD5393">
        <w:rPr>
          <w:rFonts w:ascii="Arial" w:eastAsia="Times New Roman" w:hAnsi="Arial" w:cs="Arial"/>
          <w:color w:val="000000"/>
          <w:sz w:val="20"/>
          <w:szCs w:val="20"/>
          <w:lang w:eastAsia="en-GB"/>
        </w:rPr>
        <w:t xml:space="preserve">) for 48 hours in NSCLC primary cells. </w:t>
      </w:r>
      <w:r w:rsidRPr="009F0669">
        <w:rPr>
          <w:rFonts w:ascii="Arial" w:eastAsia="Times New Roman" w:hAnsi="Arial" w:cs="Arial"/>
          <w:color w:val="000000"/>
          <w:sz w:val="20"/>
          <w:szCs w:val="20"/>
          <w:lang w:eastAsia="en-GB"/>
        </w:rPr>
        <w:t>(</w:t>
      </w:r>
      <w:r w:rsidR="00CD5393">
        <w:rPr>
          <w:rFonts w:ascii="Arial" w:eastAsia="Times New Roman" w:hAnsi="Arial" w:cs="Arial"/>
          <w:color w:val="000000"/>
          <w:sz w:val="20"/>
          <w:szCs w:val="20"/>
          <w:lang w:eastAsia="en-GB"/>
        </w:rPr>
        <w:t>B</w:t>
      </w:r>
      <w:r w:rsidRPr="009F0669">
        <w:rPr>
          <w:rFonts w:ascii="Arial" w:eastAsia="Times New Roman" w:hAnsi="Arial" w:cs="Arial"/>
          <w:color w:val="000000"/>
          <w:sz w:val="20"/>
          <w:szCs w:val="20"/>
          <w:lang w:eastAsia="en-GB"/>
        </w:rPr>
        <w:t>) Western blot analysis after treatment with translation elongation inhibitor emetine dihydrochloride (20 µM) at indicated time points in H1299, NSCLC 1 and NSCLC 2. Actin was used as a loading control. (</w:t>
      </w:r>
      <w:r w:rsidR="00CD5393">
        <w:rPr>
          <w:rFonts w:ascii="Arial" w:eastAsia="Times New Roman" w:hAnsi="Arial" w:cs="Arial"/>
          <w:color w:val="000000"/>
          <w:sz w:val="20"/>
          <w:szCs w:val="20"/>
          <w:lang w:eastAsia="en-GB"/>
        </w:rPr>
        <w:t>C</w:t>
      </w:r>
      <w:r w:rsidRPr="009F0669">
        <w:rPr>
          <w:rFonts w:ascii="Arial" w:eastAsia="Times New Roman" w:hAnsi="Arial" w:cs="Arial"/>
          <w:color w:val="000000"/>
          <w:sz w:val="20"/>
          <w:szCs w:val="20"/>
          <w:lang w:eastAsia="en-GB"/>
        </w:rPr>
        <w:t>) Curves show data fitted using nonlinear regression and a one-phase exponential decay equation used for calculating the half-life of protein based on the average band densities for each time point, that were normalized to time point zero.</w:t>
      </w:r>
    </w:p>
    <w:p w14:paraId="1C935235" w14:textId="77777777" w:rsidR="0056348E" w:rsidRDefault="0056348E" w:rsidP="00C02646">
      <w:pPr>
        <w:spacing w:after="60" w:line="480" w:lineRule="auto"/>
        <w:jc w:val="both"/>
        <w:rPr>
          <w:rFonts w:ascii="Arial" w:eastAsia="Times New Roman" w:hAnsi="Arial" w:cs="Arial"/>
          <w:color w:val="000000"/>
          <w:sz w:val="20"/>
          <w:szCs w:val="20"/>
          <w:lang w:eastAsia="en-GB"/>
        </w:rPr>
      </w:pPr>
    </w:p>
    <w:p w14:paraId="5AC572A0" w14:textId="4E9FCE65" w:rsidR="0056348E" w:rsidRDefault="0056348E" w:rsidP="00C02646">
      <w:pPr>
        <w:spacing w:after="60" w:line="480" w:lineRule="auto"/>
        <w:jc w:val="both"/>
        <w:rPr>
          <w:rFonts w:ascii="Arial" w:eastAsia="Times New Roman" w:hAnsi="Arial" w:cs="Arial"/>
          <w:color w:val="000000"/>
          <w:sz w:val="20"/>
          <w:szCs w:val="20"/>
          <w:lang w:eastAsia="en-GB"/>
        </w:rPr>
      </w:pPr>
      <w:r w:rsidRPr="009F0669">
        <w:rPr>
          <w:rFonts w:ascii="Arial" w:eastAsia="Times New Roman" w:hAnsi="Arial" w:cs="Arial"/>
          <w:color w:val="000000"/>
          <w:sz w:val="20"/>
          <w:szCs w:val="20"/>
          <w:lang w:eastAsia="en-GB"/>
        </w:rPr>
        <w:t>Figure S3.</w:t>
      </w:r>
      <w:r w:rsidRPr="009F0669">
        <w:rPr>
          <w:rFonts w:ascii="Arial" w:eastAsia="Times New Roman" w:hAnsi="Arial" w:cs="Arial"/>
          <w:b/>
          <w:bCs/>
          <w:color w:val="000000"/>
          <w:sz w:val="20"/>
          <w:szCs w:val="20"/>
          <w:lang w:eastAsia="en-GB"/>
        </w:rPr>
        <w:t xml:space="preserve"> Stable Nrf2 form is not phosphorylated. </w:t>
      </w:r>
      <w:r w:rsidRPr="009F0669">
        <w:rPr>
          <w:rFonts w:ascii="Arial" w:eastAsia="Times New Roman" w:hAnsi="Arial" w:cs="Arial"/>
          <w:color w:val="202124"/>
          <w:sz w:val="20"/>
          <w:szCs w:val="20"/>
          <w:lang w:eastAsia="en-GB"/>
        </w:rPr>
        <w:t>Lambda protein phosphatase (</w:t>
      </w:r>
      <w:proofErr w:type="spellStart"/>
      <w:r w:rsidRPr="009F0669">
        <w:rPr>
          <w:rFonts w:ascii="Arial" w:eastAsia="Times New Roman" w:hAnsi="Arial" w:cs="Arial"/>
          <w:color w:val="202124"/>
          <w:sz w:val="20"/>
          <w:szCs w:val="20"/>
          <w:lang w:eastAsia="en-GB"/>
        </w:rPr>
        <w:t>λPP</w:t>
      </w:r>
      <w:proofErr w:type="spellEnd"/>
      <w:r w:rsidRPr="009F0669">
        <w:rPr>
          <w:rFonts w:ascii="Arial" w:eastAsia="Times New Roman" w:hAnsi="Arial" w:cs="Arial"/>
          <w:color w:val="202124"/>
          <w:sz w:val="20"/>
          <w:szCs w:val="20"/>
          <w:lang w:eastAsia="en-GB"/>
        </w:rPr>
        <w:t>) treatment of RERF and H1299 lysates. Cell lysates were incubated with or without λ phosphatase for 30 min in 30 °C in the presence of MnCl</w:t>
      </w:r>
      <w:r w:rsidRPr="009F0669">
        <w:rPr>
          <w:rFonts w:ascii="Arial" w:eastAsia="Times New Roman" w:hAnsi="Arial" w:cs="Arial"/>
          <w:color w:val="202124"/>
          <w:sz w:val="12"/>
          <w:szCs w:val="12"/>
          <w:lang w:eastAsia="en-GB"/>
        </w:rPr>
        <w:t>2</w:t>
      </w:r>
      <w:r w:rsidRPr="009F0669">
        <w:rPr>
          <w:rFonts w:ascii="Arial" w:eastAsia="Times New Roman" w:hAnsi="Arial" w:cs="Arial"/>
          <w:color w:val="202124"/>
          <w:sz w:val="20"/>
          <w:szCs w:val="20"/>
          <w:lang w:eastAsia="en-GB"/>
        </w:rPr>
        <w:t xml:space="preserve">. </w:t>
      </w:r>
      <w:r w:rsidRPr="009F0669">
        <w:rPr>
          <w:rFonts w:ascii="Arial" w:eastAsia="Times New Roman" w:hAnsi="Arial" w:cs="Arial"/>
          <w:color w:val="000000"/>
          <w:sz w:val="20"/>
          <w:szCs w:val="20"/>
          <w:lang w:eastAsia="en-GB"/>
        </w:rPr>
        <w:t xml:space="preserve">Arrows indicate different Nrf2 forms: </w:t>
      </w:r>
      <w:r w:rsidRPr="009F0669">
        <w:rPr>
          <w:rFonts w:ascii="Arial" w:eastAsia="Times New Roman" w:hAnsi="Arial" w:cs="Arial"/>
          <w:b/>
          <w:bCs/>
          <w:color w:val="000000"/>
          <w:sz w:val="20"/>
          <w:szCs w:val="20"/>
          <w:lang w:eastAsia="en-GB"/>
        </w:rPr>
        <w:t>←</w:t>
      </w:r>
      <w:r w:rsidRPr="009F0669">
        <w:rPr>
          <w:rFonts w:ascii="Arial" w:eastAsia="Times New Roman" w:hAnsi="Arial" w:cs="Arial"/>
          <w:color w:val="000000"/>
          <w:sz w:val="20"/>
          <w:szCs w:val="20"/>
          <w:lang w:eastAsia="en-GB"/>
        </w:rPr>
        <w:t>P</w:t>
      </w:r>
      <w:r w:rsidRPr="009F0669">
        <w:rPr>
          <w:rFonts w:ascii="Arial" w:eastAsia="Times New Roman" w:hAnsi="Arial" w:cs="Arial"/>
          <w:b/>
          <w:bCs/>
          <w:color w:val="000000"/>
          <w:sz w:val="20"/>
          <w:szCs w:val="20"/>
          <w:lang w:eastAsia="en-GB"/>
        </w:rPr>
        <w:t xml:space="preserve"> </w:t>
      </w:r>
      <w:r w:rsidRPr="009F0669">
        <w:rPr>
          <w:rFonts w:ascii="Arial" w:eastAsia="Times New Roman" w:hAnsi="Arial" w:cs="Arial"/>
          <w:color w:val="000000"/>
          <w:sz w:val="20"/>
          <w:szCs w:val="20"/>
          <w:lang w:eastAsia="en-GB"/>
        </w:rPr>
        <w:t xml:space="preserve">for phosphorylated, canonical Nrf2; ← not phosphorylated, canonical Nrf2; </w:t>
      </w:r>
      <w:r w:rsidRPr="009F0669">
        <w:rPr>
          <w:rFonts w:ascii="Arial" w:eastAsia="Times New Roman" w:hAnsi="Arial" w:cs="Arial"/>
          <w:b/>
          <w:bCs/>
          <w:color w:val="000000"/>
          <w:sz w:val="20"/>
          <w:szCs w:val="20"/>
          <w:lang w:eastAsia="en-GB"/>
        </w:rPr>
        <w:t xml:space="preserve">←* </w:t>
      </w:r>
      <w:r w:rsidRPr="009F0669">
        <w:rPr>
          <w:rFonts w:ascii="Arial" w:eastAsia="Times New Roman" w:hAnsi="Arial" w:cs="Arial"/>
          <w:color w:val="000000"/>
          <w:sz w:val="20"/>
          <w:szCs w:val="20"/>
          <w:lang w:eastAsia="en-GB"/>
        </w:rPr>
        <w:t xml:space="preserve">non-canonical Nrf2. </w:t>
      </w:r>
      <w:r w:rsidR="00CD5393">
        <w:rPr>
          <w:rFonts w:ascii="Arial" w:eastAsia="Times New Roman" w:hAnsi="Arial" w:cs="Arial"/>
          <w:color w:val="000000"/>
          <w:sz w:val="20"/>
          <w:szCs w:val="20"/>
          <w:lang w:eastAsia="en-GB"/>
        </w:rPr>
        <w:t xml:space="preserve">(A) </w:t>
      </w:r>
      <w:r w:rsidR="00CD5393" w:rsidRPr="00CD5393">
        <w:rPr>
          <w:rFonts w:ascii="Arial" w:eastAsia="Times New Roman" w:hAnsi="Arial" w:cs="Arial"/>
          <w:color w:val="000000"/>
          <w:sz w:val="20"/>
          <w:szCs w:val="20"/>
          <w:lang w:eastAsia="en-GB"/>
        </w:rPr>
        <w:t xml:space="preserve">Nrf2 was detected </w:t>
      </w:r>
      <w:proofErr w:type="spellStart"/>
      <w:r w:rsidR="00CD5393" w:rsidRPr="009F0669">
        <w:rPr>
          <w:rFonts w:ascii="Arial" w:eastAsia="Times New Roman" w:hAnsi="Arial" w:cs="Arial"/>
          <w:color w:val="000000"/>
          <w:sz w:val="20"/>
          <w:szCs w:val="20"/>
          <w:lang w:eastAsia="en-GB"/>
        </w:rPr>
        <w:t>detected</w:t>
      </w:r>
      <w:proofErr w:type="spellEnd"/>
      <w:r w:rsidR="00CD5393" w:rsidRPr="009F0669">
        <w:rPr>
          <w:rFonts w:ascii="Arial" w:eastAsia="Times New Roman" w:hAnsi="Arial" w:cs="Arial"/>
          <w:color w:val="000000"/>
          <w:sz w:val="20"/>
          <w:szCs w:val="20"/>
          <w:lang w:eastAsia="en-GB"/>
        </w:rPr>
        <w:t xml:space="preserve"> by western blot analysis using </w:t>
      </w:r>
      <w:r w:rsidR="00CD5393" w:rsidRPr="00CD5393">
        <w:rPr>
          <w:rFonts w:ascii="Arial" w:eastAsia="Times New Roman" w:hAnsi="Arial" w:cs="Arial"/>
          <w:color w:val="000000"/>
          <w:sz w:val="20"/>
          <w:szCs w:val="20"/>
          <w:lang w:eastAsia="en-GB"/>
        </w:rPr>
        <w:t>Abcam EP1808Y antibodies</w:t>
      </w:r>
      <w:r w:rsidR="00CD5393">
        <w:rPr>
          <w:rFonts w:ascii="Arial" w:eastAsia="Times New Roman" w:hAnsi="Arial" w:cs="Arial"/>
          <w:color w:val="000000"/>
          <w:sz w:val="20"/>
          <w:szCs w:val="20"/>
          <w:lang w:eastAsia="en-GB"/>
        </w:rPr>
        <w:t>. (B)</w:t>
      </w:r>
      <w:r w:rsidR="00CD5393" w:rsidRPr="00CD5393">
        <w:rPr>
          <w:rFonts w:ascii="Arial" w:eastAsia="Times New Roman" w:hAnsi="Arial" w:cs="Arial"/>
          <w:color w:val="000000"/>
          <w:sz w:val="20"/>
          <w:szCs w:val="20"/>
          <w:lang w:eastAsia="en-GB"/>
        </w:rPr>
        <w:t xml:space="preserve"> </w:t>
      </w:r>
      <w:r w:rsidRPr="009F0669">
        <w:rPr>
          <w:rFonts w:ascii="Arial" w:eastAsia="Times New Roman" w:hAnsi="Arial" w:cs="Arial"/>
          <w:color w:val="000000"/>
          <w:sz w:val="20"/>
          <w:szCs w:val="20"/>
          <w:lang w:eastAsia="en-GB"/>
        </w:rPr>
        <w:t xml:space="preserve">Nrf2 was detected by western blot analysis using Cell </w:t>
      </w:r>
      <w:proofErr w:type="spellStart"/>
      <w:r w:rsidRPr="009F0669">
        <w:rPr>
          <w:rFonts w:ascii="Arial" w:eastAsia="Times New Roman" w:hAnsi="Arial" w:cs="Arial"/>
          <w:color w:val="000000"/>
          <w:sz w:val="20"/>
          <w:szCs w:val="20"/>
          <w:lang w:eastAsia="en-GB"/>
        </w:rPr>
        <w:t>signaling</w:t>
      </w:r>
      <w:proofErr w:type="spellEnd"/>
      <w:r w:rsidRPr="009F0669">
        <w:rPr>
          <w:rFonts w:ascii="Arial" w:eastAsia="Times New Roman" w:hAnsi="Arial" w:cs="Arial"/>
          <w:color w:val="000000"/>
          <w:sz w:val="20"/>
          <w:szCs w:val="20"/>
          <w:lang w:eastAsia="en-GB"/>
        </w:rPr>
        <w:t xml:space="preserve"> (D1Z9C) XP antibodies</w:t>
      </w:r>
      <w:r>
        <w:rPr>
          <w:rFonts w:ascii="Arial" w:eastAsia="Times New Roman" w:hAnsi="Arial" w:cs="Arial"/>
          <w:color w:val="000000"/>
          <w:sz w:val="20"/>
          <w:szCs w:val="20"/>
          <w:lang w:eastAsia="en-GB"/>
        </w:rPr>
        <w:t>.</w:t>
      </w:r>
    </w:p>
    <w:p w14:paraId="63CB46E1" w14:textId="2FAE8E75" w:rsidR="0056348E" w:rsidRDefault="0056348E" w:rsidP="00C02646">
      <w:pPr>
        <w:spacing w:after="60" w:line="480" w:lineRule="auto"/>
        <w:jc w:val="both"/>
        <w:rPr>
          <w:rFonts w:ascii="Arial" w:hAnsi="Arial" w:cs="Arial"/>
          <w:color w:val="000000"/>
          <w:sz w:val="20"/>
          <w:szCs w:val="20"/>
        </w:rPr>
      </w:pPr>
    </w:p>
    <w:p w14:paraId="569BF20C" w14:textId="70E1F92B" w:rsidR="00CD5393" w:rsidRDefault="00CD5393" w:rsidP="00C02646">
      <w:pPr>
        <w:spacing w:after="60" w:line="480" w:lineRule="auto"/>
        <w:jc w:val="both"/>
        <w:rPr>
          <w:rFonts w:ascii="Arial" w:hAnsi="Arial" w:cs="Arial"/>
          <w:color w:val="000000"/>
          <w:sz w:val="20"/>
          <w:szCs w:val="20"/>
        </w:rPr>
      </w:pPr>
      <w:r>
        <w:rPr>
          <w:rFonts w:ascii="Arial" w:hAnsi="Arial" w:cs="Arial"/>
          <w:color w:val="000000"/>
          <w:sz w:val="20"/>
          <w:szCs w:val="20"/>
        </w:rPr>
        <w:t xml:space="preserve">Figure S4. </w:t>
      </w:r>
      <w:r w:rsidRPr="00CD5393">
        <w:rPr>
          <w:rFonts w:ascii="Arial" w:hAnsi="Arial" w:cs="Arial"/>
          <w:b/>
          <w:bCs/>
          <w:color w:val="000000"/>
          <w:sz w:val="20"/>
          <w:szCs w:val="20"/>
        </w:rPr>
        <w:t>Stable Nrf2 form originates from P2 transcript variants.</w:t>
      </w:r>
      <w:r>
        <w:rPr>
          <w:rFonts w:ascii="Arial" w:hAnsi="Arial" w:cs="Arial"/>
          <w:color w:val="000000"/>
          <w:sz w:val="20"/>
          <w:szCs w:val="20"/>
        </w:rPr>
        <w:t xml:space="preserve"> </w:t>
      </w:r>
      <w:r w:rsidR="00DF4997" w:rsidRPr="00DF4997">
        <w:rPr>
          <w:rFonts w:ascii="Arial" w:hAnsi="Arial" w:cs="Arial"/>
          <w:color w:val="000000"/>
          <w:sz w:val="20"/>
          <w:szCs w:val="20"/>
        </w:rPr>
        <w:t>Agarose gel electrophoresis (2%) after RT-PCR shows PCR products corresponding to Nrf2 transcripts (produced from P1 and P2) expressed in tested lung cells.</w:t>
      </w:r>
    </w:p>
    <w:p w14:paraId="2820E853" w14:textId="77777777" w:rsidR="00DF4997" w:rsidRDefault="00DF4997" w:rsidP="00C02646">
      <w:pPr>
        <w:spacing w:after="60" w:line="480" w:lineRule="auto"/>
        <w:jc w:val="both"/>
        <w:rPr>
          <w:rFonts w:ascii="Arial" w:hAnsi="Arial" w:cs="Arial"/>
          <w:color w:val="000000"/>
          <w:sz w:val="20"/>
          <w:szCs w:val="20"/>
        </w:rPr>
      </w:pPr>
    </w:p>
    <w:p w14:paraId="7EB5F8D1" w14:textId="6048B386" w:rsidR="0056348E" w:rsidRDefault="0056348E" w:rsidP="00DF4997">
      <w:pPr>
        <w:pStyle w:val="NormalWeb"/>
        <w:spacing w:before="0" w:beforeAutospacing="0" w:after="160" w:afterAutospacing="0" w:line="480" w:lineRule="auto"/>
        <w:jc w:val="both"/>
        <w:rPr>
          <w:rFonts w:ascii="Arial" w:hAnsi="Arial" w:cs="Arial"/>
          <w:color w:val="000000"/>
          <w:sz w:val="20"/>
          <w:szCs w:val="20"/>
          <w:lang w:val="en-GB"/>
        </w:rPr>
      </w:pPr>
      <w:r w:rsidRPr="00DC7D43">
        <w:rPr>
          <w:rFonts w:ascii="Arial" w:hAnsi="Arial" w:cs="Arial"/>
          <w:color w:val="000000"/>
          <w:sz w:val="20"/>
          <w:szCs w:val="20"/>
          <w:lang w:val="en-GB"/>
        </w:rPr>
        <w:lastRenderedPageBreak/>
        <w:t>Figure S</w:t>
      </w:r>
      <w:r w:rsidR="00DF4997">
        <w:rPr>
          <w:rFonts w:ascii="Arial" w:hAnsi="Arial" w:cs="Arial"/>
          <w:color w:val="000000"/>
          <w:sz w:val="20"/>
          <w:szCs w:val="20"/>
          <w:lang w:val="en-GB"/>
        </w:rPr>
        <w:t>5</w:t>
      </w:r>
      <w:r w:rsidRPr="00DC7D43">
        <w:rPr>
          <w:rFonts w:ascii="Arial" w:hAnsi="Arial" w:cs="Arial"/>
          <w:color w:val="000000"/>
          <w:sz w:val="20"/>
          <w:szCs w:val="20"/>
          <w:lang w:val="en-GB"/>
        </w:rPr>
        <w:t>.</w:t>
      </w:r>
      <w:r w:rsidRPr="00DC7D43">
        <w:rPr>
          <w:rFonts w:ascii="Arial" w:hAnsi="Arial" w:cs="Arial"/>
          <w:b/>
          <w:bCs/>
          <w:color w:val="000000"/>
          <w:sz w:val="20"/>
          <w:szCs w:val="20"/>
          <w:lang w:val="en-GB"/>
        </w:rPr>
        <w:t xml:space="preserve"> </w:t>
      </w:r>
      <w:r w:rsidRPr="006B0195">
        <w:rPr>
          <w:rFonts w:ascii="Arial" w:eastAsia="Arial" w:hAnsi="Arial" w:cs="Arial"/>
          <w:b/>
          <w:sz w:val="20"/>
          <w:szCs w:val="20"/>
          <w:lang w:val="en-AU"/>
        </w:rPr>
        <w:t xml:space="preserve">Binding of </w:t>
      </w:r>
      <w:r>
        <w:rPr>
          <w:rFonts w:ascii="Arial" w:eastAsia="Arial" w:hAnsi="Arial" w:cs="Arial"/>
          <w:b/>
          <w:sz w:val="20"/>
          <w:szCs w:val="20"/>
        </w:rPr>
        <w:t>Δ</w:t>
      </w:r>
      <w:r w:rsidRPr="006B0195">
        <w:rPr>
          <w:rFonts w:ascii="Arial" w:eastAsia="Arial" w:hAnsi="Arial" w:cs="Arial"/>
          <w:b/>
          <w:sz w:val="20"/>
          <w:szCs w:val="20"/>
          <w:lang w:val="en-AU"/>
        </w:rPr>
        <w:t>N-Nrf2</w:t>
      </w:r>
      <w:r w:rsidRPr="006B0195">
        <w:rPr>
          <w:rFonts w:ascii="Arial" w:eastAsia="Arial" w:hAnsi="Arial" w:cs="Arial"/>
          <w:sz w:val="20"/>
          <w:szCs w:val="20"/>
          <w:lang w:val="en-AU"/>
        </w:rPr>
        <w:t xml:space="preserve"> </w:t>
      </w:r>
      <w:r w:rsidRPr="006B0195">
        <w:rPr>
          <w:rFonts w:ascii="Arial" w:eastAsia="Arial" w:hAnsi="Arial" w:cs="Arial"/>
          <w:b/>
          <w:bCs/>
          <w:sz w:val="20"/>
          <w:szCs w:val="20"/>
          <w:lang w:val="en-AU"/>
        </w:rPr>
        <w:t>to</w:t>
      </w:r>
      <w:r w:rsidRPr="006B0195">
        <w:rPr>
          <w:rFonts w:ascii="Arial" w:eastAsia="Arial" w:hAnsi="Arial" w:cs="Arial"/>
          <w:sz w:val="20"/>
          <w:szCs w:val="20"/>
          <w:lang w:val="en-AU"/>
        </w:rPr>
        <w:t xml:space="preserve"> </w:t>
      </w:r>
      <w:r w:rsidRPr="006B0195">
        <w:rPr>
          <w:rFonts w:ascii="Arial" w:eastAsia="Arial" w:hAnsi="Arial" w:cs="Arial"/>
          <w:b/>
          <w:sz w:val="20"/>
          <w:szCs w:val="20"/>
          <w:lang w:val="en-AU"/>
        </w:rPr>
        <w:t>Keap1 is impaired</w:t>
      </w:r>
      <w:r w:rsidRPr="00DC7D43">
        <w:rPr>
          <w:rFonts w:ascii="Arial" w:hAnsi="Arial" w:cs="Arial"/>
          <w:b/>
          <w:bCs/>
          <w:color w:val="000000"/>
          <w:sz w:val="20"/>
          <w:szCs w:val="20"/>
          <w:lang w:val="en-GB"/>
        </w:rPr>
        <w:t xml:space="preserve">. </w:t>
      </w:r>
      <w:r w:rsidRPr="00DC7D43">
        <w:rPr>
          <w:rFonts w:ascii="Arial" w:hAnsi="Arial" w:cs="Arial"/>
          <w:color w:val="202124"/>
          <w:sz w:val="20"/>
          <w:szCs w:val="20"/>
          <w:lang w:val="en-GB"/>
        </w:rPr>
        <w:t xml:space="preserve">(A) Left image represents a structure of full-length Nrf2 isoform 1 protein bound to the Keap1, while the image on the right represents a structure of </w:t>
      </w:r>
      <w:r w:rsidRPr="00A676F2">
        <w:rPr>
          <w:rFonts w:ascii="Arial" w:hAnsi="Arial" w:cs="Arial"/>
          <w:color w:val="000000"/>
          <w:sz w:val="20"/>
          <w:szCs w:val="20"/>
        </w:rPr>
        <w:t>Δ</w:t>
      </w:r>
      <w:r w:rsidRPr="00DC7D43">
        <w:rPr>
          <w:rFonts w:ascii="Arial" w:hAnsi="Arial" w:cs="Arial"/>
          <w:color w:val="000000"/>
          <w:sz w:val="20"/>
          <w:szCs w:val="20"/>
          <w:lang w:val="en-GB"/>
        </w:rPr>
        <w:t>N-</w:t>
      </w:r>
      <w:r w:rsidRPr="00DC7D43">
        <w:rPr>
          <w:rFonts w:ascii="Arial" w:hAnsi="Arial" w:cs="Arial"/>
          <w:color w:val="202124"/>
          <w:sz w:val="20"/>
          <w:szCs w:val="20"/>
          <w:lang w:val="en-GB"/>
        </w:rPr>
        <w:t xml:space="preserve">Nrf2 isoform 2 protein bound to the Keap1. White circles represent  the difference in the structure of isoform 1 and isoform 2, due to the deletion of the first 16 amino acids. (B) In order to compare the stability of full-length Nrf2 and </w:t>
      </w:r>
      <w:r w:rsidRPr="00A676F2">
        <w:rPr>
          <w:rFonts w:ascii="Arial" w:hAnsi="Arial" w:cs="Arial"/>
          <w:color w:val="000000"/>
          <w:sz w:val="20"/>
          <w:szCs w:val="20"/>
        </w:rPr>
        <w:t>Δ</w:t>
      </w:r>
      <w:r w:rsidRPr="00DC7D43">
        <w:rPr>
          <w:rFonts w:ascii="Arial" w:hAnsi="Arial" w:cs="Arial"/>
          <w:color w:val="000000"/>
          <w:sz w:val="20"/>
          <w:szCs w:val="20"/>
          <w:lang w:val="en-GB"/>
        </w:rPr>
        <w:t>N-</w:t>
      </w:r>
      <w:r w:rsidRPr="00DC7D43">
        <w:rPr>
          <w:rFonts w:ascii="Arial" w:hAnsi="Arial" w:cs="Arial"/>
          <w:color w:val="202124"/>
          <w:sz w:val="20"/>
          <w:szCs w:val="20"/>
          <w:lang w:val="en-GB"/>
        </w:rPr>
        <w:t xml:space="preserve">Nrf2, the RMSDs (root-mean-square deviations) were computed. RMSD calculations </w:t>
      </w:r>
      <w:r>
        <w:rPr>
          <w:rFonts w:ascii="Arial" w:hAnsi="Arial" w:cs="Arial"/>
          <w:color w:val="202124"/>
          <w:sz w:val="20"/>
          <w:szCs w:val="20"/>
          <w:lang w:val="en-GB"/>
        </w:rPr>
        <w:t>measure</w:t>
      </w:r>
      <w:r w:rsidRPr="00DC7D43">
        <w:rPr>
          <w:rFonts w:ascii="Arial" w:hAnsi="Arial" w:cs="Arial"/>
          <w:color w:val="202124"/>
          <w:sz w:val="20"/>
          <w:szCs w:val="20"/>
          <w:lang w:val="en-GB"/>
        </w:rPr>
        <w:t xml:space="preserve"> the difference between the backbones of a protein from its initial structural conformation to its final position. The stability of the protein relative to its conformation can be determined by the deviations produced during the course of its simulation</w:t>
      </w:r>
      <w:r w:rsidR="00C02646">
        <w:rPr>
          <w:rFonts w:ascii="Arial" w:hAnsi="Arial" w:cs="Arial"/>
          <w:color w:val="202124"/>
          <w:sz w:val="20"/>
          <w:szCs w:val="20"/>
          <w:lang w:val="en-GB"/>
        </w:rPr>
        <w:t xml:space="preserve"> </w:t>
      </w:r>
      <w:sdt>
        <w:sdtPr>
          <w:rPr>
            <w:rFonts w:ascii="Arial" w:hAnsi="Arial" w:cs="Arial"/>
            <w:color w:val="000000"/>
            <w:sz w:val="20"/>
            <w:szCs w:val="20"/>
            <w:lang w:val="en-GB"/>
          </w:rPr>
          <w:tag w:val="MENDELEY_CITATION_v3_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"/>
          <w:id w:val="485979512"/>
          <w:placeholder>
            <w:docPart w:val="DefaultPlaceholder_-1854013440"/>
          </w:placeholder>
        </w:sdtPr>
        <w:sdtEndPr/>
        <w:sdtContent>
          <w:r w:rsidR="00C02646" w:rsidRPr="00C02646">
            <w:rPr>
              <w:rFonts w:ascii="Arial" w:hAnsi="Arial" w:cs="Arial"/>
              <w:color w:val="000000"/>
              <w:sz w:val="20"/>
              <w:szCs w:val="20"/>
              <w:lang w:val="en-GB"/>
            </w:rPr>
            <w:t>(1)</w:t>
          </w:r>
        </w:sdtContent>
      </w:sdt>
      <w:r w:rsidRPr="00DC7D43">
        <w:rPr>
          <w:rFonts w:ascii="Arial" w:hAnsi="Arial" w:cs="Arial"/>
          <w:color w:val="202124"/>
          <w:sz w:val="20"/>
          <w:szCs w:val="20"/>
          <w:lang w:val="en-GB"/>
        </w:rPr>
        <w:t xml:space="preserve">. A RMSD value is expressed in </w:t>
      </w:r>
      <w:proofErr w:type="spellStart"/>
      <w:r w:rsidRPr="00DC7D43">
        <w:rPr>
          <w:rFonts w:ascii="Arial" w:hAnsi="Arial" w:cs="Arial"/>
          <w:color w:val="202124"/>
          <w:sz w:val="20"/>
          <w:szCs w:val="20"/>
          <w:lang w:val="en-GB"/>
        </w:rPr>
        <w:t>Ångström</w:t>
      </w:r>
      <w:proofErr w:type="spellEnd"/>
      <w:r w:rsidRPr="00DC7D43">
        <w:rPr>
          <w:rFonts w:ascii="Arial" w:hAnsi="Arial" w:cs="Arial"/>
          <w:color w:val="202124"/>
          <w:sz w:val="20"/>
          <w:szCs w:val="20"/>
          <w:lang w:val="en-GB"/>
        </w:rPr>
        <w:t xml:space="preserve"> (Å) which is equal to 10</w:t>
      </w:r>
      <w:r w:rsidRPr="00DC7D43">
        <w:rPr>
          <w:rFonts w:ascii="Arial" w:hAnsi="Arial" w:cs="Arial"/>
          <w:color w:val="202124"/>
          <w:sz w:val="12"/>
          <w:szCs w:val="12"/>
          <w:vertAlign w:val="superscript"/>
          <w:lang w:val="en-GB"/>
        </w:rPr>
        <w:t>−10</w:t>
      </w:r>
      <w:r w:rsidRPr="00DC7D43">
        <w:rPr>
          <w:rFonts w:ascii="Arial" w:hAnsi="Arial" w:cs="Arial"/>
          <w:color w:val="202124"/>
          <w:sz w:val="20"/>
          <w:szCs w:val="20"/>
          <w:lang w:val="en-GB"/>
        </w:rPr>
        <w:t xml:space="preserve"> m. (C) </w:t>
      </w:r>
      <w:r w:rsidRPr="00DC7D43">
        <w:rPr>
          <w:rFonts w:ascii="Arial" w:hAnsi="Arial" w:cs="Arial"/>
          <w:color w:val="202124"/>
          <w:sz w:val="20"/>
          <w:szCs w:val="20"/>
          <w:shd w:val="clear" w:color="auto" w:fill="FFFFFF"/>
          <w:lang w:val="en-GB"/>
        </w:rPr>
        <w:t xml:space="preserve">RMSF stands for root mean square fluctuation; it calculates the flexibility of individual residues or how much a particular residue fluctuates during a simulation </w:t>
      </w:r>
      <w:sdt>
        <w:sdtPr>
          <w:rPr>
            <w:rFonts w:ascii="Arial" w:hAnsi="Arial" w:cs="Arial"/>
            <w:color w:val="000000"/>
            <w:sz w:val="20"/>
            <w:szCs w:val="20"/>
            <w:shd w:val="clear" w:color="auto" w:fill="FFFFFF"/>
          </w:rPr>
          <w:tag w:val="MENDELEY_CITATION_v3_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"/>
          <w:id w:val="-1932656655"/>
          <w:placeholder>
            <w:docPart w:val="808B3ED69B304779B57CF990BA87F453"/>
          </w:placeholder>
        </w:sdtPr>
        <w:sdtEndPr/>
        <w:sdtContent>
          <w:r w:rsidR="00C02646" w:rsidRPr="00C02646">
            <w:rPr>
              <w:rFonts w:ascii="Arial" w:hAnsi="Arial" w:cs="Arial"/>
              <w:color w:val="000000"/>
              <w:sz w:val="20"/>
              <w:szCs w:val="20"/>
              <w:shd w:val="clear" w:color="auto" w:fill="FFFFFF"/>
              <w:lang w:val="en-GB"/>
            </w:rPr>
            <w:t>(2)</w:t>
          </w:r>
        </w:sdtContent>
      </w:sdt>
      <w:r w:rsidRPr="00DC7D43">
        <w:rPr>
          <w:rFonts w:ascii="Arial" w:hAnsi="Arial" w:cs="Arial"/>
          <w:color w:val="202124"/>
          <w:sz w:val="20"/>
          <w:szCs w:val="20"/>
          <w:shd w:val="clear" w:color="auto" w:fill="FFFFFF"/>
          <w:lang w:val="en-GB"/>
        </w:rPr>
        <w:t xml:space="preserve">. It indicates structurally which amino acids in a full-length Nrf2 isoform 1 and </w:t>
      </w:r>
      <w:r w:rsidRPr="00A676F2">
        <w:rPr>
          <w:rFonts w:ascii="Arial" w:hAnsi="Arial" w:cs="Arial"/>
          <w:color w:val="000000"/>
          <w:sz w:val="20"/>
          <w:szCs w:val="20"/>
        </w:rPr>
        <w:t>Δ</w:t>
      </w:r>
      <w:r w:rsidRPr="00DC7D43">
        <w:rPr>
          <w:rFonts w:ascii="Arial" w:hAnsi="Arial" w:cs="Arial"/>
          <w:color w:val="000000"/>
          <w:sz w:val="20"/>
          <w:szCs w:val="20"/>
          <w:lang w:val="en-GB"/>
        </w:rPr>
        <w:t>N-</w:t>
      </w:r>
      <w:r w:rsidRPr="00DC7D43">
        <w:rPr>
          <w:rFonts w:ascii="Arial" w:hAnsi="Arial" w:cs="Arial"/>
          <w:color w:val="202124"/>
          <w:sz w:val="20"/>
          <w:szCs w:val="20"/>
          <w:lang w:val="en-GB"/>
        </w:rPr>
        <w:t>Nrf2</w:t>
      </w:r>
      <w:r w:rsidRPr="00DC7D43">
        <w:rPr>
          <w:rFonts w:ascii="Arial" w:hAnsi="Arial" w:cs="Arial"/>
          <w:color w:val="202124"/>
          <w:sz w:val="20"/>
          <w:szCs w:val="20"/>
          <w:shd w:val="clear" w:color="auto" w:fill="FFFFFF"/>
          <w:lang w:val="en-GB"/>
        </w:rPr>
        <w:t xml:space="preserve"> isoform 2 protein contribute the most to a molecular motion. </w:t>
      </w:r>
      <w:r w:rsidRPr="00DC7D43">
        <w:rPr>
          <w:rFonts w:ascii="Arial" w:hAnsi="Arial" w:cs="Arial"/>
          <w:color w:val="000000"/>
          <w:sz w:val="20"/>
          <w:szCs w:val="20"/>
          <w:lang w:val="en-GB"/>
        </w:rPr>
        <w:t xml:space="preserve">(D) Western blot analysis of Nrf2 in lung cancer cell lines H1299, RERF and A549, and in NSCLC cells, after treatment with neddylation inhibitor MLN4924. Cells were treated with 1 </w:t>
      </w:r>
      <w:r w:rsidRPr="009F0669">
        <w:rPr>
          <w:rFonts w:ascii="Arial" w:hAnsi="Arial" w:cs="Arial"/>
          <w:color w:val="000000"/>
          <w:sz w:val="20"/>
          <w:szCs w:val="20"/>
        </w:rPr>
        <w:t>μ</w:t>
      </w:r>
      <w:r w:rsidRPr="00DC7D43">
        <w:rPr>
          <w:rFonts w:ascii="Arial" w:hAnsi="Arial" w:cs="Arial"/>
          <w:color w:val="000000"/>
          <w:sz w:val="20"/>
          <w:szCs w:val="20"/>
          <w:lang w:val="en-GB"/>
        </w:rPr>
        <w:t xml:space="preserve">M MLN4924 for 12 h. After treatment with MLN4924, cell lysates were incubated with or without </w:t>
      </w:r>
      <w:r w:rsidRPr="009F0669">
        <w:rPr>
          <w:rFonts w:ascii="Arial" w:hAnsi="Arial" w:cs="Arial"/>
          <w:color w:val="000000"/>
          <w:sz w:val="20"/>
          <w:szCs w:val="20"/>
        </w:rPr>
        <w:t>λ</w:t>
      </w:r>
      <w:r w:rsidRPr="00DC7D43">
        <w:rPr>
          <w:rFonts w:ascii="Arial" w:hAnsi="Arial" w:cs="Arial"/>
          <w:color w:val="000000"/>
          <w:sz w:val="20"/>
          <w:szCs w:val="20"/>
          <w:lang w:val="en-GB"/>
        </w:rPr>
        <w:t xml:space="preserve"> phosphatase for 30 min in 30 °C in the presence of MnCl</w:t>
      </w:r>
      <w:r w:rsidRPr="00DC7D43">
        <w:rPr>
          <w:rFonts w:ascii="Arial" w:hAnsi="Arial" w:cs="Arial"/>
          <w:color w:val="000000"/>
          <w:sz w:val="12"/>
          <w:szCs w:val="12"/>
          <w:vertAlign w:val="subscript"/>
          <w:lang w:val="en-GB"/>
        </w:rPr>
        <w:t>2</w:t>
      </w:r>
      <w:r w:rsidRPr="00DC7D43">
        <w:rPr>
          <w:rFonts w:ascii="Arial" w:hAnsi="Arial" w:cs="Arial"/>
          <w:color w:val="000000"/>
          <w:sz w:val="20"/>
          <w:szCs w:val="20"/>
          <w:lang w:val="en-GB"/>
        </w:rPr>
        <w:t xml:space="preserve"> and Nrf2 was detected by Western blot with Abcam EP1808Y antibodies. Actin was used as a loading control. Arrows indicate different Nrf2 forms: ←p-Nrf2 for phosphorylated, canonical Nrf2; ←Nrf2 for non-phosphorylated, canonical Nrf2; ←</w:t>
      </w:r>
      <w:r w:rsidRPr="00960C45">
        <w:rPr>
          <w:rFonts w:ascii="Arial" w:hAnsi="Arial" w:cs="Arial"/>
          <w:color w:val="000000"/>
          <w:sz w:val="20"/>
          <w:szCs w:val="20"/>
        </w:rPr>
        <w:t>Δ</w:t>
      </w:r>
      <w:r w:rsidRPr="00DC7D43">
        <w:rPr>
          <w:rFonts w:ascii="Arial" w:hAnsi="Arial" w:cs="Arial"/>
          <w:color w:val="000000"/>
          <w:sz w:val="20"/>
          <w:szCs w:val="20"/>
          <w:lang w:val="en-GB"/>
        </w:rPr>
        <w:t xml:space="preserve">N-Nrf2 for N-terminally truncated Nrf2 isoform 2. (E) Western blot analysis of NSCLC 1 cells after co-immunoprecipitation of Nrf2, under homeostatic conditions and after treatment with neddylation inhibitor MLN4924 for 12 hours. Precipitates were probed with anti-Keap1 </w:t>
      </w:r>
      <w:r w:rsidRPr="00DC7D43">
        <w:rPr>
          <w:rFonts w:ascii="Arial" w:hAnsi="Arial" w:cs="Arial"/>
          <w:color w:val="000000"/>
          <w:sz w:val="20"/>
          <w:szCs w:val="20"/>
          <w:lang w:val="en-GB"/>
        </w:rPr>
        <w:lastRenderedPageBreak/>
        <w:t xml:space="preserve">antibodies to </w:t>
      </w:r>
      <w:proofErr w:type="spellStart"/>
      <w:r w:rsidRPr="00DC7D43">
        <w:rPr>
          <w:rFonts w:ascii="Arial" w:hAnsi="Arial" w:cs="Arial"/>
          <w:color w:val="000000"/>
          <w:sz w:val="20"/>
          <w:szCs w:val="20"/>
          <w:lang w:val="en-GB"/>
        </w:rPr>
        <w:t>analyze</w:t>
      </w:r>
      <w:proofErr w:type="spellEnd"/>
      <w:r w:rsidRPr="00DC7D43">
        <w:rPr>
          <w:rFonts w:ascii="Arial" w:hAnsi="Arial" w:cs="Arial"/>
          <w:color w:val="000000"/>
          <w:sz w:val="20"/>
          <w:szCs w:val="20"/>
          <w:lang w:val="en-GB"/>
        </w:rPr>
        <w:t xml:space="preserve"> levels of Nrf2-bound Keap1. IgG was used as a control for co-immunoprecipitation. Right side panel presents Western blot results in co-immunoprecipitation of Nrf2 and IgG samples after longer exposure.</w:t>
      </w:r>
    </w:p>
    <w:p w14:paraId="395E7B3F" w14:textId="77777777" w:rsidR="002A4F95" w:rsidRDefault="002A4F95" w:rsidP="00DF4997">
      <w:pPr>
        <w:pStyle w:val="NormalWeb"/>
        <w:spacing w:before="0" w:beforeAutospacing="0" w:after="160" w:afterAutospacing="0" w:line="480" w:lineRule="auto"/>
        <w:jc w:val="both"/>
        <w:rPr>
          <w:rFonts w:ascii="Arial" w:hAnsi="Arial" w:cs="Arial"/>
          <w:color w:val="000000"/>
          <w:sz w:val="20"/>
          <w:szCs w:val="20"/>
          <w:lang w:val="en-GB"/>
        </w:rPr>
      </w:pPr>
    </w:p>
    <w:p w14:paraId="601BFA50" w14:textId="48E94DE7" w:rsidR="00DF4997" w:rsidRDefault="00DF4997" w:rsidP="00DF4997">
      <w:pPr>
        <w:pStyle w:val="NormalWeb"/>
        <w:spacing w:before="0" w:beforeAutospacing="0" w:after="160" w:afterAutospacing="0" w:line="480" w:lineRule="auto"/>
        <w:jc w:val="both"/>
        <w:rPr>
          <w:rFonts w:ascii="Arial" w:eastAsia="Arial" w:hAnsi="Arial" w:cs="Arial"/>
          <w:bCs/>
          <w:sz w:val="20"/>
          <w:szCs w:val="20"/>
          <w:lang w:val="en-AU"/>
        </w:rPr>
      </w:pPr>
      <w:r>
        <w:rPr>
          <w:rFonts w:ascii="Arial" w:hAnsi="Arial" w:cs="Arial"/>
          <w:color w:val="000000"/>
          <w:sz w:val="20"/>
          <w:szCs w:val="20"/>
          <w:lang w:val="en-GB"/>
        </w:rPr>
        <w:t xml:space="preserve">Figure S6. </w:t>
      </w:r>
      <w:r>
        <w:rPr>
          <w:rFonts w:ascii="Arial" w:eastAsia="Arial" w:hAnsi="Arial" w:cs="Arial"/>
          <w:b/>
          <w:sz w:val="20"/>
          <w:szCs w:val="20"/>
        </w:rPr>
        <w:t>Δ</w:t>
      </w:r>
      <w:r w:rsidRPr="006B0195">
        <w:rPr>
          <w:rFonts w:ascii="Arial" w:eastAsia="Arial" w:hAnsi="Arial" w:cs="Arial"/>
          <w:b/>
          <w:sz w:val="20"/>
          <w:szCs w:val="20"/>
          <w:lang w:val="en-AU"/>
        </w:rPr>
        <w:t>N-Nrf2</w:t>
      </w:r>
      <w:r>
        <w:rPr>
          <w:rFonts w:ascii="Arial" w:eastAsia="Arial" w:hAnsi="Arial" w:cs="Arial"/>
          <w:b/>
          <w:sz w:val="20"/>
          <w:szCs w:val="20"/>
          <w:lang w:val="en-AU"/>
        </w:rPr>
        <w:t xml:space="preserve"> is not regulated through Keap1-mediated degradation system</w:t>
      </w:r>
      <w:r w:rsidRPr="00DF4997">
        <w:rPr>
          <w:rFonts w:ascii="Arial" w:eastAsia="Arial" w:hAnsi="Arial" w:cs="Arial"/>
          <w:bCs/>
          <w:sz w:val="20"/>
          <w:szCs w:val="20"/>
          <w:lang w:val="en-AU"/>
        </w:rPr>
        <w:t xml:space="preserve">. </w:t>
      </w:r>
      <w:r w:rsidRPr="00DF4997">
        <w:rPr>
          <w:rFonts w:ascii="Arial" w:eastAsia="Arial" w:hAnsi="Arial" w:cs="Arial"/>
          <w:bCs/>
          <w:sz w:val="20"/>
          <w:szCs w:val="20"/>
          <w:lang w:val="en-AU"/>
        </w:rPr>
        <w:t xml:space="preserve">Western blot analysis of RERF cells after Nrf2 precipitation (IP) under steady-state and upon treatment with a neddylation inhibitor MLN4924 for 12 hours. Precipitates were probed with anti-Keap1 antibodies to </w:t>
      </w:r>
      <w:proofErr w:type="spellStart"/>
      <w:r w:rsidRPr="00DF4997">
        <w:rPr>
          <w:rFonts w:ascii="Arial" w:eastAsia="Arial" w:hAnsi="Arial" w:cs="Arial"/>
          <w:bCs/>
          <w:sz w:val="20"/>
          <w:szCs w:val="20"/>
          <w:lang w:val="en-AU"/>
        </w:rPr>
        <w:t>analyze</w:t>
      </w:r>
      <w:proofErr w:type="spellEnd"/>
      <w:r w:rsidRPr="00DF4997">
        <w:rPr>
          <w:rFonts w:ascii="Arial" w:eastAsia="Arial" w:hAnsi="Arial" w:cs="Arial"/>
          <w:bCs/>
          <w:sz w:val="20"/>
          <w:szCs w:val="20"/>
          <w:lang w:val="en-AU"/>
        </w:rPr>
        <w:t xml:space="preserve"> levels of Nrf2-bound Keap1. (F) Keap1 knockdown with Keap1-specific siRNAs (Santa Cruz Biotechnology, 25 </w:t>
      </w:r>
      <w:proofErr w:type="spellStart"/>
      <w:r w:rsidRPr="00DF4997">
        <w:rPr>
          <w:rFonts w:ascii="Arial" w:eastAsia="Arial" w:hAnsi="Arial" w:cs="Arial"/>
          <w:bCs/>
          <w:sz w:val="20"/>
          <w:szCs w:val="20"/>
          <w:lang w:val="en-AU"/>
        </w:rPr>
        <w:t>nM</w:t>
      </w:r>
      <w:proofErr w:type="spellEnd"/>
      <w:r w:rsidRPr="00DF4997">
        <w:rPr>
          <w:rFonts w:ascii="Arial" w:eastAsia="Arial" w:hAnsi="Arial" w:cs="Arial"/>
          <w:bCs/>
          <w:sz w:val="20"/>
          <w:szCs w:val="20"/>
          <w:lang w:val="en-AU"/>
        </w:rPr>
        <w:t xml:space="preserve">) in NSCLC primary cells induced phosphorylated Nrf2 and non-phosphorylated Nrf2, but not the ΔN-Nrf2 form. </w:t>
      </w:r>
    </w:p>
    <w:p w14:paraId="6AF4C5A1" w14:textId="77777777" w:rsidR="002A4F95" w:rsidRDefault="002A4F95" w:rsidP="00DF4997">
      <w:pPr>
        <w:pStyle w:val="NormalWeb"/>
        <w:spacing w:before="0" w:beforeAutospacing="0" w:after="160" w:afterAutospacing="0" w:line="480" w:lineRule="auto"/>
        <w:jc w:val="both"/>
        <w:rPr>
          <w:rFonts w:ascii="Arial" w:eastAsia="Arial" w:hAnsi="Arial" w:cs="Arial"/>
          <w:bCs/>
          <w:sz w:val="20"/>
          <w:szCs w:val="20"/>
          <w:lang w:val="en-AU"/>
        </w:rPr>
      </w:pPr>
    </w:p>
    <w:p w14:paraId="5144F296" w14:textId="77B16175" w:rsidR="00DF4997" w:rsidRDefault="00DF4997" w:rsidP="00DF4997">
      <w:pPr>
        <w:pStyle w:val="NormalWeb"/>
        <w:spacing w:before="0" w:beforeAutospacing="0" w:after="160" w:afterAutospacing="0" w:line="480" w:lineRule="auto"/>
        <w:jc w:val="both"/>
        <w:rPr>
          <w:rFonts w:ascii="Arial" w:eastAsia="Arial" w:hAnsi="Arial" w:cs="Arial"/>
          <w:bCs/>
          <w:sz w:val="20"/>
          <w:szCs w:val="20"/>
          <w:lang w:val="en-AU"/>
        </w:rPr>
      </w:pPr>
      <w:r>
        <w:rPr>
          <w:rFonts w:ascii="Arial" w:eastAsia="Arial" w:hAnsi="Arial" w:cs="Arial"/>
          <w:bCs/>
          <w:sz w:val="20"/>
          <w:szCs w:val="20"/>
          <w:lang w:val="en-AU"/>
        </w:rPr>
        <w:t xml:space="preserve">Figure S7. </w:t>
      </w:r>
      <w:r w:rsidRPr="00DF4997">
        <w:rPr>
          <w:rFonts w:ascii="Arial" w:eastAsia="Arial" w:hAnsi="Arial" w:cs="Arial"/>
          <w:b/>
          <w:sz w:val="20"/>
          <w:szCs w:val="20"/>
          <w:lang w:val="en-AU"/>
        </w:rPr>
        <w:t xml:space="preserve">ΔN-Nrf2 isoform </w:t>
      </w:r>
      <w:r w:rsidR="002A4F95">
        <w:rPr>
          <w:rFonts w:ascii="Arial" w:eastAsia="Arial" w:hAnsi="Arial" w:cs="Arial"/>
          <w:b/>
          <w:sz w:val="20"/>
          <w:szCs w:val="20"/>
          <w:lang w:val="en-AU"/>
        </w:rPr>
        <w:t>is localized in the cytoplasm and it is not activated</w:t>
      </w:r>
      <w:r w:rsidRPr="00DF4997">
        <w:rPr>
          <w:rFonts w:ascii="Arial" w:eastAsia="Arial" w:hAnsi="Arial" w:cs="Arial"/>
          <w:b/>
          <w:sz w:val="20"/>
          <w:szCs w:val="20"/>
          <w:lang w:val="en-AU"/>
        </w:rPr>
        <w:t xml:space="preserve"> in response to electrophilic stress</w:t>
      </w:r>
      <w:r>
        <w:rPr>
          <w:rFonts w:ascii="Arial" w:eastAsia="Arial" w:hAnsi="Arial" w:cs="Arial"/>
          <w:b/>
          <w:sz w:val="20"/>
          <w:szCs w:val="20"/>
          <w:lang w:val="en-AU"/>
        </w:rPr>
        <w:t xml:space="preserve">. </w:t>
      </w:r>
      <w:r w:rsidR="002A4F95" w:rsidRPr="002A4F95">
        <w:rPr>
          <w:rFonts w:ascii="Arial" w:eastAsia="Arial" w:hAnsi="Arial" w:cs="Arial"/>
          <w:bCs/>
          <w:sz w:val="20"/>
          <w:szCs w:val="20"/>
          <w:lang w:val="en-AU"/>
        </w:rPr>
        <w:t xml:space="preserve">(A) </w:t>
      </w:r>
      <w:r w:rsidR="002A4F95" w:rsidRPr="002A4F95">
        <w:rPr>
          <w:rFonts w:ascii="Arial" w:eastAsia="Arial" w:hAnsi="Arial" w:cs="Arial"/>
          <w:bCs/>
          <w:sz w:val="20"/>
          <w:szCs w:val="20"/>
          <w:lang w:val="en-AU"/>
        </w:rPr>
        <w:t xml:space="preserve">Western blot analysis of </w:t>
      </w:r>
      <w:r w:rsidR="002A4F95" w:rsidRPr="002A4F95">
        <w:rPr>
          <w:rFonts w:ascii="Arial" w:eastAsia="Arial" w:hAnsi="Arial" w:cs="Arial"/>
          <w:bCs/>
          <w:sz w:val="20"/>
          <w:szCs w:val="20"/>
          <w:lang w:val="en-AU"/>
        </w:rPr>
        <w:t xml:space="preserve">H1299, RERF and A549 </w:t>
      </w:r>
      <w:r w:rsidR="002A4F95" w:rsidRPr="002A4F95">
        <w:rPr>
          <w:rFonts w:ascii="Arial" w:eastAsia="Arial" w:hAnsi="Arial" w:cs="Arial"/>
          <w:bCs/>
          <w:sz w:val="20"/>
          <w:szCs w:val="20"/>
          <w:lang w:val="en-AU"/>
        </w:rPr>
        <w:t xml:space="preserve">cell lysates after </w:t>
      </w:r>
      <w:proofErr w:type="spellStart"/>
      <w:r w:rsidR="002A4F95" w:rsidRPr="002A4F95">
        <w:rPr>
          <w:rFonts w:ascii="Arial" w:eastAsia="Arial" w:hAnsi="Arial" w:cs="Arial"/>
          <w:bCs/>
          <w:sz w:val="20"/>
          <w:szCs w:val="20"/>
          <w:lang w:val="en-AU"/>
        </w:rPr>
        <w:t>tBHQ</w:t>
      </w:r>
      <w:proofErr w:type="spellEnd"/>
      <w:r w:rsidR="002A4F95" w:rsidRPr="002A4F95">
        <w:rPr>
          <w:rFonts w:ascii="Arial" w:eastAsia="Arial" w:hAnsi="Arial" w:cs="Arial"/>
          <w:bCs/>
          <w:sz w:val="20"/>
          <w:szCs w:val="20"/>
          <w:lang w:val="en-AU"/>
        </w:rPr>
        <w:t xml:space="preserve"> treatment (20 </w:t>
      </w:r>
      <w:proofErr w:type="spellStart"/>
      <w:r w:rsidR="002A4F95" w:rsidRPr="002A4F95">
        <w:rPr>
          <w:rFonts w:ascii="Arial" w:eastAsia="Arial" w:hAnsi="Arial" w:cs="Arial"/>
          <w:bCs/>
          <w:sz w:val="20"/>
          <w:szCs w:val="20"/>
          <w:lang w:val="en-AU"/>
        </w:rPr>
        <w:t>uM</w:t>
      </w:r>
      <w:proofErr w:type="spellEnd"/>
      <w:r w:rsidR="002A4F95" w:rsidRPr="002A4F95">
        <w:rPr>
          <w:rFonts w:ascii="Arial" w:eastAsia="Arial" w:hAnsi="Arial" w:cs="Arial"/>
          <w:bCs/>
          <w:sz w:val="20"/>
          <w:szCs w:val="20"/>
          <w:lang w:val="en-AU"/>
        </w:rPr>
        <w:t>) for 6 hours. (B)</w:t>
      </w:r>
      <w:r w:rsidR="002A4F95" w:rsidRPr="002A4F95">
        <w:rPr>
          <w:rFonts w:ascii="Arial" w:eastAsia="Arial" w:hAnsi="Arial" w:cs="Arial"/>
          <w:bCs/>
          <w:sz w:val="20"/>
          <w:szCs w:val="20"/>
          <w:lang w:val="en-AU"/>
        </w:rPr>
        <w:t xml:space="preserve"> </w:t>
      </w:r>
      <w:r w:rsidR="002A4F95" w:rsidRPr="002A4F95">
        <w:rPr>
          <w:rFonts w:ascii="Arial" w:eastAsia="Arial" w:hAnsi="Arial" w:cs="Arial"/>
          <w:bCs/>
          <w:sz w:val="20"/>
          <w:szCs w:val="20"/>
          <w:lang w:val="en-AU"/>
        </w:rPr>
        <w:t xml:space="preserve">Western blot analysis of </w:t>
      </w:r>
      <w:r w:rsidR="002A4F95" w:rsidRPr="002A4F95">
        <w:rPr>
          <w:rFonts w:ascii="Arial" w:eastAsia="Arial" w:hAnsi="Arial" w:cs="Arial"/>
          <w:bCs/>
          <w:sz w:val="20"/>
          <w:szCs w:val="20"/>
          <w:lang w:val="en-AU"/>
        </w:rPr>
        <w:t>NSCLC 1, NSCLC 2 and NLF</w:t>
      </w:r>
      <w:r w:rsidR="002A4F95" w:rsidRPr="002A4F95">
        <w:rPr>
          <w:rFonts w:ascii="Arial" w:eastAsia="Arial" w:hAnsi="Arial" w:cs="Arial"/>
          <w:bCs/>
          <w:sz w:val="20"/>
          <w:szCs w:val="20"/>
          <w:lang w:val="en-AU"/>
        </w:rPr>
        <w:t xml:space="preserve"> cell lysates after </w:t>
      </w:r>
      <w:proofErr w:type="spellStart"/>
      <w:r w:rsidR="002A4F95" w:rsidRPr="002A4F95">
        <w:rPr>
          <w:rFonts w:ascii="Arial" w:eastAsia="Arial" w:hAnsi="Arial" w:cs="Arial"/>
          <w:bCs/>
          <w:sz w:val="20"/>
          <w:szCs w:val="20"/>
          <w:lang w:val="en-AU"/>
        </w:rPr>
        <w:t>tBHQ</w:t>
      </w:r>
      <w:proofErr w:type="spellEnd"/>
      <w:r w:rsidR="002A4F95" w:rsidRPr="002A4F95">
        <w:rPr>
          <w:rFonts w:ascii="Arial" w:eastAsia="Arial" w:hAnsi="Arial" w:cs="Arial"/>
          <w:bCs/>
          <w:sz w:val="20"/>
          <w:szCs w:val="20"/>
          <w:lang w:val="en-AU"/>
        </w:rPr>
        <w:t xml:space="preserve"> treatment (20 </w:t>
      </w:r>
      <w:proofErr w:type="spellStart"/>
      <w:r w:rsidR="002A4F95" w:rsidRPr="002A4F95">
        <w:rPr>
          <w:rFonts w:ascii="Arial" w:eastAsia="Arial" w:hAnsi="Arial" w:cs="Arial"/>
          <w:bCs/>
          <w:sz w:val="20"/>
          <w:szCs w:val="20"/>
          <w:lang w:val="en-AU"/>
        </w:rPr>
        <w:t>uM</w:t>
      </w:r>
      <w:proofErr w:type="spellEnd"/>
      <w:r w:rsidR="002A4F95" w:rsidRPr="002A4F95">
        <w:rPr>
          <w:rFonts w:ascii="Arial" w:eastAsia="Arial" w:hAnsi="Arial" w:cs="Arial"/>
          <w:bCs/>
          <w:sz w:val="20"/>
          <w:szCs w:val="20"/>
          <w:lang w:val="en-AU"/>
        </w:rPr>
        <w:t xml:space="preserve">) for 6 hours. </w:t>
      </w:r>
      <w:r w:rsidR="002A4F95" w:rsidRPr="002A4F95">
        <w:rPr>
          <w:rFonts w:ascii="Arial" w:eastAsia="Arial" w:hAnsi="Arial" w:cs="Arial"/>
          <w:bCs/>
          <w:sz w:val="20"/>
          <w:szCs w:val="20"/>
          <w:lang w:val="en-AU"/>
        </w:rPr>
        <w:t xml:space="preserve">(C) </w:t>
      </w:r>
      <w:r w:rsidR="002A4F95" w:rsidRPr="002A4F95">
        <w:rPr>
          <w:rFonts w:ascii="Arial" w:eastAsia="Arial" w:hAnsi="Arial" w:cs="Arial"/>
          <w:bCs/>
          <w:sz w:val="20"/>
          <w:szCs w:val="20"/>
          <w:lang w:val="en-AU"/>
        </w:rPr>
        <w:t>Cellular fractionation under steady state conditions</w:t>
      </w:r>
      <w:r w:rsidR="002A4F95" w:rsidRPr="002A4F95">
        <w:rPr>
          <w:rFonts w:ascii="Arial" w:eastAsia="Arial" w:hAnsi="Arial" w:cs="Arial"/>
          <w:bCs/>
          <w:sz w:val="20"/>
          <w:szCs w:val="20"/>
          <w:lang w:val="en-AU"/>
        </w:rPr>
        <w:t xml:space="preserve"> in H1299, RERF and A549 cells</w:t>
      </w:r>
      <w:r w:rsidR="002A4F95" w:rsidRPr="002A4F95">
        <w:rPr>
          <w:rFonts w:ascii="Arial" w:eastAsia="Arial" w:hAnsi="Arial" w:cs="Arial"/>
          <w:bCs/>
          <w:sz w:val="20"/>
          <w:szCs w:val="20"/>
          <w:lang w:val="en-AU"/>
        </w:rPr>
        <w:t>. Lamin A was used as a nuclear marker, α-tubulin was used as a cytoplasmic marker.</w:t>
      </w:r>
      <w:r w:rsidR="002A4F95">
        <w:rPr>
          <w:rFonts w:ascii="Arial" w:eastAsia="Arial" w:hAnsi="Arial" w:cs="Arial"/>
          <w:bCs/>
          <w:sz w:val="20"/>
          <w:szCs w:val="20"/>
          <w:lang w:val="en-AU"/>
        </w:rPr>
        <w:t xml:space="preserve"> (D) </w:t>
      </w:r>
      <w:r w:rsidR="002A4F95" w:rsidRPr="002A4F95">
        <w:rPr>
          <w:rFonts w:ascii="Arial" w:eastAsia="Arial" w:hAnsi="Arial" w:cs="Arial"/>
          <w:bCs/>
          <w:sz w:val="20"/>
          <w:szCs w:val="20"/>
          <w:lang w:val="en-AU"/>
        </w:rPr>
        <w:t xml:space="preserve">Cellular fractionation under steady state conditions in </w:t>
      </w:r>
      <w:r w:rsidR="002A4F95">
        <w:rPr>
          <w:rFonts w:ascii="Arial" w:eastAsia="Arial" w:hAnsi="Arial" w:cs="Arial"/>
          <w:bCs/>
          <w:sz w:val="20"/>
          <w:szCs w:val="20"/>
          <w:lang w:val="en-AU"/>
        </w:rPr>
        <w:t>NSCLC 1, NSCLC 2 and NLF</w:t>
      </w:r>
      <w:r w:rsidR="002A4F95" w:rsidRPr="002A4F95">
        <w:rPr>
          <w:rFonts w:ascii="Arial" w:eastAsia="Arial" w:hAnsi="Arial" w:cs="Arial"/>
          <w:bCs/>
          <w:sz w:val="20"/>
          <w:szCs w:val="20"/>
          <w:lang w:val="en-AU"/>
        </w:rPr>
        <w:t xml:space="preserve"> cells. Lamin A was used as a nuclear marker, α-tubulin was used as a cytoplasmic marker.</w:t>
      </w:r>
    </w:p>
    <w:p w14:paraId="0505FB9C" w14:textId="562FA7C5" w:rsidR="002A4F95" w:rsidRDefault="002A4F95" w:rsidP="00DF4997">
      <w:pPr>
        <w:pStyle w:val="NormalWeb"/>
        <w:spacing w:before="0" w:beforeAutospacing="0" w:after="160" w:afterAutospacing="0" w:line="480" w:lineRule="auto"/>
        <w:jc w:val="both"/>
        <w:rPr>
          <w:rFonts w:ascii="Arial" w:eastAsia="Arial" w:hAnsi="Arial" w:cs="Arial"/>
          <w:bCs/>
          <w:sz w:val="20"/>
          <w:szCs w:val="20"/>
          <w:lang w:val="en-GB"/>
        </w:rPr>
      </w:pPr>
      <w:r>
        <w:rPr>
          <w:rFonts w:ascii="Arial" w:eastAsia="Arial" w:hAnsi="Arial" w:cs="Arial"/>
          <w:bCs/>
          <w:sz w:val="20"/>
          <w:szCs w:val="20"/>
          <w:lang w:val="en-AU"/>
        </w:rPr>
        <w:t xml:space="preserve">Figure S8. </w:t>
      </w:r>
      <w:r>
        <w:rPr>
          <w:rFonts w:ascii="Arial" w:eastAsia="Arial" w:hAnsi="Arial" w:cs="Arial"/>
          <w:b/>
          <w:sz w:val="20"/>
          <w:szCs w:val="20"/>
        </w:rPr>
        <w:t>Δ</w:t>
      </w:r>
      <w:r w:rsidRPr="002A4F95">
        <w:rPr>
          <w:rFonts w:ascii="Arial" w:eastAsia="Arial" w:hAnsi="Arial" w:cs="Arial"/>
          <w:b/>
          <w:sz w:val="20"/>
          <w:szCs w:val="20"/>
          <w:lang w:val="en-GB"/>
        </w:rPr>
        <w:t>N-Nrf2 isoform does not translocate to the nucleus in response to electrophilic stress</w:t>
      </w:r>
      <w:r>
        <w:rPr>
          <w:rFonts w:ascii="Arial" w:eastAsia="Arial" w:hAnsi="Arial" w:cs="Arial"/>
          <w:b/>
          <w:sz w:val="20"/>
          <w:szCs w:val="20"/>
          <w:lang w:val="en-GB"/>
        </w:rPr>
        <w:t xml:space="preserve">. </w:t>
      </w:r>
      <w:r w:rsidRPr="002A4F95">
        <w:rPr>
          <w:rFonts w:ascii="Arial" w:eastAsia="Arial" w:hAnsi="Arial" w:cs="Arial"/>
          <w:bCs/>
          <w:sz w:val="20"/>
          <w:szCs w:val="20"/>
          <w:lang w:val="en-GB"/>
        </w:rPr>
        <w:t xml:space="preserve">(A) </w:t>
      </w:r>
      <w:r w:rsidRPr="002A4F95">
        <w:rPr>
          <w:rFonts w:ascii="Arial" w:eastAsia="Arial" w:hAnsi="Arial" w:cs="Arial"/>
          <w:bCs/>
          <w:sz w:val="20"/>
          <w:szCs w:val="20"/>
          <w:lang w:val="en-GB"/>
        </w:rPr>
        <w:t xml:space="preserve">Cellular fractionation after </w:t>
      </w:r>
      <w:proofErr w:type="spellStart"/>
      <w:r w:rsidRPr="002A4F95">
        <w:rPr>
          <w:rFonts w:ascii="Arial" w:eastAsia="Arial" w:hAnsi="Arial" w:cs="Arial"/>
          <w:bCs/>
          <w:sz w:val="20"/>
          <w:szCs w:val="20"/>
          <w:lang w:val="en-GB"/>
        </w:rPr>
        <w:t>tBHQ</w:t>
      </w:r>
      <w:proofErr w:type="spellEnd"/>
      <w:r w:rsidRPr="002A4F95">
        <w:rPr>
          <w:rFonts w:ascii="Arial" w:eastAsia="Arial" w:hAnsi="Arial" w:cs="Arial"/>
          <w:bCs/>
          <w:sz w:val="20"/>
          <w:szCs w:val="20"/>
          <w:lang w:val="en-GB"/>
        </w:rPr>
        <w:t xml:space="preserve"> treatment (20 </w:t>
      </w:r>
      <w:proofErr w:type="spellStart"/>
      <w:r w:rsidRPr="002A4F95">
        <w:rPr>
          <w:rFonts w:ascii="Arial" w:eastAsia="Arial" w:hAnsi="Arial" w:cs="Arial"/>
          <w:bCs/>
          <w:sz w:val="20"/>
          <w:szCs w:val="20"/>
          <w:lang w:val="en-GB"/>
        </w:rPr>
        <w:t>uM</w:t>
      </w:r>
      <w:proofErr w:type="spellEnd"/>
      <w:r w:rsidRPr="002A4F95">
        <w:rPr>
          <w:rFonts w:ascii="Arial" w:eastAsia="Arial" w:hAnsi="Arial" w:cs="Arial"/>
          <w:bCs/>
          <w:sz w:val="20"/>
          <w:szCs w:val="20"/>
          <w:lang w:val="en-GB"/>
        </w:rPr>
        <w:t>) for 6 hours</w:t>
      </w:r>
      <w:r>
        <w:rPr>
          <w:rFonts w:ascii="Arial" w:eastAsia="Arial" w:hAnsi="Arial" w:cs="Arial"/>
          <w:bCs/>
          <w:sz w:val="20"/>
          <w:szCs w:val="20"/>
          <w:lang w:val="en-GB"/>
        </w:rPr>
        <w:t xml:space="preserve"> in H1299, RERF and A549 cells</w:t>
      </w:r>
      <w:r w:rsidRPr="002A4F95">
        <w:rPr>
          <w:rFonts w:ascii="Arial" w:eastAsia="Arial" w:hAnsi="Arial" w:cs="Arial"/>
          <w:bCs/>
          <w:sz w:val="20"/>
          <w:szCs w:val="20"/>
          <w:lang w:val="en-GB"/>
        </w:rPr>
        <w:t xml:space="preserve">. </w:t>
      </w:r>
      <w:r w:rsidRPr="002A4F95">
        <w:rPr>
          <w:rFonts w:ascii="Arial" w:eastAsia="Arial" w:hAnsi="Arial" w:cs="Arial"/>
          <w:bCs/>
          <w:sz w:val="20"/>
          <w:szCs w:val="20"/>
          <w:lang w:val="en-GB"/>
        </w:rPr>
        <w:lastRenderedPageBreak/>
        <w:t>Lamin A was used as a nuclear marker, while α-tubulin was used as a cytoplasmic marker.</w:t>
      </w:r>
      <w:r>
        <w:rPr>
          <w:rFonts w:ascii="Arial" w:eastAsia="Arial" w:hAnsi="Arial" w:cs="Arial"/>
          <w:bCs/>
          <w:sz w:val="20"/>
          <w:szCs w:val="20"/>
          <w:lang w:val="en-GB"/>
        </w:rPr>
        <w:t xml:space="preserve"> (B) </w:t>
      </w:r>
      <w:r w:rsidRPr="002A4F95">
        <w:rPr>
          <w:rFonts w:ascii="Arial" w:eastAsia="Arial" w:hAnsi="Arial" w:cs="Arial"/>
          <w:bCs/>
          <w:sz w:val="20"/>
          <w:szCs w:val="20"/>
          <w:lang w:val="en-GB"/>
        </w:rPr>
        <w:t xml:space="preserve">Cellular fractionation after </w:t>
      </w:r>
      <w:proofErr w:type="spellStart"/>
      <w:r w:rsidRPr="002A4F95">
        <w:rPr>
          <w:rFonts w:ascii="Arial" w:eastAsia="Arial" w:hAnsi="Arial" w:cs="Arial"/>
          <w:bCs/>
          <w:sz w:val="20"/>
          <w:szCs w:val="20"/>
          <w:lang w:val="en-GB"/>
        </w:rPr>
        <w:t>tBHQ</w:t>
      </w:r>
      <w:proofErr w:type="spellEnd"/>
      <w:r w:rsidRPr="002A4F95">
        <w:rPr>
          <w:rFonts w:ascii="Arial" w:eastAsia="Arial" w:hAnsi="Arial" w:cs="Arial"/>
          <w:bCs/>
          <w:sz w:val="20"/>
          <w:szCs w:val="20"/>
          <w:lang w:val="en-GB"/>
        </w:rPr>
        <w:t xml:space="preserve"> treatment (20 </w:t>
      </w:r>
      <w:proofErr w:type="spellStart"/>
      <w:r w:rsidRPr="002A4F95">
        <w:rPr>
          <w:rFonts w:ascii="Arial" w:eastAsia="Arial" w:hAnsi="Arial" w:cs="Arial"/>
          <w:bCs/>
          <w:sz w:val="20"/>
          <w:szCs w:val="20"/>
          <w:lang w:val="en-GB"/>
        </w:rPr>
        <w:t>uM</w:t>
      </w:r>
      <w:proofErr w:type="spellEnd"/>
      <w:r w:rsidRPr="002A4F95">
        <w:rPr>
          <w:rFonts w:ascii="Arial" w:eastAsia="Arial" w:hAnsi="Arial" w:cs="Arial"/>
          <w:bCs/>
          <w:sz w:val="20"/>
          <w:szCs w:val="20"/>
          <w:lang w:val="en-GB"/>
        </w:rPr>
        <w:t>) for 6 hours</w:t>
      </w:r>
      <w:r>
        <w:rPr>
          <w:rFonts w:ascii="Arial" w:eastAsia="Arial" w:hAnsi="Arial" w:cs="Arial"/>
          <w:bCs/>
          <w:sz w:val="20"/>
          <w:szCs w:val="20"/>
          <w:lang w:val="en-GB"/>
        </w:rPr>
        <w:t xml:space="preserve"> in NSCLC 1, NSCLC 2 and NLF cells</w:t>
      </w:r>
      <w:r w:rsidRPr="002A4F95">
        <w:rPr>
          <w:rFonts w:ascii="Arial" w:eastAsia="Arial" w:hAnsi="Arial" w:cs="Arial"/>
          <w:bCs/>
          <w:sz w:val="20"/>
          <w:szCs w:val="20"/>
          <w:lang w:val="en-GB"/>
        </w:rPr>
        <w:t>. Lamin A was used as a nuclear marker, while α-tubulin was used as a cytoplasmic marker.</w:t>
      </w:r>
    </w:p>
    <w:p w14:paraId="7D440994" w14:textId="2C46D94F" w:rsidR="002A4F95" w:rsidRDefault="002A4F95" w:rsidP="00DF4997">
      <w:pPr>
        <w:pStyle w:val="NormalWeb"/>
        <w:spacing w:before="0" w:beforeAutospacing="0" w:after="160" w:afterAutospacing="0" w:line="480" w:lineRule="auto"/>
        <w:jc w:val="both"/>
        <w:rPr>
          <w:bCs/>
          <w:lang w:val="en-GB"/>
        </w:rPr>
      </w:pPr>
    </w:p>
    <w:p w14:paraId="350B8550" w14:textId="3C287AE7" w:rsidR="002A4F95" w:rsidRDefault="002A4F95" w:rsidP="00DF4997">
      <w:pPr>
        <w:pStyle w:val="NormalWeb"/>
        <w:spacing w:before="0" w:beforeAutospacing="0" w:after="160" w:afterAutospacing="0" w:line="480" w:lineRule="auto"/>
        <w:jc w:val="both"/>
        <w:rPr>
          <w:rFonts w:ascii="Arial" w:hAnsi="Arial" w:cs="Arial"/>
          <w:b/>
          <w:sz w:val="20"/>
          <w:szCs w:val="20"/>
          <w:lang w:val="en-GB"/>
        </w:rPr>
      </w:pPr>
      <w:r w:rsidRPr="002A4F95">
        <w:rPr>
          <w:rFonts w:ascii="Arial" w:hAnsi="Arial" w:cs="Arial"/>
          <w:b/>
          <w:sz w:val="20"/>
          <w:szCs w:val="20"/>
          <w:lang w:val="en-GB"/>
        </w:rPr>
        <w:t xml:space="preserve">Tables </w:t>
      </w:r>
    </w:p>
    <w:p w14:paraId="77FFB5D3" w14:textId="476B68B4" w:rsidR="002A4F95" w:rsidRDefault="007F5687" w:rsidP="00DF4997">
      <w:pPr>
        <w:pStyle w:val="NormalWeb"/>
        <w:spacing w:before="0" w:beforeAutospacing="0" w:after="160" w:afterAutospacing="0" w:line="480" w:lineRule="auto"/>
        <w:jc w:val="both"/>
        <w:rPr>
          <w:rFonts w:ascii="Arial" w:hAnsi="Arial" w:cs="Arial"/>
          <w:bCs/>
          <w:sz w:val="20"/>
          <w:szCs w:val="20"/>
          <w:lang w:val="en-GB"/>
        </w:rPr>
      </w:pPr>
      <w:r w:rsidRPr="007F5687">
        <w:rPr>
          <w:rFonts w:ascii="Arial" w:hAnsi="Arial" w:cs="Arial"/>
          <w:bCs/>
          <w:sz w:val="20"/>
          <w:szCs w:val="20"/>
          <w:lang w:val="en-GB"/>
        </w:rPr>
        <w:t>Table S1. Expression of Nrf2 isoform and loading control (β actin) in H1299 cell line after treatment with translation elongation inhibitor, emetine dihydrochloride (20 µM), at different time points (15 min, 2 and 4 hours).</w:t>
      </w:r>
    </w:p>
    <w:p w14:paraId="7E9C9036" w14:textId="77777777" w:rsidR="007F5687" w:rsidRPr="007F5687" w:rsidRDefault="007F5687" w:rsidP="00DF4997">
      <w:pPr>
        <w:pStyle w:val="NormalWeb"/>
        <w:spacing w:before="0" w:beforeAutospacing="0" w:after="160" w:afterAutospacing="0" w:line="480" w:lineRule="auto"/>
        <w:jc w:val="both"/>
        <w:rPr>
          <w:rFonts w:ascii="Arial" w:hAnsi="Arial" w:cs="Arial"/>
          <w:bCs/>
          <w:sz w:val="20"/>
          <w:szCs w:val="20"/>
          <w:lang w:val="en-GB"/>
        </w:rPr>
      </w:pPr>
    </w:p>
    <w:p w14:paraId="511F5780" w14:textId="40987157" w:rsidR="007F5687" w:rsidRDefault="007F5687" w:rsidP="00DF4997">
      <w:pPr>
        <w:pStyle w:val="NormalWeb"/>
        <w:spacing w:before="0" w:beforeAutospacing="0" w:after="160" w:afterAutospacing="0" w:line="480" w:lineRule="auto"/>
        <w:jc w:val="both"/>
        <w:rPr>
          <w:rFonts w:ascii="Arial" w:hAnsi="Arial" w:cs="Arial"/>
          <w:bCs/>
          <w:sz w:val="20"/>
          <w:szCs w:val="20"/>
          <w:lang w:val="en-GB"/>
        </w:rPr>
      </w:pPr>
      <w:r w:rsidRPr="007F5687">
        <w:rPr>
          <w:rFonts w:ascii="Arial" w:hAnsi="Arial" w:cs="Arial"/>
          <w:bCs/>
          <w:sz w:val="20"/>
          <w:szCs w:val="20"/>
          <w:lang w:val="en-GB"/>
        </w:rPr>
        <w:t>Table S2. Expression of Nrf2 isoform and loading control (β actin) in NSCLC 1 after treatment with translation elongation inhibitor, emetine dihydrochloride (20 µM), at different time points (15 min, 2 and 4 hours).</w:t>
      </w:r>
    </w:p>
    <w:p w14:paraId="3340E91A" w14:textId="77777777" w:rsidR="007F5687" w:rsidRPr="007F5687" w:rsidRDefault="007F5687" w:rsidP="00DF4997">
      <w:pPr>
        <w:pStyle w:val="NormalWeb"/>
        <w:spacing w:before="0" w:beforeAutospacing="0" w:after="160" w:afterAutospacing="0" w:line="480" w:lineRule="auto"/>
        <w:jc w:val="both"/>
        <w:rPr>
          <w:rFonts w:ascii="Arial" w:hAnsi="Arial" w:cs="Arial"/>
          <w:bCs/>
          <w:sz w:val="20"/>
          <w:szCs w:val="20"/>
          <w:lang w:val="en-GB"/>
        </w:rPr>
      </w:pPr>
    </w:p>
    <w:p w14:paraId="1171FBAE" w14:textId="4D476803" w:rsidR="007F5687" w:rsidRDefault="007F5687" w:rsidP="00DF4997">
      <w:pPr>
        <w:pStyle w:val="NormalWeb"/>
        <w:spacing w:before="0" w:beforeAutospacing="0" w:after="160" w:afterAutospacing="0" w:line="480" w:lineRule="auto"/>
        <w:jc w:val="both"/>
        <w:rPr>
          <w:rFonts w:ascii="Arial" w:hAnsi="Arial" w:cs="Arial"/>
          <w:bCs/>
          <w:sz w:val="20"/>
          <w:szCs w:val="20"/>
          <w:lang w:val="en-GB"/>
        </w:rPr>
      </w:pPr>
      <w:r w:rsidRPr="007F5687">
        <w:rPr>
          <w:rFonts w:ascii="Arial" w:hAnsi="Arial" w:cs="Arial"/>
          <w:bCs/>
          <w:sz w:val="20"/>
          <w:szCs w:val="20"/>
          <w:lang w:val="en-GB"/>
        </w:rPr>
        <w:t>Table S3. Expression of Nrf2 isoform and loading control (β actin) in NSCLC 2 after treatment with translation elongation inhibitor, emetine dihydrochloride (20 µM), at different time points (15 min, 2 and 4 hours).</w:t>
      </w:r>
    </w:p>
    <w:p w14:paraId="476E0A24" w14:textId="77777777" w:rsidR="007F5687" w:rsidRPr="007F5687" w:rsidRDefault="007F5687" w:rsidP="00DF4997">
      <w:pPr>
        <w:pStyle w:val="NormalWeb"/>
        <w:spacing w:before="0" w:beforeAutospacing="0" w:after="160" w:afterAutospacing="0" w:line="480" w:lineRule="auto"/>
        <w:jc w:val="both"/>
        <w:rPr>
          <w:rFonts w:ascii="Arial" w:hAnsi="Arial" w:cs="Arial"/>
          <w:bCs/>
          <w:sz w:val="20"/>
          <w:szCs w:val="20"/>
          <w:lang w:val="en-GB"/>
        </w:rPr>
      </w:pPr>
    </w:p>
    <w:p w14:paraId="2B660622" w14:textId="56F2F3E2" w:rsidR="007F5687" w:rsidRDefault="007F5687" w:rsidP="00DF4997">
      <w:pPr>
        <w:pStyle w:val="NormalWeb"/>
        <w:spacing w:before="0" w:beforeAutospacing="0" w:after="160" w:afterAutospacing="0" w:line="480" w:lineRule="auto"/>
        <w:jc w:val="both"/>
        <w:rPr>
          <w:rFonts w:ascii="Arial" w:hAnsi="Arial" w:cs="Arial"/>
          <w:bCs/>
          <w:sz w:val="20"/>
          <w:szCs w:val="20"/>
          <w:lang w:val="en-GB"/>
        </w:rPr>
      </w:pPr>
      <w:r w:rsidRPr="007F5687">
        <w:rPr>
          <w:rFonts w:ascii="Arial" w:hAnsi="Arial" w:cs="Arial"/>
          <w:bCs/>
          <w:sz w:val="20"/>
          <w:szCs w:val="20"/>
          <w:lang w:val="en-GB"/>
        </w:rPr>
        <w:t>Table S4. Sequences of primers for detection of Nrf2 transcript variants in RT-PCR</w:t>
      </w:r>
      <w:r>
        <w:rPr>
          <w:rFonts w:ascii="Arial" w:hAnsi="Arial" w:cs="Arial"/>
          <w:bCs/>
          <w:sz w:val="20"/>
          <w:szCs w:val="20"/>
          <w:lang w:val="en-GB"/>
        </w:rPr>
        <w:t>.</w:t>
      </w:r>
    </w:p>
    <w:p w14:paraId="12AC8EA0" w14:textId="77777777" w:rsidR="007F5687" w:rsidRPr="007F5687" w:rsidRDefault="007F5687" w:rsidP="00DF4997">
      <w:pPr>
        <w:pStyle w:val="NormalWeb"/>
        <w:spacing w:before="0" w:beforeAutospacing="0" w:after="160" w:afterAutospacing="0" w:line="480" w:lineRule="auto"/>
        <w:jc w:val="both"/>
        <w:rPr>
          <w:rFonts w:ascii="Arial" w:hAnsi="Arial" w:cs="Arial"/>
          <w:bCs/>
          <w:sz w:val="20"/>
          <w:szCs w:val="20"/>
          <w:lang w:val="en-GB"/>
        </w:rPr>
      </w:pPr>
    </w:p>
    <w:p w14:paraId="0A97DC03" w14:textId="10A0CC1B" w:rsidR="007F5687" w:rsidRDefault="007F5687" w:rsidP="00DF4997">
      <w:pPr>
        <w:pStyle w:val="NormalWeb"/>
        <w:spacing w:before="0" w:beforeAutospacing="0" w:after="160" w:afterAutospacing="0" w:line="480" w:lineRule="auto"/>
        <w:jc w:val="both"/>
        <w:rPr>
          <w:rFonts w:ascii="Arial" w:hAnsi="Arial" w:cs="Arial"/>
          <w:bCs/>
          <w:sz w:val="20"/>
          <w:szCs w:val="20"/>
          <w:lang w:val="en-GB"/>
        </w:rPr>
      </w:pPr>
      <w:r w:rsidRPr="007F5687">
        <w:rPr>
          <w:rFonts w:ascii="Arial" w:hAnsi="Arial" w:cs="Arial"/>
          <w:bCs/>
          <w:sz w:val="20"/>
          <w:szCs w:val="20"/>
          <w:lang w:val="en-GB"/>
        </w:rPr>
        <w:lastRenderedPageBreak/>
        <w:t>Table S5. Primer sequences for evaluation of Nrf2 transcript variants expression via RT-qPCR</w:t>
      </w:r>
      <w:r>
        <w:rPr>
          <w:rFonts w:ascii="Arial" w:hAnsi="Arial" w:cs="Arial"/>
          <w:bCs/>
          <w:sz w:val="20"/>
          <w:szCs w:val="20"/>
          <w:lang w:val="en-GB"/>
        </w:rPr>
        <w:t>.</w:t>
      </w:r>
    </w:p>
    <w:p w14:paraId="03C2D0E0" w14:textId="77777777" w:rsidR="007F5687" w:rsidRPr="007F5687" w:rsidRDefault="007F5687" w:rsidP="00DF4997">
      <w:pPr>
        <w:pStyle w:val="NormalWeb"/>
        <w:spacing w:before="0" w:beforeAutospacing="0" w:after="160" w:afterAutospacing="0" w:line="480" w:lineRule="auto"/>
        <w:jc w:val="both"/>
        <w:rPr>
          <w:rFonts w:ascii="Arial" w:hAnsi="Arial" w:cs="Arial"/>
          <w:bCs/>
          <w:sz w:val="20"/>
          <w:szCs w:val="20"/>
          <w:lang w:val="en-GB"/>
        </w:rPr>
      </w:pPr>
    </w:p>
    <w:p w14:paraId="2113EE86" w14:textId="13EDFF33" w:rsidR="0056348E" w:rsidRDefault="00C02646" w:rsidP="00C02646">
      <w:pPr>
        <w:spacing w:line="480" w:lineRule="auto"/>
        <w:rPr>
          <w:rFonts w:ascii="Arial" w:eastAsia="Times New Roman" w:hAnsi="Arial" w:cs="Arial"/>
          <w:b/>
          <w:bCs/>
          <w:color w:val="000000"/>
          <w:sz w:val="20"/>
          <w:szCs w:val="20"/>
          <w:lang w:eastAsia="en-GB"/>
        </w:rPr>
      </w:pPr>
      <w:r w:rsidRPr="00C02646">
        <w:rPr>
          <w:rFonts w:ascii="Arial" w:eastAsia="Times New Roman" w:hAnsi="Arial" w:cs="Arial"/>
          <w:b/>
          <w:bCs/>
          <w:sz w:val="20"/>
          <w:szCs w:val="20"/>
          <w:lang w:eastAsia="en-GB"/>
        </w:rPr>
        <w:t>SI</w:t>
      </w:r>
      <w:r>
        <w:rPr>
          <w:rFonts w:ascii="Times New Roman" w:eastAsia="Times New Roman" w:hAnsi="Times New Roman" w:cs="Times New Roman"/>
          <w:sz w:val="24"/>
          <w:szCs w:val="24"/>
          <w:lang w:eastAsia="en-GB"/>
        </w:rPr>
        <w:t xml:space="preserve"> </w:t>
      </w:r>
      <w:r w:rsidR="0056348E">
        <w:rPr>
          <w:rFonts w:ascii="Arial" w:eastAsia="Times New Roman" w:hAnsi="Arial" w:cs="Arial"/>
          <w:b/>
          <w:bCs/>
          <w:color w:val="000000"/>
          <w:sz w:val="20"/>
          <w:szCs w:val="20"/>
          <w:lang w:eastAsia="en-GB"/>
        </w:rPr>
        <w:t xml:space="preserve">References </w:t>
      </w:r>
    </w:p>
    <w:sdt>
      <w:sdtPr>
        <w:rPr>
          <w:rFonts w:ascii="Arial" w:eastAsia="Times New Roman" w:hAnsi="Arial" w:cs="Arial"/>
          <w:color w:val="000000"/>
          <w:sz w:val="18"/>
          <w:szCs w:val="18"/>
          <w:lang w:eastAsia="en-GB"/>
        </w:rPr>
        <w:tag w:val="MENDELEY_BIBLIOGRAPHY"/>
        <w:id w:val="-760059615"/>
        <w:placeholder>
          <w:docPart w:val="DefaultPlaceholder_-1854013440"/>
        </w:placeholder>
      </w:sdtPr>
      <w:sdtEndPr/>
      <w:sdtContent>
        <w:p w14:paraId="420D4F19" w14:textId="77777777" w:rsidR="00C02646" w:rsidRPr="00C02646" w:rsidRDefault="00C02646" w:rsidP="00C02646">
          <w:pPr>
            <w:autoSpaceDE w:val="0"/>
            <w:autoSpaceDN w:val="0"/>
            <w:spacing w:line="480" w:lineRule="auto"/>
            <w:ind w:hanging="640"/>
            <w:jc w:val="both"/>
            <w:divId w:val="2063169124"/>
            <w:rPr>
              <w:rFonts w:ascii="Arial" w:eastAsia="Times New Roman" w:hAnsi="Arial" w:cs="Arial"/>
            </w:rPr>
          </w:pPr>
          <w:r w:rsidRPr="00C02646">
            <w:rPr>
              <w:rFonts w:ascii="Arial" w:eastAsia="Times New Roman" w:hAnsi="Arial" w:cs="Arial"/>
              <w:sz w:val="20"/>
              <w:szCs w:val="20"/>
            </w:rPr>
            <w:t xml:space="preserve">1. </w:t>
          </w:r>
          <w:r w:rsidRPr="00C02646">
            <w:rPr>
              <w:rFonts w:ascii="Arial" w:eastAsia="Times New Roman" w:hAnsi="Arial" w:cs="Arial"/>
              <w:sz w:val="20"/>
              <w:szCs w:val="20"/>
            </w:rPr>
            <w:tab/>
          </w:r>
          <w:proofErr w:type="spellStart"/>
          <w:r w:rsidRPr="00C02646">
            <w:rPr>
              <w:rFonts w:ascii="Arial" w:eastAsia="Times New Roman" w:hAnsi="Arial" w:cs="Arial"/>
              <w:sz w:val="20"/>
              <w:szCs w:val="20"/>
            </w:rPr>
            <w:t>Aier</w:t>
          </w:r>
          <w:proofErr w:type="spellEnd"/>
          <w:r w:rsidRPr="00C02646">
            <w:rPr>
              <w:rFonts w:ascii="Arial" w:eastAsia="Times New Roman" w:hAnsi="Arial" w:cs="Arial"/>
              <w:sz w:val="20"/>
              <w:szCs w:val="20"/>
            </w:rPr>
            <w:t xml:space="preserve"> I, </w:t>
          </w:r>
          <w:proofErr w:type="spellStart"/>
          <w:r w:rsidRPr="00C02646">
            <w:rPr>
              <w:rFonts w:ascii="Arial" w:eastAsia="Times New Roman" w:hAnsi="Arial" w:cs="Arial"/>
              <w:sz w:val="20"/>
              <w:szCs w:val="20"/>
            </w:rPr>
            <w:t>Varadwaj</w:t>
          </w:r>
          <w:proofErr w:type="spellEnd"/>
          <w:r w:rsidRPr="00C02646">
            <w:rPr>
              <w:rFonts w:ascii="Arial" w:eastAsia="Times New Roman" w:hAnsi="Arial" w:cs="Arial"/>
              <w:sz w:val="20"/>
              <w:szCs w:val="20"/>
            </w:rPr>
            <w:t xml:space="preserve"> PK, Raj U. Structural insights into conformational stability of both wild-type and mutant EZH2 receptor. Scientific Reports. 2016 Dec 7;6(1):34984. </w:t>
          </w:r>
        </w:p>
        <w:p w14:paraId="13A04555" w14:textId="77777777" w:rsidR="00C02646" w:rsidRPr="00C02646" w:rsidRDefault="00C02646" w:rsidP="00C02646">
          <w:pPr>
            <w:autoSpaceDE w:val="0"/>
            <w:autoSpaceDN w:val="0"/>
            <w:spacing w:line="480" w:lineRule="auto"/>
            <w:ind w:hanging="640"/>
            <w:jc w:val="both"/>
            <w:divId w:val="121195825"/>
            <w:rPr>
              <w:rFonts w:ascii="Arial" w:eastAsia="Times New Roman" w:hAnsi="Arial" w:cs="Arial"/>
              <w:sz w:val="20"/>
              <w:szCs w:val="20"/>
            </w:rPr>
          </w:pPr>
          <w:r w:rsidRPr="00C02646">
            <w:rPr>
              <w:rFonts w:ascii="Arial" w:eastAsia="Times New Roman" w:hAnsi="Arial" w:cs="Arial"/>
              <w:sz w:val="20"/>
              <w:szCs w:val="20"/>
            </w:rPr>
            <w:t xml:space="preserve">2. </w:t>
          </w:r>
          <w:r w:rsidRPr="00C02646">
            <w:rPr>
              <w:rFonts w:ascii="Arial" w:eastAsia="Times New Roman" w:hAnsi="Arial" w:cs="Arial"/>
              <w:sz w:val="20"/>
              <w:szCs w:val="20"/>
            </w:rPr>
            <w:tab/>
            <w:t xml:space="preserve">Martínez L. Automatic Identification of Mobile and Rigid Substructures in Molecular Dynamics Simulations and Fractional Structural Fluctuation Analysis. PLOS ONE. 2015 Mar 27;10(3):e0119264. </w:t>
          </w:r>
        </w:p>
        <w:p w14:paraId="52DCE2C1" w14:textId="069079CA" w:rsidR="0056348E" w:rsidRPr="00C02646" w:rsidRDefault="00C02646" w:rsidP="00C02646">
          <w:pPr>
            <w:spacing w:line="480" w:lineRule="auto"/>
            <w:jc w:val="both"/>
            <w:rPr>
              <w:rFonts w:ascii="Arial" w:eastAsia="Times New Roman" w:hAnsi="Arial" w:cs="Arial"/>
              <w:color w:val="000000"/>
              <w:sz w:val="18"/>
              <w:szCs w:val="18"/>
              <w:lang w:eastAsia="en-GB"/>
            </w:rPr>
          </w:pPr>
          <w:r w:rsidRPr="00C02646">
            <w:rPr>
              <w:rFonts w:ascii="Arial" w:eastAsia="Times New Roman" w:hAnsi="Arial" w:cs="Arial"/>
              <w:sz w:val="20"/>
              <w:szCs w:val="20"/>
            </w:rPr>
            <w:t> </w:t>
          </w:r>
        </w:p>
      </w:sdtContent>
    </w:sdt>
    <w:sectPr w:rsidR="0056348E" w:rsidRPr="00C02646" w:rsidSect="00C02646">
      <w:footerReference w:type="default" r:id="rId7"/>
      <w:pgSz w:w="11906" w:h="16838"/>
      <w:pgMar w:top="1440" w:right="2880" w:bottom="1440" w:left="288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3597" w14:textId="77777777" w:rsidR="0000152A" w:rsidRDefault="0000152A" w:rsidP="00C02646">
      <w:pPr>
        <w:spacing w:after="0" w:line="240" w:lineRule="auto"/>
      </w:pPr>
      <w:r>
        <w:separator/>
      </w:r>
    </w:p>
  </w:endnote>
  <w:endnote w:type="continuationSeparator" w:id="0">
    <w:p w14:paraId="2867DF94" w14:textId="77777777" w:rsidR="0000152A" w:rsidRDefault="0000152A" w:rsidP="00C02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99588"/>
      <w:docPartObj>
        <w:docPartGallery w:val="Page Numbers (Bottom of Page)"/>
        <w:docPartUnique/>
      </w:docPartObj>
    </w:sdtPr>
    <w:sdtEndPr>
      <w:rPr>
        <w:noProof/>
      </w:rPr>
    </w:sdtEndPr>
    <w:sdtContent>
      <w:p w14:paraId="5BE52924" w14:textId="15840589" w:rsidR="00C02646" w:rsidRDefault="00C026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431100" w14:textId="77777777" w:rsidR="00C02646" w:rsidRDefault="00C02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CD546" w14:textId="77777777" w:rsidR="0000152A" w:rsidRDefault="0000152A" w:rsidP="00C02646">
      <w:pPr>
        <w:spacing w:after="0" w:line="240" w:lineRule="auto"/>
      </w:pPr>
      <w:r>
        <w:separator/>
      </w:r>
    </w:p>
  </w:footnote>
  <w:footnote w:type="continuationSeparator" w:id="0">
    <w:p w14:paraId="47EF440B" w14:textId="77777777" w:rsidR="0000152A" w:rsidRDefault="0000152A" w:rsidP="00C026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48E"/>
    <w:rsid w:val="0000152A"/>
    <w:rsid w:val="001E554B"/>
    <w:rsid w:val="002A4F95"/>
    <w:rsid w:val="004C1A21"/>
    <w:rsid w:val="0056348E"/>
    <w:rsid w:val="007F5687"/>
    <w:rsid w:val="00C02646"/>
    <w:rsid w:val="00CD5393"/>
    <w:rsid w:val="00CE6D2B"/>
    <w:rsid w:val="00D02E17"/>
    <w:rsid w:val="00DF4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2294"/>
  <w15:chartTrackingRefBased/>
  <w15:docId w15:val="{9F206B13-46FF-4111-9A63-6047325CF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48E"/>
    <w:rPr>
      <w:rFonts w:ascii="Calibri" w:eastAsia="Calibri" w:hAnsi="Calibri" w:cs="Calibri"/>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348E"/>
    <w:pPr>
      <w:spacing w:before="100" w:beforeAutospacing="1" w:after="100" w:afterAutospacing="1" w:line="240" w:lineRule="auto"/>
    </w:pPr>
    <w:rPr>
      <w:rFonts w:ascii="Times New Roman" w:eastAsia="Times New Roman" w:hAnsi="Times New Roman" w:cs="Times New Roman"/>
      <w:sz w:val="24"/>
      <w:szCs w:val="24"/>
      <w:lang w:val="pl-PL"/>
    </w:rPr>
  </w:style>
  <w:style w:type="character" w:styleId="PlaceholderText">
    <w:name w:val="Placeholder Text"/>
    <w:basedOn w:val="DefaultParagraphFont"/>
    <w:uiPriority w:val="99"/>
    <w:semiHidden/>
    <w:rsid w:val="00C02646"/>
    <w:rPr>
      <w:color w:val="808080"/>
    </w:rPr>
  </w:style>
  <w:style w:type="paragraph" w:styleId="Header">
    <w:name w:val="header"/>
    <w:basedOn w:val="Normal"/>
    <w:link w:val="HeaderChar"/>
    <w:uiPriority w:val="99"/>
    <w:unhideWhenUsed/>
    <w:rsid w:val="00C026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646"/>
    <w:rPr>
      <w:rFonts w:ascii="Calibri" w:eastAsia="Calibri" w:hAnsi="Calibri" w:cs="Calibri"/>
      <w:lang w:eastAsia="pl-PL"/>
    </w:rPr>
  </w:style>
  <w:style w:type="paragraph" w:styleId="Footer">
    <w:name w:val="footer"/>
    <w:basedOn w:val="Normal"/>
    <w:link w:val="FooterChar"/>
    <w:uiPriority w:val="99"/>
    <w:unhideWhenUsed/>
    <w:rsid w:val="00C026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646"/>
    <w:rPr>
      <w:rFonts w:ascii="Calibri" w:eastAsia="Calibri" w:hAnsi="Calibri" w:cs="Calibri"/>
      <w:lang w:eastAsia="pl-PL"/>
    </w:rPr>
  </w:style>
  <w:style w:type="character" w:styleId="LineNumber">
    <w:name w:val="line number"/>
    <w:basedOn w:val="DefaultParagraphFont"/>
    <w:uiPriority w:val="99"/>
    <w:semiHidden/>
    <w:unhideWhenUsed/>
    <w:rsid w:val="00C02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191789">
      <w:bodyDiv w:val="1"/>
      <w:marLeft w:val="0"/>
      <w:marRight w:val="0"/>
      <w:marTop w:val="0"/>
      <w:marBottom w:val="0"/>
      <w:divBdr>
        <w:top w:val="none" w:sz="0" w:space="0" w:color="auto"/>
        <w:left w:val="none" w:sz="0" w:space="0" w:color="auto"/>
        <w:bottom w:val="none" w:sz="0" w:space="0" w:color="auto"/>
        <w:right w:val="none" w:sz="0" w:space="0" w:color="auto"/>
      </w:divBdr>
      <w:divsChild>
        <w:div w:id="2063169124">
          <w:marLeft w:val="640"/>
          <w:marRight w:val="0"/>
          <w:marTop w:val="0"/>
          <w:marBottom w:val="0"/>
          <w:divBdr>
            <w:top w:val="none" w:sz="0" w:space="0" w:color="auto"/>
            <w:left w:val="none" w:sz="0" w:space="0" w:color="auto"/>
            <w:bottom w:val="none" w:sz="0" w:space="0" w:color="auto"/>
            <w:right w:val="none" w:sz="0" w:space="0" w:color="auto"/>
          </w:divBdr>
        </w:div>
        <w:div w:id="12119582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8B3ED69B304779B57CF990BA87F453"/>
        <w:category>
          <w:name w:val="General"/>
          <w:gallery w:val="placeholder"/>
        </w:category>
        <w:types>
          <w:type w:val="bbPlcHdr"/>
        </w:types>
        <w:behaviors>
          <w:behavior w:val="content"/>
        </w:behaviors>
        <w:guid w:val="{9D4F2A0D-F740-4591-A261-9B318D5E4C98}"/>
      </w:docPartPr>
      <w:docPartBody>
        <w:p w:rsidR="00FD388A" w:rsidRDefault="00AF6970" w:rsidP="00AF6970">
          <w:pPr>
            <w:pStyle w:val="808B3ED69B304779B57CF990BA87F453"/>
          </w:pPr>
          <w:r w:rsidRPr="00AB0AB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8546E6A-CD4D-436C-9917-D3B151819030}"/>
      </w:docPartPr>
      <w:docPartBody>
        <w:p w:rsidR="00FD388A" w:rsidRDefault="00AF6970">
          <w:r w:rsidRPr="000619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970"/>
    <w:rsid w:val="003E7439"/>
    <w:rsid w:val="00AF6970"/>
    <w:rsid w:val="00F86F97"/>
    <w:rsid w:val="00FD3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6970"/>
    <w:rPr>
      <w:color w:val="808080"/>
    </w:rPr>
  </w:style>
  <w:style w:type="paragraph" w:customStyle="1" w:styleId="808B3ED69B304779B57CF990BA87F453">
    <w:name w:val="808B3ED69B304779B57CF990BA87F453"/>
    <w:rsid w:val="00AF6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951268-17F8-4333-B5BE-03F227729853}">
  <we:reference id="f78a3046-9e99-4300-aa2b-5814002b01a2" version="1.35.0.0" store="EXCatalog" storeType="EXCatalog"/>
  <we:alternateReferences>
    <we:reference id="WA104382081" version="1.35.0.0" store="pl-PL" storeType="OMEX"/>
  </we:alternateReferences>
  <we:properties>
    <we:property name="MENDELEY_CITATIONS" value="[{&quot;citationID&quot;:&quot;MENDELEY_CITATION_c5bcdb55-0005-4e5d-9569-f3758415c36a&quot;,&quot;properties&quot;:{&quot;noteIndex&quot;:0},&quot;isEdited&quot;:false,&quot;manualOverride&quot;:{&quot;isManuallyOverridden&quot;:false,&quot;citeprocText&quot;:&quot;(1)&quot;,&quot;manualOverrideText&quot;:&quot;&quot;},&quot;citationTag&quot;:&quot;MENDELEY_CITATION_v3_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&quot;,&quot;citationItems&quot;:[{&quot;id&quot;:&quot;7d301914-fbf8-3ed1-87b0-7f5746e41cbe&quot;,&quot;itemData&quot;:{&quot;type&quot;:&quot;article-journal&quot;,&quot;id&quot;:&quot;7d301914-fbf8-3ed1-87b0-7f5746e41cbe&quot;,&quot;title&quot;:&quot;Structural insights into conformational stability of both wild-type and mutant EZH2 receptor&quot;,&quot;author&quot;:[{&quot;family&quot;:&quot;Aier&quot;,&quot;given&quot;:&quot;Imlimaong&quot;,&quot;parse-names&quot;:false,&quot;dropping-particle&quot;:&quot;&quot;,&quot;non-dropping-particle&quot;:&quot;&quot;},{&quot;family&quot;:&quot;Varadwaj&quot;,&quot;given&quot;:&quot;Pritish Kumar&quot;,&quot;parse-names&quot;:false,&quot;dropping-particle&quot;:&quot;&quot;,&quot;non-dropping-particle&quot;:&quot;&quot;},{&quot;family&quot;:&quot;Raj&quot;,&quot;given&quot;:&quot;Utkarsh&quot;,&quot;parse-names&quot;:false,&quot;dropping-particle&quot;:&quot;&quot;,&quot;non-dropping-particle&quot;:&quot;&quot;}],&quot;container-title&quot;:&quot;Scientific Reports&quot;,&quot;DOI&quot;:&quot;10.1038/srep34984&quot;,&quot;ISSN&quot;:&quot;2045-2322&quot;,&quot;issued&quot;:{&quot;date-parts&quot;:[[2016,12,7]]},&quot;page&quot;:&quot;34984&quot;,&quot;issue&quot;:&quot;1&quot;,&quot;volume&quot;:&quot;6&quot;,&quot;container-title-short&quot;:&quot;&quot;},&quot;isTemporary&quot;:false}]},{&quot;citationID&quot;:&quot;MENDELEY_CITATION_0f5c0ade-6628-4e43-869f-dd33a45d2492&quot;,&quot;properties&quot;:{&quot;noteIndex&quot;:0},&quot;isEdited&quot;:false,&quot;manualOverride&quot;:{&quot;isManuallyOverridden&quot;:false,&quot;citeprocText&quot;:&quot;(2)&quot;,&quot;manualOverrideText&quot;:&quot;&quot;},&quot;citationTag&quot;:&quot;MENDELEY_CITATION_v3_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&quot;,&quot;citationItems&quot;:[{&quot;id&quot;:&quot;c4630340-aa5e-3329-b1a0-18cff958d01a&quot;,&quot;itemData&quot;:{&quot;type&quot;:&quot;article-journal&quot;,&quot;id&quot;:&quot;c4630340-aa5e-3329-b1a0-18cff958d01a&quot;,&quot;title&quot;:&quot;Automatic Identification of Mobile and Rigid Substructures in Molecular Dynamics Simulations and Fractional Structural Fluctuation Analysis&quot;,&quot;author&quot;:[{&quot;family&quot;:&quot;Martínez&quot;,&quot;given&quot;:&quot;Leandro&quot;,&quot;parse-names&quot;:false,&quot;dropping-particle&quot;:&quot;&quot;,&quot;non-dropping-particle&quot;:&quot;&quot;}],&quot;container-title&quot;:&quot;PLOS ONE&quot;,&quot;DOI&quot;:&quot;10.1371/journal.pone.0119264&quot;,&quot;ISSN&quot;:&quot;1932-6203&quot;,&quot;issued&quot;:{&quot;date-parts&quot;:[[2015,3,27]]},&quot;page&quot;:&quot;e0119264&quot;,&quot;issue&quot;:&quot;3&quot;,&quot;volume&quot;:&quot;10&quot;,&quot;container-title-short&quot;:&quot;&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B2239-7474-40A0-8AD2-8D355D71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1486</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Mikac</dc:creator>
  <cp:keywords/>
  <dc:description/>
  <cp:lastModifiedBy>Sara Mikac</cp:lastModifiedBy>
  <cp:revision>2</cp:revision>
  <dcterms:created xsi:type="dcterms:W3CDTF">2022-06-20T09:44:00Z</dcterms:created>
  <dcterms:modified xsi:type="dcterms:W3CDTF">2022-06-21T09:10:00Z</dcterms:modified>
</cp:coreProperties>
</file>