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026" w:rsidRPr="002A173D" w:rsidRDefault="00C04026" w:rsidP="002A173D">
      <w:pPr>
        <w:spacing w:line="240" w:lineRule="auto"/>
        <w:ind w:firstLine="482"/>
        <w:contextualSpacing/>
        <w:jc w:val="center"/>
        <w:rPr>
          <w:rFonts w:ascii="Times New Roman" w:hAnsi="Times New Roman" w:cs="Times New Roman"/>
          <w:b/>
          <w:color w:val="000000"/>
          <w:sz w:val="28"/>
          <w:szCs w:val="28"/>
        </w:rPr>
      </w:pPr>
      <w:r w:rsidRPr="002A173D">
        <w:rPr>
          <w:rFonts w:ascii="Times New Roman" w:hAnsi="Times New Roman" w:cs="Times New Roman"/>
          <w:b/>
          <w:color w:val="000000"/>
          <w:sz w:val="28"/>
          <w:szCs w:val="28"/>
        </w:rPr>
        <w:t>Supporting Information on</w:t>
      </w:r>
    </w:p>
    <w:p w:rsidR="002F00C2" w:rsidRPr="002A173D" w:rsidRDefault="002F00C2" w:rsidP="002A173D">
      <w:pPr>
        <w:spacing w:after="160" w:line="240" w:lineRule="auto"/>
        <w:jc w:val="center"/>
        <w:rPr>
          <w:rFonts w:ascii="Times New Roman" w:hAnsi="Times New Roman" w:cs="Times New Roman"/>
          <w:b/>
          <w:color w:val="000000"/>
          <w:sz w:val="28"/>
          <w:szCs w:val="28"/>
        </w:rPr>
      </w:pPr>
      <w:r w:rsidRPr="002A173D">
        <w:rPr>
          <w:rFonts w:ascii="Times New Roman" w:hAnsi="Times New Roman" w:cs="Times New Roman"/>
          <w:b/>
          <w:color w:val="000000"/>
          <w:sz w:val="28"/>
          <w:szCs w:val="28"/>
        </w:rPr>
        <w:t>Efficient separation and recovery of Re (VII) from Re</w:t>
      </w:r>
      <w:r w:rsidR="006821D7" w:rsidRPr="002A173D">
        <w:rPr>
          <w:rFonts w:ascii="Times New Roman" w:hAnsi="Times New Roman" w:cs="Times New Roman"/>
          <w:b/>
          <w:color w:val="000000"/>
          <w:sz w:val="28"/>
          <w:szCs w:val="28"/>
        </w:rPr>
        <w:t>/</w:t>
      </w:r>
      <w:r w:rsidRPr="002A173D">
        <w:rPr>
          <w:rFonts w:ascii="Times New Roman" w:hAnsi="Times New Roman" w:cs="Times New Roman"/>
          <w:b/>
          <w:color w:val="000000"/>
          <w:sz w:val="28"/>
          <w:szCs w:val="28"/>
        </w:rPr>
        <w:t>U bearing acidic solutions using aminotriazole modified cellulose microsphere adsorbents</w:t>
      </w:r>
    </w:p>
    <w:p w:rsidR="00B04295" w:rsidRPr="002A173D" w:rsidRDefault="00B04295" w:rsidP="002A173D">
      <w:pPr>
        <w:spacing w:line="240" w:lineRule="auto"/>
        <w:jc w:val="center"/>
        <w:rPr>
          <w:rFonts w:ascii="Times New Roman" w:hAnsi="Times New Roman" w:cs="Times New Roman"/>
          <w:sz w:val="20"/>
          <w:szCs w:val="20"/>
        </w:rPr>
      </w:pPr>
      <w:r w:rsidRPr="002A173D">
        <w:rPr>
          <w:rFonts w:ascii="Times New Roman" w:hAnsi="Times New Roman" w:cs="Times New Roman"/>
          <w:sz w:val="20"/>
          <w:szCs w:val="20"/>
        </w:rPr>
        <w:t>Di Wen</w:t>
      </w:r>
      <w:r w:rsidRPr="002A173D">
        <w:rPr>
          <w:rFonts w:ascii="Times New Roman" w:hAnsi="Times New Roman" w:cs="Times New Roman"/>
          <w:sz w:val="20"/>
          <w:szCs w:val="20"/>
          <w:vertAlign w:val="superscript"/>
        </w:rPr>
        <w:t>1,2#</w:t>
      </w:r>
      <w:r w:rsidRPr="002A173D">
        <w:rPr>
          <w:rFonts w:ascii="Times New Roman" w:hAnsi="Times New Roman" w:cs="Times New Roman"/>
          <w:sz w:val="20"/>
          <w:szCs w:val="20"/>
        </w:rPr>
        <w:t>, Rong Hua</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Zhen Dong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Kangjun Xie</w:t>
      </w:r>
      <w:r w:rsidRPr="002A173D">
        <w:rPr>
          <w:rFonts w:ascii="Times New Roman" w:hAnsi="Times New Roman" w:cs="Times New Roman"/>
          <w:sz w:val="20"/>
          <w:szCs w:val="20"/>
          <w:vertAlign w:val="superscript"/>
        </w:rPr>
        <w:t>1,2</w:t>
      </w:r>
      <w:r w:rsidRPr="002A173D">
        <w:rPr>
          <w:rFonts w:ascii="Times New Roman" w:hAnsi="Times New Roman" w:cs="Times New Roman"/>
          <w:sz w:val="20"/>
          <w:szCs w:val="20"/>
        </w:rPr>
        <w:t>, Wei Qi</w:t>
      </w:r>
      <w:r w:rsidRPr="002A173D">
        <w:rPr>
          <w:rFonts w:ascii="Times New Roman" w:hAnsi="Times New Roman" w:cs="Times New Roman"/>
          <w:sz w:val="20"/>
          <w:szCs w:val="20"/>
          <w:vertAlign w:val="superscript"/>
        </w:rPr>
        <w:t>1,2</w:t>
      </w:r>
      <w:r w:rsidRPr="002A173D">
        <w:rPr>
          <w:rFonts w:ascii="Times New Roman" w:hAnsi="Times New Roman" w:cs="Times New Roman"/>
          <w:sz w:val="20"/>
          <w:szCs w:val="20"/>
        </w:rPr>
        <w:t>,Long Zhao</w:t>
      </w:r>
      <w:r w:rsidRPr="002A173D">
        <w:rPr>
          <w:rFonts w:ascii="Times New Roman" w:hAnsi="Times New Roman" w:cs="Times New Roman"/>
          <w:sz w:val="20"/>
          <w:szCs w:val="20"/>
          <w:vertAlign w:val="superscript"/>
        </w:rPr>
        <w:t>1*</w:t>
      </w:r>
    </w:p>
    <w:p w:rsidR="00B04295" w:rsidRPr="002A173D" w:rsidRDefault="00B04295" w:rsidP="002A173D">
      <w:pPr>
        <w:spacing w:line="240" w:lineRule="auto"/>
        <w:jc w:val="both"/>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vertAlign w:val="superscript"/>
        </w:rPr>
        <w:t>1</w:t>
      </w:r>
      <w:r w:rsidRPr="002A173D">
        <w:rPr>
          <w:rFonts w:ascii="Times New Roman" w:eastAsiaTheme="minorEastAsia" w:hAnsi="Times New Roman" w:cs="Times New Roman"/>
          <w:sz w:val="20"/>
          <w:szCs w:val="20"/>
        </w:rPr>
        <w:t>State Key Laboratory of Advanced Electromagnetic Engineering and Technology, School of Electrical and Electronic Engineering, Huazhong University of Science and Technology, Wuhan 430074, China</w:t>
      </w:r>
    </w:p>
    <w:p w:rsidR="00B04295" w:rsidRPr="002A173D" w:rsidRDefault="00B04295" w:rsidP="002A173D">
      <w:pPr>
        <w:spacing w:line="240" w:lineRule="auto"/>
        <w:jc w:val="both"/>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vertAlign w:val="superscript"/>
        </w:rPr>
        <w:t>2</w:t>
      </w:r>
      <w:r w:rsidRPr="002A173D">
        <w:rPr>
          <w:rFonts w:ascii="Times New Roman" w:eastAsiaTheme="minorEastAsia" w:hAnsi="Times New Roman" w:cs="Times New Roman"/>
          <w:sz w:val="20"/>
          <w:szCs w:val="20"/>
        </w:rPr>
        <w:t xml:space="preserve"> School of Chemistry and Chemical Engineering, Huazhong University of Science and Technology, Wuhan 430074, China </w:t>
      </w:r>
    </w:p>
    <w:p w:rsidR="00B04295" w:rsidRPr="002A173D" w:rsidRDefault="00B04295" w:rsidP="002A173D">
      <w:pPr>
        <w:spacing w:line="240" w:lineRule="auto"/>
        <w:jc w:val="both"/>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vertAlign w:val="superscript"/>
        </w:rPr>
        <w:t>3</w:t>
      </w:r>
      <w:r w:rsidRPr="002A173D">
        <w:rPr>
          <w:rFonts w:ascii="Times New Roman" w:eastAsiaTheme="minorEastAsia" w:hAnsi="Times New Roman" w:cs="Times New Roman"/>
          <w:sz w:val="20"/>
          <w:szCs w:val="20"/>
        </w:rPr>
        <w:t>School of Nuclear Science and Engineering, East China Institute of Technology, 330013, Nanchang, China</w:t>
      </w:r>
    </w:p>
    <w:p w:rsidR="00765559" w:rsidRPr="002A173D" w:rsidRDefault="00765559" w:rsidP="002A173D">
      <w:pPr>
        <w:pBdr>
          <w:top w:val="nil"/>
          <w:left w:val="nil"/>
          <w:bottom w:val="nil"/>
          <w:right w:val="nil"/>
          <w:between w:val="nil"/>
          <w:bar w:val="nil"/>
        </w:pBdr>
        <w:spacing w:line="240" w:lineRule="auto"/>
        <w:rPr>
          <w:rFonts w:ascii="Times New Roman" w:eastAsia="等线" w:hAnsi="Times New Roman" w:cs="Times New Roman"/>
          <w:b/>
          <w:bCs/>
          <w:sz w:val="20"/>
          <w:szCs w:val="20"/>
          <w:u w:color="FF0000"/>
          <w:bdr w:val="nil"/>
        </w:rPr>
      </w:pPr>
    </w:p>
    <w:p w:rsidR="00DE41B7" w:rsidRPr="002A173D" w:rsidRDefault="00DE41B7" w:rsidP="002A173D">
      <w:pPr>
        <w:pStyle w:val="ac"/>
        <w:numPr>
          <w:ilvl w:val="0"/>
          <w:numId w:val="7"/>
        </w:numPr>
        <w:spacing w:line="240" w:lineRule="auto"/>
        <w:rPr>
          <w:rFonts w:cs="Times New Roman"/>
          <w:i w:val="0"/>
          <w:color w:val="auto"/>
          <w:sz w:val="20"/>
          <w:szCs w:val="20"/>
        </w:rPr>
      </w:pPr>
      <w:r w:rsidRPr="002A173D">
        <w:rPr>
          <w:rFonts w:cs="Times New Roman"/>
          <w:i w:val="0"/>
          <w:color w:val="auto"/>
          <w:sz w:val="20"/>
          <w:szCs w:val="20"/>
        </w:rPr>
        <w:t>Kinetic Model Fitting</w:t>
      </w:r>
    </w:p>
    <w:p w:rsidR="00DE41B7" w:rsidRPr="002A173D" w:rsidRDefault="00DE41B7" w:rsidP="002A173D">
      <w:pPr>
        <w:spacing w:line="240" w:lineRule="auto"/>
        <w:ind w:firstLineChars="200" w:firstLine="400"/>
        <w:rPr>
          <w:rFonts w:ascii="Times New Roman" w:hAnsi="Times New Roman" w:cs="Times New Roman"/>
          <w:sz w:val="20"/>
          <w:szCs w:val="20"/>
        </w:rPr>
      </w:pPr>
      <w:r w:rsidRPr="002A173D">
        <w:rPr>
          <w:rFonts w:ascii="Times New Roman" w:hAnsi="Times New Roman" w:cs="Times New Roman"/>
          <w:sz w:val="20"/>
          <w:szCs w:val="20"/>
          <w:u w:color="FF0000"/>
        </w:rPr>
        <w:t xml:space="preserve">The pseudo-first-order, pseudo-second-order kinetic models are given as following Eqs. (S1, 2) </w:t>
      </w:r>
      <w:r w:rsidRPr="002A173D">
        <w:rPr>
          <w:rFonts w:ascii="Times New Roman" w:hAnsi="Times New Roman" w:cs="Times New Roman"/>
          <w:sz w:val="20"/>
          <w:szCs w:val="20"/>
          <w:u w:color="FF0000"/>
        </w:rPr>
        <w:fldChar w:fldCharType="begin" w:fldLock="1"/>
      </w:r>
      <w:r w:rsidR="00B04295" w:rsidRPr="002A173D">
        <w:rPr>
          <w:rFonts w:ascii="Times New Roman" w:hAnsi="Times New Roman" w:cs="Times New Roman"/>
          <w:sz w:val="20"/>
          <w:szCs w:val="20"/>
          <w:u w:color="FF0000"/>
        </w:rPr>
        <w:instrText>ADDIN CSL_CITATION {"citationItems":[{"id":"ITEM-1","itemData":{"DOI":"10.1205/095758298529696","ISSN":"09575820","abstract":"A comparison of kinetic models describing the sorption of pollutants has been reviewed. The rate models evaluated include the Elovich equation, the pseudo-first order equation and the pseudo-second order equation. Results show that chemisorption processes could be rate limiting in the sorption step. The pseudo-second order equation may be applied for chemisorption processes with a high degree of correlation in several literature cases where a pseudo-first order rate mechanism has been arbitrarily assumed. © Institution of Chemical Engineers.","author":[{"dropping-particle":"","family":"Ho","given":"Y. S.","non-dropping-particle":"","parse-names":false,"suffix":""},{"dropping-particle":"","family":"McKay","given":"G.","non-dropping-particle":"","parse-names":false,"suffix":""}],"container-title":"Process Safety and Environmental Protection","id":"ITEM-1","issue":"4","issued":{"date-parts":[["1998"]]},"page":"332-340","title":"A Comparison of chemisorption kinetic models applied to pollutant removal on various sorbents","type":"article-journal","volume":"76"},"uris":["http://www.mendeley.com/documents/?uuid=8c434bb5-23ed-4bec-8db1-55208f071ff0"]}],"mendeley":{"formattedCitation":"(Ho and McKay 1998)","plainTextFormattedCitation":"(Ho and McKay 1998)","previouslyFormattedCitation":"(Ho and McKay 1998)"},"properties":{"noteIndex":0},"schema":"https://github.com/citation-style-language/schema/raw/master/csl-citation.json"}</w:instrText>
      </w:r>
      <w:r w:rsidRPr="002A173D">
        <w:rPr>
          <w:rFonts w:ascii="Times New Roman" w:hAnsi="Times New Roman" w:cs="Times New Roman"/>
          <w:sz w:val="20"/>
          <w:szCs w:val="20"/>
          <w:u w:color="FF0000"/>
        </w:rPr>
        <w:fldChar w:fldCharType="separate"/>
      </w:r>
      <w:r w:rsidR="00B04295" w:rsidRPr="002A173D">
        <w:rPr>
          <w:rFonts w:ascii="Times New Roman" w:hAnsi="Times New Roman" w:cs="Times New Roman"/>
          <w:noProof/>
          <w:sz w:val="20"/>
          <w:szCs w:val="20"/>
          <w:u w:color="FF0000"/>
        </w:rPr>
        <w:t>(Ho and McKay 1998)</w:t>
      </w:r>
      <w:r w:rsidRPr="002A173D">
        <w:rPr>
          <w:rFonts w:ascii="Times New Roman" w:hAnsi="Times New Roman" w:cs="Times New Roman"/>
          <w:sz w:val="20"/>
          <w:szCs w:val="20"/>
          <w:u w:color="FF0000"/>
        </w:rPr>
        <w:fldChar w:fldCharType="end"/>
      </w:r>
      <w:r w:rsidRPr="002A173D">
        <w:rPr>
          <w:rFonts w:ascii="Times New Roman" w:hAnsi="Times New Roman" w:cs="Times New Roman"/>
          <w:sz w:val="20"/>
          <w:szCs w:val="20"/>
          <w:u w:color="FF0000"/>
        </w:rPr>
        <w:t>:</w:t>
      </w:r>
    </w:p>
    <w:p w:rsidR="00DE41B7" w:rsidRPr="002A173D" w:rsidRDefault="00DE41B7" w:rsidP="002A173D">
      <w:pPr>
        <w:spacing w:before="163" w:after="163" w:line="240" w:lineRule="auto"/>
        <w:ind w:firstLineChars="200" w:firstLine="400"/>
        <w:jc w:val="center"/>
        <w:rPr>
          <w:rFonts w:ascii="Times New Roman" w:hAnsi="Times New Roman" w:cs="Times New Roman"/>
          <w:sz w:val="20"/>
          <w:szCs w:val="20"/>
        </w:rPr>
      </w:pPr>
      <m:oMath>
        <m:r>
          <m:rPr>
            <m:sty m:val="p"/>
          </m:rPr>
          <w:rPr>
            <w:rFonts w:ascii="Cambria Math" w:hAnsi="Cambria Math" w:cs="Times New Roman"/>
            <w:sz w:val="20"/>
            <w:szCs w:val="20"/>
          </w:rPr>
          <m:t>In</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e</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t</m:t>
                </m:r>
              </m:sub>
            </m:sSub>
          </m:e>
        </m:d>
        <m:r>
          <m:rPr>
            <m:sty m:val="p"/>
          </m:rPr>
          <w:rPr>
            <w:rFonts w:ascii="Cambria Math" w:hAnsi="Cambria Math" w:cs="Times New Roman"/>
            <w:sz w:val="20"/>
            <w:szCs w:val="20"/>
          </w:rPr>
          <m:t>=In</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e</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K</m:t>
            </m:r>
          </m:e>
          <m:sub>
            <m:r>
              <m:rPr>
                <m:sty m:val="p"/>
              </m:rPr>
              <w:rPr>
                <w:rFonts w:ascii="Cambria Math" w:hAnsi="Cambria Math" w:cs="Times New Roman"/>
                <w:sz w:val="20"/>
                <w:szCs w:val="20"/>
              </w:rPr>
              <m:t>1</m:t>
            </m:r>
          </m:sub>
        </m:sSub>
        <m:r>
          <m:rPr>
            <m:sty m:val="p"/>
          </m:rPr>
          <w:rPr>
            <w:rFonts w:ascii="Cambria Math" w:hAnsi="Cambria Math" w:cs="Times New Roman"/>
            <w:sz w:val="20"/>
            <w:szCs w:val="20"/>
          </w:rPr>
          <m:t>t</m:t>
        </m:r>
      </m:oMath>
      <w:r w:rsidRPr="002A173D">
        <w:rPr>
          <w:rFonts w:ascii="Times New Roman" w:hAnsi="Times New Roman" w:cs="Times New Roman"/>
          <w:sz w:val="20"/>
          <w:szCs w:val="20"/>
        </w:rPr>
        <w:t xml:space="preserve">      (S1)</w:t>
      </w:r>
    </w:p>
    <w:p w:rsidR="00DE41B7" w:rsidRPr="002A173D" w:rsidRDefault="00DE41B7" w:rsidP="002A173D">
      <w:pPr>
        <w:spacing w:line="240" w:lineRule="auto"/>
        <w:ind w:right="360" w:firstLineChars="200" w:firstLine="400"/>
        <w:jc w:val="center"/>
        <w:rPr>
          <w:rFonts w:ascii="Times New Roman" w:hAnsi="Times New Roman" w:cs="Times New Roman"/>
          <w:sz w:val="20"/>
          <w:szCs w:val="20"/>
        </w:rPr>
      </w:pPr>
      <w:r w:rsidRPr="002A173D">
        <w:rPr>
          <w:rFonts w:ascii="Times New Roman" w:hAnsi="Times New Roman" w:cs="Times New Roman"/>
          <w:sz w:val="20"/>
          <w:szCs w:val="20"/>
        </w:rPr>
        <w:t xml:space="preserve">   </w:t>
      </w:r>
      <m:oMath>
        <m:f>
          <m:fPr>
            <m:ctrlPr>
              <w:rPr>
                <w:rFonts w:ascii="Cambria Math" w:hAnsi="Cambria Math" w:cs="Times New Roman"/>
                <w:sz w:val="20"/>
                <w:szCs w:val="20"/>
              </w:rPr>
            </m:ctrlPr>
          </m:fPr>
          <m:num>
            <m:r>
              <m:rPr>
                <m:sty m:val="p"/>
              </m:rPr>
              <w:rPr>
                <w:rFonts w:ascii="Cambria Math" w:hAnsi="Cambria Math" w:cs="Times New Roman"/>
                <w:sz w:val="20"/>
                <w:szCs w:val="20"/>
              </w:rPr>
              <m:t>t</m:t>
            </m:r>
          </m:num>
          <m:den>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t</m:t>
                </m:r>
              </m:sub>
            </m:sSub>
          </m:den>
        </m:f>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1</m:t>
            </m:r>
          </m:num>
          <m:den>
            <m:sSub>
              <m:sSubPr>
                <m:ctrlPr>
                  <w:rPr>
                    <w:rFonts w:ascii="Cambria Math" w:hAnsi="Cambria Math" w:cs="Times New Roman"/>
                    <w:sz w:val="20"/>
                    <w:szCs w:val="20"/>
                  </w:rPr>
                </m:ctrlPr>
              </m:sSubPr>
              <m:e>
                <m:r>
                  <m:rPr>
                    <m:sty m:val="p"/>
                  </m:rPr>
                  <w:rPr>
                    <w:rFonts w:ascii="Cambria Math" w:hAnsi="Cambria Math" w:cs="Times New Roman"/>
                    <w:sz w:val="20"/>
                    <w:szCs w:val="20"/>
                  </w:rPr>
                  <m:t>K</m:t>
                </m:r>
              </m:e>
              <m:sub>
                <m:r>
                  <m:rPr>
                    <m:sty m:val="p"/>
                  </m:rPr>
                  <w:rPr>
                    <w:rFonts w:ascii="Cambria Math" w:hAnsi="Cambria Math" w:cs="Times New Roman"/>
                    <w:sz w:val="20"/>
                    <w:szCs w:val="20"/>
                  </w:rPr>
                  <m:t>2</m:t>
                </m:r>
              </m:sub>
            </m:sSub>
            <m:sSubSup>
              <m:sSubSupPr>
                <m:ctrlPr>
                  <w:rPr>
                    <w:rFonts w:ascii="Cambria Math" w:hAnsi="Cambria Math" w:cs="Times New Roman"/>
                    <w:sz w:val="20"/>
                    <w:szCs w:val="20"/>
                  </w:rPr>
                </m:ctrlPr>
              </m:sSubSupPr>
              <m:e>
                <m:r>
                  <m:rPr>
                    <m:sty m:val="p"/>
                  </m:rPr>
                  <w:rPr>
                    <w:rFonts w:ascii="Cambria Math" w:hAnsi="Cambria Math" w:cs="Times New Roman"/>
                    <w:sz w:val="20"/>
                    <w:szCs w:val="20"/>
                  </w:rPr>
                  <m:t>q</m:t>
                </m:r>
              </m:e>
              <m:sub>
                <m:r>
                  <m:rPr>
                    <m:sty m:val="p"/>
                  </m:rPr>
                  <w:rPr>
                    <w:rFonts w:ascii="Cambria Math" w:hAnsi="Cambria Math" w:cs="Times New Roman"/>
                    <w:sz w:val="20"/>
                    <w:szCs w:val="20"/>
                  </w:rPr>
                  <m:t>e</m:t>
                </m:r>
              </m:sub>
              <m:sup>
                <m:r>
                  <m:rPr>
                    <m:sty m:val="p"/>
                  </m:rPr>
                  <w:rPr>
                    <w:rFonts w:ascii="Cambria Math" w:hAnsi="Cambria Math" w:cs="Times New Roman"/>
                    <w:sz w:val="20"/>
                    <w:szCs w:val="20"/>
                  </w:rPr>
                  <m:t>2</m:t>
                </m:r>
              </m:sup>
            </m:sSubSup>
          </m:den>
        </m:f>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t</m:t>
            </m:r>
          </m:num>
          <m:den>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e</m:t>
                </m:r>
              </m:sub>
            </m:sSub>
          </m:den>
        </m:f>
      </m:oMath>
      <w:r w:rsidRPr="002A173D">
        <w:rPr>
          <w:rFonts w:ascii="Times New Roman" w:hAnsi="Times New Roman" w:cs="Times New Roman"/>
          <w:sz w:val="20"/>
          <w:szCs w:val="20"/>
        </w:rPr>
        <w:t xml:space="preserve">             (S2)</w:t>
      </w:r>
    </w:p>
    <w:p w:rsidR="00DE41B7" w:rsidRPr="002A173D" w:rsidRDefault="00DE41B7" w:rsidP="002A173D">
      <w:pPr>
        <w:spacing w:line="240" w:lineRule="auto"/>
        <w:ind w:right="360" w:firstLineChars="200" w:firstLine="400"/>
        <w:jc w:val="center"/>
        <w:rPr>
          <w:rFonts w:ascii="Times New Roman" w:hAnsi="Times New Roman" w:cs="Times New Roman"/>
          <w:sz w:val="20"/>
          <w:szCs w:val="20"/>
          <w:u w:color="FF0000"/>
        </w:rPr>
      </w:pPr>
      <w:r w:rsidRPr="002A173D">
        <w:rPr>
          <w:rFonts w:ascii="Times New Roman" w:hAnsi="Times New Roman" w:cs="Times New Roman"/>
          <w:sz w:val="20"/>
          <w:szCs w:val="20"/>
          <w:u w:color="FF0000"/>
        </w:rPr>
        <w:t xml:space="preserve">The intraparticle diffusion model is shown in Eq. (3) </w:t>
      </w:r>
      <w:r w:rsidRPr="002A173D">
        <w:rPr>
          <w:rFonts w:ascii="Times New Roman" w:hAnsi="Times New Roman" w:cs="Times New Roman"/>
          <w:sz w:val="20"/>
          <w:szCs w:val="20"/>
          <w:u w:color="FF0000"/>
        </w:rPr>
        <w:fldChar w:fldCharType="begin" w:fldLock="1"/>
      </w:r>
      <w:r w:rsidR="00B04295" w:rsidRPr="002A173D">
        <w:rPr>
          <w:rFonts w:ascii="Times New Roman" w:hAnsi="Times New Roman" w:cs="Times New Roman"/>
          <w:sz w:val="20"/>
          <w:szCs w:val="20"/>
          <w:u w:color="FF0000"/>
        </w:rPr>
        <w:instrText>ADDIN CSL_CITATION {"citationItems":[{"id":"ITEM-1","itemData":{"author":[{"dropping-particle":"","family":"W.J. Weber","given":"J.C. Morris","non-dropping-particle":"","parse-names":false,"suffix":""}],"container-title":"Journal of the Sanitary Engineering Division","id":"ITEM-1","issued":{"date-parts":[["1963"]]},"page":"31-40","title":"Kinetics of Adsorption on Carbon from Solution","type":"article-journal","volume":"89"},"uris":["http://www.mendeley.com/documents/?uuid=4b49484b-d625-4c2b-a3b5-5e7cf7a90120"]}],"mendeley":{"formattedCitation":"(W.J. Weber 1963)","plainTextFormattedCitation":"(W.J. Weber 1963)","previouslyFormattedCitation":"(W.J. Weber 1963)"},"properties":{"noteIndex":0},"schema":"https://github.com/citation-style-language/schema/raw/master/csl-citation.json"}</w:instrText>
      </w:r>
      <w:r w:rsidRPr="002A173D">
        <w:rPr>
          <w:rFonts w:ascii="Times New Roman" w:hAnsi="Times New Roman" w:cs="Times New Roman"/>
          <w:sz w:val="20"/>
          <w:szCs w:val="20"/>
          <w:u w:color="FF0000"/>
        </w:rPr>
        <w:fldChar w:fldCharType="separate"/>
      </w:r>
      <w:r w:rsidR="00B04295" w:rsidRPr="002A173D">
        <w:rPr>
          <w:rFonts w:ascii="Times New Roman" w:hAnsi="Times New Roman" w:cs="Times New Roman"/>
          <w:noProof/>
          <w:sz w:val="20"/>
          <w:szCs w:val="20"/>
          <w:u w:color="FF0000"/>
        </w:rPr>
        <w:t>(W.J. Weber 1963)</w:t>
      </w:r>
      <w:r w:rsidRPr="002A173D">
        <w:rPr>
          <w:rFonts w:ascii="Times New Roman" w:hAnsi="Times New Roman" w:cs="Times New Roman"/>
          <w:sz w:val="20"/>
          <w:szCs w:val="20"/>
          <w:u w:color="FF0000"/>
        </w:rPr>
        <w:fldChar w:fldCharType="end"/>
      </w:r>
      <w:r w:rsidRPr="002A173D">
        <w:rPr>
          <w:rFonts w:ascii="Times New Roman" w:hAnsi="Times New Roman" w:cs="Times New Roman"/>
          <w:sz w:val="20"/>
          <w:szCs w:val="20"/>
          <w:u w:color="FF0000"/>
        </w:rPr>
        <w:t>:</w:t>
      </w:r>
    </w:p>
    <w:p w:rsidR="00DE41B7" w:rsidRPr="002A173D" w:rsidRDefault="007936C0" w:rsidP="002A173D">
      <w:pPr>
        <w:spacing w:line="240" w:lineRule="auto"/>
        <w:ind w:firstLineChars="200" w:firstLine="400"/>
        <w:jc w:val="center"/>
        <w:rPr>
          <w:rFonts w:ascii="Times New Roman" w:hAnsi="Times New Roman" w:cs="Times New Roman"/>
          <w:sz w:val="20"/>
          <w:szCs w:val="20"/>
          <w:u w:color="FF0000"/>
        </w:rPr>
      </w:pPr>
      <m:oMathPara>
        <m:oMathParaPr>
          <m:jc m:val="center"/>
        </m:oMathParaPr>
        <m:oMath>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e</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int</m:t>
              </m:r>
            </m:sub>
          </m:sSub>
          <m:sSup>
            <m:sSupPr>
              <m:ctrlPr>
                <w:rPr>
                  <w:rFonts w:ascii="Cambria Math" w:hAnsi="Cambria Math" w:cs="Times New Roman"/>
                  <w:sz w:val="20"/>
                  <w:szCs w:val="20"/>
                </w:rPr>
              </m:ctrlPr>
            </m:sSupPr>
            <m:e>
              <m:r>
                <w:rPr>
                  <w:rFonts w:ascii="Cambria Math" w:hAnsi="Cambria Math" w:cs="Times New Roman"/>
                  <w:sz w:val="20"/>
                  <w:szCs w:val="20"/>
                </w:rPr>
                <m:t>t</m:t>
              </m:r>
            </m:e>
            <m:sup>
              <m:r>
                <w:rPr>
                  <w:rFonts w:ascii="Cambria Math" w:hAnsi="Cambria Math" w:cs="Times New Roman"/>
                  <w:sz w:val="20"/>
                  <w:szCs w:val="20"/>
                </w:rPr>
                <m:t>0.5</m:t>
              </m:r>
            </m:sup>
          </m:sSup>
          <m:r>
            <w:rPr>
              <w:rFonts w:ascii="Cambria Math" w:hAnsi="Cambria Math" w:cs="Times New Roman"/>
              <w:sz w:val="20"/>
              <w:szCs w:val="20"/>
            </w:rPr>
            <m:t>+c    (S3)</m:t>
          </m:r>
        </m:oMath>
      </m:oMathPara>
    </w:p>
    <w:p w:rsidR="00DE41B7" w:rsidRPr="002A173D" w:rsidRDefault="00DE41B7" w:rsidP="002A173D">
      <w:pPr>
        <w:spacing w:line="240" w:lineRule="auto"/>
        <w:ind w:firstLineChars="200" w:firstLine="400"/>
        <w:rPr>
          <w:rFonts w:ascii="Times New Roman" w:hAnsi="Times New Roman" w:cs="Times New Roman"/>
          <w:sz w:val="20"/>
          <w:szCs w:val="20"/>
          <w:u w:color="FF0000"/>
        </w:rPr>
      </w:pPr>
      <w:r w:rsidRPr="002A173D">
        <w:rPr>
          <w:rFonts w:ascii="Times New Roman" w:hAnsi="Times New Roman" w:cs="Times New Roman"/>
          <w:sz w:val="20"/>
          <w:szCs w:val="20"/>
          <w:u w:color="FF0000"/>
        </w:rPr>
        <w:t xml:space="preserve">The Boyd liquid film diffusion model is shown in Eqs. (S4, 5) </w:t>
      </w:r>
      <w:r w:rsidRPr="002A173D">
        <w:rPr>
          <w:rFonts w:ascii="Times New Roman" w:hAnsi="Times New Roman" w:cs="Times New Roman"/>
          <w:sz w:val="20"/>
          <w:szCs w:val="20"/>
          <w:u w:color="FF0000"/>
        </w:rPr>
        <w:fldChar w:fldCharType="begin" w:fldLock="1"/>
      </w:r>
      <w:r w:rsidR="00B04295" w:rsidRPr="002A173D">
        <w:rPr>
          <w:rFonts w:ascii="Times New Roman" w:hAnsi="Times New Roman" w:cs="Times New Roman"/>
          <w:sz w:val="20"/>
          <w:szCs w:val="20"/>
          <w:u w:color="FF0000"/>
        </w:rPr>
        <w:instrText>ADDIN CSL_CITATION {"citationItems":[{"id":"ITEM-1","itemData":{"DOI":"10.1021/ja01203a066","ISSN":"15205126","abstract":"Equations capable of describing the rate of the exchange adsorption of the alkali metal cations by the resinous zeolite Ainberlite IR-L have been formulated on the basis of a diffusion mechanism or according to a bimolecular chemical rate process based on the law of mass action. © 1947, American Chemical Society. All rights reserved.","author":[{"dropping-particle":"","family":"Boyd","given":"G. E.","non-dropping-particle":"","parse-names":false,"suffix":""},{"dropping-particle":"","family":"Adamson","given":"A. W.","non-dropping-particle":"","parse-names":false,"suffix":""},{"dropping-particle":"","family":"Myers","given":"L. S.","non-dropping-particle":"","parse-names":false,"suffix":""}],"container-title":"Journal of the American Chemical Society","id":"ITEM-1","issue":"11","issued":{"date-parts":[["1947"]]},"page":"2836-2848","title":"The Exchange Adsorption of Ions from Aqueous Solutions by Organic Zeolites. II. Kinetics","type":"article-journal","volume":"69"},"uris":["http://www.mendeley.com/documents/?uuid=a1293de6-d74f-4f32-9707-da638e7175aa"]},{"id":"ITEM-2","itemData":{"DOI":"10.1039/jr9550002741","author":[{"dropping-particle":"","family":"Reichenberg","given":"D","non-dropping-particle":"","parse-names":false,"suffix":""},{"dropping-particle":"","family":"McCauley","given":"D","non-dropping-particle":"","parse-names":false,"suffix":""}],"container-title":"Journal of The Chemical Society (resumed)","id":"ITEM-2","issued":{"date-parts":[["1955"]]},"title":"Properties of ion-exchange resins in relation to their structure. Part VII. Cation-exchange equilibria on sulphonated polystyrene resins of varying degrees of cross-linking","type":"article-journal","volume":"3"},"uris":["http://www.mendeley.com/documents/?uuid=da863a54-c074-4024-8d5b-60acb9059e59"]}],"mendeley":{"formattedCitation":"(Boyd et al. 1947; Reichenberg and McCauley 1955)","plainTextFormattedCitation":"(Boyd et al. 1947; Reichenberg and McCauley 1955)","previouslyFormattedCitation":"(Boyd et al. 1947; Reichenberg and McCauley 1955)"},"properties":{"noteIndex":0},"schema":"https://github.com/citation-style-language/schema/raw/master/csl-citation.json"}</w:instrText>
      </w:r>
      <w:r w:rsidRPr="002A173D">
        <w:rPr>
          <w:rFonts w:ascii="Times New Roman" w:hAnsi="Times New Roman" w:cs="Times New Roman"/>
          <w:sz w:val="20"/>
          <w:szCs w:val="20"/>
          <w:u w:color="FF0000"/>
        </w:rPr>
        <w:fldChar w:fldCharType="separate"/>
      </w:r>
      <w:r w:rsidR="00B04295" w:rsidRPr="002A173D">
        <w:rPr>
          <w:rFonts w:ascii="Times New Roman" w:hAnsi="Times New Roman" w:cs="Times New Roman"/>
          <w:noProof/>
          <w:sz w:val="20"/>
          <w:szCs w:val="20"/>
          <w:u w:color="FF0000"/>
        </w:rPr>
        <w:t>(Boyd et al. 1947; Reichenberg and McCauley 1955)</w:t>
      </w:r>
      <w:r w:rsidRPr="002A173D">
        <w:rPr>
          <w:rFonts w:ascii="Times New Roman" w:hAnsi="Times New Roman" w:cs="Times New Roman"/>
          <w:sz w:val="20"/>
          <w:szCs w:val="20"/>
          <w:u w:color="FF0000"/>
        </w:rPr>
        <w:fldChar w:fldCharType="end"/>
      </w:r>
    </w:p>
    <w:p w:rsidR="00DE41B7" w:rsidRPr="002A173D" w:rsidRDefault="00DE41B7" w:rsidP="002A173D">
      <w:pPr>
        <w:spacing w:line="240" w:lineRule="auto"/>
        <w:ind w:firstLineChars="200" w:firstLine="400"/>
        <w:jc w:val="center"/>
        <w:rPr>
          <w:rFonts w:ascii="Times New Roman" w:hAnsi="Times New Roman" w:cs="Times New Roman"/>
          <w:sz w:val="20"/>
          <w:szCs w:val="20"/>
          <w:u w:color="FF0000"/>
        </w:rPr>
      </w:pPr>
      <m:oMath>
        <m:r>
          <w:rPr>
            <w:rFonts w:ascii="Cambria Math" w:hAnsi="Cambria Math" w:cs="Times New Roman"/>
            <w:sz w:val="20"/>
            <w:szCs w:val="20"/>
          </w:rPr>
          <m:t>-0.4977-</m:t>
        </m:r>
        <m:func>
          <m:funcPr>
            <m:ctrlPr>
              <w:rPr>
                <w:rFonts w:ascii="Cambria Math" w:hAnsi="Cambria Math" w:cs="Times New Roman"/>
                <w:i/>
                <w:sz w:val="20"/>
                <w:szCs w:val="20"/>
              </w:rPr>
            </m:ctrlPr>
          </m:funcPr>
          <m:fName>
            <m:r>
              <w:rPr>
                <w:rFonts w:ascii="Cambria Math" w:hAnsi="Cambria Math" w:cs="Times New Roman"/>
                <w:sz w:val="20"/>
                <w:szCs w:val="20"/>
              </w:rPr>
              <m:t>ln</m:t>
            </m:r>
          </m:fName>
          <m:e>
            <m:d>
              <m:dPr>
                <m:ctrlPr>
                  <w:rPr>
                    <w:rFonts w:ascii="Cambria Math" w:hAnsi="Cambria Math" w:cs="Times New Roman"/>
                    <w:i/>
                    <w:sz w:val="20"/>
                    <w:szCs w:val="20"/>
                  </w:rPr>
                </m:ctrlPr>
              </m:dPr>
              <m:e>
                <m:r>
                  <w:rPr>
                    <w:rFonts w:ascii="Cambria Math" w:hAnsi="Cambria Math" w:cs="Times New Roman"/>
                    <w:sz w:val="20"/>
                    <w:szCs w:val="20"/>
                  </w:rPr>
                  <m:t>1-F</m:t>
                </m:r>
              </m:e>
            </m:d>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b</m:t>
                </m:r>
              </m:sub>
            </m:sSub>
            <m:r>
              <w:rPr>
                <w:rFonts w:ascii="Cambria Math" w:hAnsi="Cambria Math" w:cs="Times New Roman"/>
                <w:sz w:val="20"/>
                <w:szCs w:val="20"/>
              </w:rPr>
              <m:t>t</m:t>
            </m:r>
            <m:d>
              <m:dPr>
                <m:ctrlPr>
                  <w:rPr>
                    <w:rFonts w:ascii="Cambria Math" w:hAnsi="Cambria Math" w:cs="Times New Roman"/>
                    <w:i/>
                    <w:sz w:val="20"/>
                    <w:szCs w:val="20"/>
                  </w:rPr>
                </m:ctrlPr>
              </m:dPr>
              <m:e>
                <m:r>
                  <w:rPr>
                    <w:rFonts w:ascii="Cambria Math" w:hAnsi="Cambria Math" w:cs="Times New Roman"/>
                    <w:sz w:val="20"/>
                    <w:szCs w:val="20"/>
                  </w:rPr>
                  <m:t>F&lt;0.85</m:t>
                </m:r>
              </m:e>
            </m:d>
          </m:e>
        </m:func>
      </m:oMath>
      <w:r w:rsidRPr="002A173D">
        <w:rPr>
          <w:rFonts w:ascii="Times New Roman" w:hAnsi="Times New Roman" w:cs="Times New Roman"/>
          <w:sz w:val="20"/>
          <w:szCs w:val="20"/>
        </w:rPr>
        <w:t xml:space="preserve">     (S4)</w:t>
      </w:r>
    </w:p>
    <w:p w:rsidR="00DE41B7" w:rsidRPr="002A173D" w:rsidRDefault="00DE41B7" w:rsidP="002A173D">
      <w:pPr>
        <w:spacing w:line="240" w:lineRule="auto"/>
        <w:ind w:firstLineChars="200" w:firstLine="400"/>
        <w:jc w:val="center"/>
        <w:rPr>
          <w:rFonts w:ascii="Times New Roman" w:hAnsi="Times New Roman" w:cs="Times New Roman"/>
          <w:sz w:val="20"/>
          <w:szCs w:val="20"/>
          <w:u w:color="FF0000"/>
        </w:rPr>
      </w:pPr>
      <w:r w:rsidRPr="002A173D">
        <w:rPr>
          <w:rFonts w:ascii="Times New Roman" w:hAnsi="Times New Roman" w:cs="Times New Roman"/>
          <w:sz w:val="20"/>
          <w:szCs w:val="20"/>
        </w:rPr>
        <w:t xml:space="preserve">  </w:t>
      </w:r>
      <m:oMath>
        <m:sSup>
          <m:sSupPr>
            <m:ctrlPr>
              <w:rPr>
                <w:rFonts w:ascii="Cambria Math" w:hAnsi="Cambria Math" w:cs="Times New Roman"/>
                <w:sz w:val="20"/>
                <w:szCs w:val="20"/>
              </w:rPr>
            </m:ctrlPr>
          </m:sSupPr>
          <m:e>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π</m:t>
                </m:r>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π-</m:t>
                </m:r>
                <m:f>
                  <m:fPr>
                    <m:ctrlPr>
                      <w:rPr>
                        <w:rFonts w:ascii="Cambria Math" w:hAnsi="Cambria Math" w:cs="Times New Roman"/>
                        <w:i/>
                        <w:sz w:val="20"/>
                        <w:szCs w:val="20"/>
                      </w:rPr>
                    </m:ctrlPr>
                  </m:fPr>
                  <m:num>
                    <m:sSup>
                      <m:sSupPr>
                        <m:ctrlPr>
                          <w:rPr>
                            <w:rFonts w:ascii="Cambria Math" w:hAnsi="Cambria Math" w:cs="Times New Roman"/>
                            <w:sz w:val="20"/>
                            <w:szCs w:val="20"/>
                          </w:rPr>
                        </m:ctrlPr>
                      </m:sSupPr>
                      <m:e>
                        <m:r>
                          <w:rPr>
                            <w:rFonts w:ascii="Cambria Math" w:hAnsi="Cambria Math" w:cs="Times New Roman"/>
                            <w:sz w:val="20"/>
                            <w:szCs w:val="20"/>
                          </w:rPr>
                          <m:t>π</m:t>
                        </m:r>
                      </m:e>
                      <m:sup>
                        <m:r>
                          <w:rPr>
                            <w:rFonts w:ascii="Cambria Math" w:hAnsi="Cambria Math" w:cs="Times New Roman"/>
                            <w:sz w:val="20"/>
                            <w:szCs w:val="20"/>
                          </w:rPr>
                          <m:t>2</m:t>
                        </m:r>
                      </m:sup>
                    </m:sSup>
                    <m:r>
                      <w:rPr>
                        <w:rFonts w:ascii="Cambria Math" w:hAnsi="Cambria Math" w:cs="Times New Roman"/>
                        <w:sz w:val="20"/>
                        <w:szCs w:val="20"/>
                      </w:rPr>
                      <m:t>F</m:t>
                    </m:r>
                  </m:num>
                  <m:den>
                    <m:r>
                      <w:rPr>
                        <w:rFonts w:ascii="Cambria Math" w:hAnsi="Cambria Math" w:cs="Times New Roman"/>
                        <w:sz w:val="20"/>
                        <w:szCs w:val="20"/>
                      </w:rPr>
                      <m:t>3</m:t>
                    </m:r>
                  </m:den>
                </m:f>
              </m:e>
            </m:rad>
            <m:r>
              <w:rPr>
                <w:rFonts w:ascii="Cambria Math" w:hAnsi="Cambria Math" w:cs="Times New Roman"/>
                <w:sz w:val="20"/>
                <w:szCs w:val="20"/>
              </w:rPr>
              <m:t>)</m:t>
            </m:r>
          </m:e>
          <m:sup>
            <m:r>
              <w:rPr>
                <w:rFonts w:ascii="Cambria Math" w:hAnsi="Cambria Math" w:cs="Times New Roman"/>
                <w:sz w:val="20"/>
                <w:szCs w:val="20"/>
              </w:rPr>
              <m:t>2</m:t>
            </m:r>
          </m:sup>
        </m:sSup>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b</m:t>
            </m:r>
          </m:sub>
        </m:sSub>
        <m:r>
          <w:rPr>
            <w:rFonts w:ascii="Cambria Math" w:hAnsi="Cambria Math" w:cs="Times New Roman"/>
            <w:sz w:val="20"/>
            <w:szCs w:val="20"/>
          </w:rPr>
          <m:t>t</m:t>
        </m:r>
        <m:d>
          <m:dPr>
            <m:ctrlPr>
              <w:rPr>
                <w:rFonts w:ascii="Cambria Math" w:hAnsi="Cambria Math" w:cs="Times New Roman"/>
                <w:i/>
                <w:sz w:val="20"/>
                <w:szCs w:val="20"/>
              </w:rPr>
            </m:ctrlPr>
          </m:dPr>
          <m:e>
            <m:r>
              <w:rPr>
                <w:rFonts w:ascii="Cambria Math" w:hAnsi="Cambria Math" w:cs="Times New Roman"/>
                <w:sz w:val="20"/>
                <w:szCs w:val="20"/>
              </w:rPr>
              <m:t>F&gt;0.85</m:t>
            </m:r>
          </m:e>
        </m:d>
      </m:oMath>
      <w:r w:rsidRPr="002A173D">
        <w:rPr>
          <w:rFonts w:ascii="Times New Roman" w:hAnsi="Times New Roman" w:cs="Times New Roman"/>
          <w:sz w:val="20"/>
          <w:szCs w:val="20"/>
        </w:rPr>
        <w:t xml:space="preserve">      </w:t>
      </w:r>
      <m:oMath>
        <m:r>
          <w:rPr>
            <w:rFonts w:ascii="Cambria Math" w:hAnsi="Cambria Math" w:cs="Times New Roman"/>
            <w:sz w:val="20"/>
            <w:szCs w:val="20"/>
          </w:rPr>
          <m:t>(S5)</m:t>
        </m:r>
      </m:oMath>
    </w:p>
    <w:p w:rsidR="00DE41B7" w:rsidRPr="002A173D" w:rsidRDefault="00DE41B7" w:rsidP="002A173D">
      <w:pPr>
        <w:spacing w:line="240" w:lineRule="auto"/>
        <w:ind w:firstLineChars="200" w:firstLine="400"/>
        <w:rPr>
          <w:rFonts w:ascii="Times New Roman" w:hAnsi="Times New Roman" w:cs="Times New Roman"/>
          <w:sz w:val="20"/>
          <w:szCs w:val="20"/>
        </w:rPr>
      </w:pPr>
      <w:r w:rsidRPr="002A173D">
        <w:rPr>
          <w:rFonts w:ascii="Times New Roman" w:hAnsi="Times New Roman" w:cs="Times New Roman"/>
          <w:sz w:val="20"/>
          <w:szCs w:val="20"/>
        </w:rPr>
        <w:t xml:space="preserve">Where </w:t>
      </w:r>
      <w:r w:rsidRPr="002A173D">
        <w:rPr>
          <w:rFonts w:ascii="Times New Roman" w:hAnsi="Times New Roman" w:cs="Times New Roman"/>
          <w:i/>
          <w:iCs/>
          <w:sz w:val="20"/>
          <w:szCs w:val="20"/>
        </w:rPr>
        <w:t>k</w:t>
      </w:r>
      <w:r w:rsidRPr="002A173D">
        <w:rPr>
          <w:rFonts w:ascii="Times New Roman" w:hAnsi="Times New Roman" w:cs="Times New Roman"/>
          <w:i/>
          <w:iCs/>
          <w:sz w:val="20"/>
          <w:szCs w:val="20"/>
          <w:vertAlign w:val="subscript"/>
        </w:rPr>
        <w:t>1</w:t>
      </w:r>
      <w:r w:rsidRPr="002A173D">
        <w:rPr>
          <w:rFonts w:ascii="Times New Roman" w:hAnsi="Times New Roman" w:cs="Times New Roman"/>
          <w:sz w:val="20"/>
          <w:szCs w:val="20"/>
        </w:rPr>
        <w:t xml:space="preserve"> (h</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xml:space="preserve">) and </w:t>
      </w:r>
      <w:r w:rsidRPr="002A173D">
        <w:rPr>
          <w:rFonts w:ascii="Times New Roman" w:hAnsi="Times New Roman" w:cs="Times New Roman"/>
          <w:i/>
          <w:iCs/>
          <w:sz w:val="20"/>
          <w:szCs w:val="20"/>
        </w:rPr>
        <w:t>k</w:t>
      </w:r>
      <w:r w:rsidRPr="002A173D">
        <w:rPr>
          <w:rFonts w:ascii="Times New Roman" w:hAnsi="Times New Roman" w:cs="Times New Roman"/>
          <w:i/>
          <w:iCs/>
          <w:sz w:val="20"/>
          <w:szCs w:val="20"/>
          <w:vertAlign w:val="subscript"/>
        </w:rPr>
        <w:t>2</w:t>
      </w:r>
      <w:r w:rsidRPr="002A173D">
        <w:rPr>
          <w:rFonts w:ascii="Times New Roman" w:hAnsi="Times New Roman" w:cs="Times New Roman"/>
          <w:sz w:val="20"/>
          <w:szCs w:val="20"/>
        </w:rPr>
        <w:t xml:space="preserve"> (g∙mg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∙h</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xml:space="preserve">) refer to the rate constants of pseudo-first-order and pseudo-second-order kinetic models, respectively. </w:t>
      </w:r>
      <w:r w:rsidRPr="002A173D">
        <w:rPr>
          <w:rFonts w:ascii="Times New Roman" w:hAnsi="Times New Roman" w:cs="Times New Roman"/>
          <w:sz w:val="20"/>
          <w:szCs w:val="20"/>
          <w:u w:color="FF0000"/>
        </w:rPr>
        <w:t>k</w:t>
      </w:r>
      <w:r w:rsidRPr="002A173D">
        <w:rPr>
          <w:rFonts w:ascii="Times New Roman" w:hAnsi="Times New Roman" w:cs="Times New Roman"/>
          <w:sz w:val="20"/>
          <w:szCs w:val="20"/>
          <w:u w:color="FF0000"/>
          <w:vertAlign w:val="subscript"/>
        </w:rPr>
        <w:t>int</w:t>
      </w:r>
      <w:r w:rsidRPr="002A173D">
        <w:rPr>
          <w:rFonts w:ascii="Times New Roman" w:hAnsi="Times New Roman" w:cs="Times New Roman"/>
          <w:sz w:val="20"/>
          <w:szCs w:val="20"/>
          <w:u w:color="FF0000"/>
        </w:rPr>
        <w:t xml:space="preserve"> (mg</w:t>
      </w:r>
      <w:r w:rsidRPr="002A173D">
        <w:rPr>
          <w:rFonts w:ascii="Cambria Math" w:hAnsi="Cambria Math" w:cs="Cambria Math"/>
          <w:sz w:val="20"/>
          <w:szCs w:val="20"/>
          <w:u w:color="FF0000"/>
        </w:rPr>
        <w:t>⋅</w:t>
      </w:r>
      <w:r w:rsidRPr="002A173D">
        <w:rPr>
          <w:rFonts w:ascii="Times New Roman" w:hAnsi="Times New Roman" w:cs="Times New Roman"/>
          <w:sz w:val="20"/>
          <w:szCs w:val="20"/>
          <w:u w:color="FF0000"/>
        </w:rPr>
        <w:t>g</w:t>
      </w:r>
      <w:r w:rsidRPr="002A173D">
        <w:rPr>
          <w:rFonts w:ascii="Times New Roman" w:hAnsi="Times New Roman" w:cs="Times New Roman"/>
          <w:sz w:val="20"/>
          <w:szCs w:val="20"/>
          <w:u w:color="FF0000"/>
          <w:vertAlign w:val="superscript"/>
        </w:rPr>
        <w:t>-1</w:t>
      </w:r>
      <w:r w:rsidRPr="002A173D">
        <w:rPr>
          <w:rFonts w:ascii="Times New Roman" w:hAnsi="Times New Roman" w:cs="Times New Roman"/>
          <w:sz w:val="20"/>
          <w:szCs w:val="20"/>
          <w:u w:color="FF0000"/>
        </w:rPr>
        <w:t xml:space="preserve"> h</w:t>
      </w:r>
      <w:r w:rsidRPr="002A173D">
        <w:rPr>
          <w:rFonts w:ascii="Times New Roman" w:hAnsi="Times New Roman" w:cs="Times New Roman"/>
          <w:sz w:val="20"/>
          <w:szCs w:val="20"/>
          <w:u w:color="FF0000"/>
          <w:vertAlign w:val="superscript"/>
        </w:rPr>
        <w:t>-1/2</w:t>
      </w:r>
      <w:r w:rsidRPr="002A173D">
        <w:rPr>
          <w:rFonts w:ascii="Times New Roman" w:hAnsi="Times New Roman" w:cs="Times New Roman"/>
          <w:sz w:val="20"/>
          <w:szCs w:val="20"/>
          <w:u w:color="FF0000"/>
        </w:rPr>
        <w:t>) and k</w:t>
      </w:r>
      <w:r w:rsidRPr="002A173D">
        <w:rPr>
          <w:rFonts w:ascii="Times New Roman" w:hAnsi="Times New Roman" w:cs="Times New Roman"/>
          <w:sz w:val="20"/>
          <w:szCs w:val="20"/>
          <w:u w:color="FF0000"/>
          <w:vertAlign w:val="subscript"/>
        </w:rPr>
        <w:t>b</w:t>
      </w:r>
      <w:r w:rsidRPr="002A173D">
        <w:rPr>
          <w:rFonts w:ascii="Times New Roman" w:hAnsi="Times New Roman" w:cs="Times New Roman"/>
          <w:sz w:val="20"/>
          <w:szCs w:val="20"/>
          <w:u w:color="FF0000"/>
        </w:rPr>
        <w:t xml:space="preserve"> (h</w:t>
      </w:r>
      <w:r w:rsidRPr="002A173D">
        <w:rPr>
          <w:rFonts w:ascii="Times New Roman" w:hAnsi="Times New Roman" w:cs="Times New Roman"/>
          <w:sz w:val="20"/>
          <w:szCs w:val="20"/>
          <w:u w:color="FF0000"/>
          <w:vertAlign w:val="superscript"/>
        </w:rPr>
        <w:t>−1</w:t>
      </w:r>
      <w:r w:rsidRPr="002A173D">
        <w:rPr>
          <w:rFonts w:ascii="Times New Roman" w:hAnsi="Times New Roman" w:cs="Times New Roman"/>
          <w:sz w:val="20"/>
          <w:szCs w:val="20"/>
          <w:u w:color="FF0000"/>
        </w:rPr>
        <w:t>) are the intra-particle diffusion and Boyd film diffusion rate constants, respectively. C (mg</w:t>
      </w:r>
      <w:r w:rsidRPr="002A173D">
        <w:rPr>
          <w:rFonts w:ascii="Cambria Math" w:hAnsi="Cambria Math" w:cs="Cambria Math"/>
          <w:sz w:val="20"/>
          <w:szCs w:val="20"/>
          <w:u w:color="FF0000"/>
        </w:rPr>
        <w:t>⋅</w:t>
      </w:r>
      <w:r w:rsidRPr="002A173D">
        <w:rPr>
          <w:rFonts w:ascii="Times New Roman" w:hAnsi="Times New Roman" w:cs="Times New Roman"/>
          <w:sz w:val="20"/>
          <w:szCs w:val="20"/>
          <w:u w:color="FF0000"/>
        </w:rPr>
        <w:t>g</w:t>
      </w:r>
      <w:r w:rsidRPr="002A173D">
        <w:rPr>
          <w:rFonts w:ascii="Times New Roman" w:hAnsi="Times New Roman" w:cs="Times New Roman"/>
          <w:sz w:val="20"/>
          <w:szCs w:val="20"/>
          <w:u w:color="FF0000"/>
          <w:vertAlign w:val="superscript"/>
        </w:rPr>
        <w:t>-1</w:t>
      </w:r>
      <w:r w:rsidRPr="002A173D">
        <w:rPr>
          <w:rFonts w:ascii="Times New Roman" w:hAnsi="Times New Roman" w:cs="Times New Roman"/>
          <w:sz w:val="20"/>
          <w:szCs w:val="20"/>
          <w:u w:color="FF0000"/>
        </w:rPr>
        <w:t>) shows the thickness of adsorption layer. F (F=q</w:t>
      </w:r>
      <w:r w:rsidRPr="002A173D">
        <w:rPr>
          <w:rFonts w:ascii="Times New Roman" w:hAnsi="Times New Roman" w:cs="Times New Roman"/>
          <w:sz w:val="20"/>
          <w:szCs w:val="20"/>
          <w:u w:color="FF0000"/>
          <w:vertAlign w:val="subscript"/>
        </w:rPr>
        <w:t>t</w:t>
      </w:r>
      <w:r w:rsidRPr="002A173D">
        <w:rPr>
          <w:rFonts w:ascii="Times New Roman" w:hAnsi="Times New Roman" w:cs="Times New Roman"/>
          <w:sz w:val="20"/>
          <w:szCs w:val="20"/>
          <w:u w:color="FF0000"/>
        </w:rPr>
        <w:t>/q</w:t>
      </w:r>
      <w:r w:rsidRPr="002A173D">
        <w:rPr>
          <w:rFonts w:ascii="Times New Roman" w:hAnsi="Times New Roman" w:cs="Times New Roman"/>
          <w:sz w:val="20"/>
          <w:szCs w:val="20"/>
          <w:u w:color="FF0000"/>
          <w:vertAlign w:val="subscript"/>
        </w:rPr>
        <w:t>e</w:t>
      </w:r>
      <w:r w:rsidRPr="002A173D">
        <w:rPr>
          <w:rFonts w:ascii="Times New Roman" w:hAnsi="Times New Roman" w:cs="Times New Roman"/>
          <w:sz w:val="20"/>
          <w:szCs w:val="20"/>
          <w:u w:color="FF0000"/>
        </w:rPr>
        <w:t xml:space="preserve">) is the fractional attainment of equilibrium at different time t. </w:t>
      </w:r>
      <w:r w:rsidRPr="002A173D">
        <w:rPr>
          <w:rFonts w:ascii="Times New Roman" w:hAnsi="Times New Roman" w:cs="Times New Roman"/>
          <w:i/>
          <w:iCs/>
          <w:sz w:val="20"/>
          <w:szCs w:val="20"/>
          <w:u w:color="FF0000"/>
        </w:rPr>
        <w:t>q</w:t>
      </w:r>
      <w:r w:rsidRPr="002A173D">
        <w:rPr>
          <w:rFonts w:ascii="Times New Roman" w:hAnsi="Times New Roman" w:cs="Times New Roman"/>
          <w:sz w:val="20"/>
          <w:szCs w:val="20"/>
          <w:u w:color="FF0000"/>
          <w:vertAlign w:val="subscript"/>
        </w:rPr>
        <w:t>e</w:t>
      </w:r>
      <w:r w:rsidRPr="002A173D">
        <w:rPr>
          <w:rFonts w:ascii="Times New Roman" w:hAnsi="Times New Roman" w:cs="Times New Roman"/>
          <w:sz w:val="20"/>
          <w:szCs w:val="20"/>
          <w:u w:color="FF0000"/>
        </w:rPr>
        <w:t xml:space="preserve"> and </w:t>
      </w:r>
      <w:r w:rsidRPr="002A173D">
        <w:rPr>
          <w:rFonts w:ascii="Times New Roman" w:hAnsi="Times New Roman" w:cs="Times New Roman"/>
          <w:i/>
          <w:iCs/>
          <w:sz w:val="20"/>
          <w:szCs w:val="20"/>
          <w:u w:color="FF0000"/>
        </w:rPr>
        <w:t>q</w:t>
      </w:r>
      <w:r w:rsidRPr="002A173D">
        <w:rPr>
          <w:rFonts w:ascii="Times New Roman" w:hAnsi="Times New Roman" w:cs="Times New Roman"/>
          <w:sz w:val="20"/>
          <w:szCs w:val="20"/>
          <w:u w:color="FF0000"/>
          <w:vertAlign w:val="subscript"/>
        </w:rPr>
        <w:t>t</w:t>
      </w:r>
      <w:r w:rsidRPr="002A173D">
        <w:rPr>
          <w:rFonts w:ascii="Times New Roman" w:hAnsi="Times New Roman" w:cs="Times New Roman"/>
          <w:sz w:val="20"/>
          <w:szCs w:val="20"/>
          <w:u w:color="FF0000"/>
        </w:rPr>
        <w:t xml:space="preserve"> are the amounts of </w:t>
      </w:r>
      <w:r w:rsidR="00765559" w:rsidRPr="002A173D">
        <w:rPr>
          <w:rFonts w:ascii="Times New Roman" w:hAnsi="Times New Roman" w:cs="Times New Roman"/>
          <w:sz w:val="20"/>
          <w:szCs w:val="20"/>
          <w:u w:color="FF0000"/>
        </w:rPr>
        <w:t>Re</w:t>
      </w:r>
      <w:r w:rsidRPr="002A173D">
        <w:rPr>
          <w:rFonts w:ascii="Times New Roman" w:hAnsi="Times New Roman" w:cs="Times New Roman"/>
          <w:sz w:val="20"/>
          <w:szCs w:val="20"/>
          <w:u w:color="FF0000"/>
        </w:rPr>
        <w:t>(V</w:t>
      </w:r>
      <w:r w:rsidR="00765559" w:rsidRPr="002A173D">
        <w:rPr>
          <w:rFonts w:ascii="Times New Roman" w:hAnsi="Times New Roman" w:cs="Times New Roman"/>
          <w:sz w:val="20"/>
          <w:szCs w:val="20"/>
          <w:u w:color="FF0000"/>
        </w:rPr>
        <w:t>I</w:t>
      </w:r>
      <w:r w:rsidRPr="002A173D">
        <w:rPr>
          <w:rFonts w:ascii="Times New Roman" w:hAnsi="Times New Roman" w:cs="Times New Roman"/>
          <w:sz w:val="20"/>
          <w:szCs w:val="20"/>
          <w:u w:color="FF0000"/>
        </w:rPr>
        <w:t>I) adsorbed (mg∙g</w:t>
      </w:r>
      <w:r w:rsidRPr="002A173D">
        <w:rPr>
          <w:rFonts w:ascii="Times New Roman" w:hAnsi="Times New Roman" w:cs="Times New Roman"/>
          <w:sz w:val="20"/>
          <w:szCs w:val="20"/>
          <w:u w:color="FF0000"/>
          <w:vertAlign w:val="superscript"/>
        </w:rPr>
        <w:t>-1</w:t>
      </w:r>
      <w:r w:rsidRPr="002A173D">
        <w:rPr>
          <w:rFonts w:ascii="Times New Roman" w:hAnsi="Times New Roman" w:cs="Times New Roman"/>
          <w:sz w:val="20"/>
          <w:szCs w:val="20"/>
          <w:u w:color="FF0000"/>
        </w:rPr>
        <w:t xml:space="preserve">) at equilibrium and at time </w:t>
      </w:r>
      <w:r w:rsidRPr="002A173D">
        <w:rPr>
          <w:rFonts w:ascii="Times New Roman" w:hAnsi="Times New Roman" w:cs="Times New Roman"/>
          <w:i/>
          <w:iCs/>
          <w:sz w:val="20"/>
          <w:szCs w:val="20"/>
          <w:u w:color="FF0000"/>
        </w:rPr>
        <w:t>t</w:t>
      </w:r>
      <w:r w:rsidRPr="002A173D">
        <w:rPr>
          <w:rFonts w:ascii="Times New Roman" w:hAnsi="Times New Roman" w:cs="Times New Roman"/>
          <w:sz w:val="20"/>
          <w:szCs w:val="20"/>
          <w:u w:color="FF0000"/>
        </w:rPr>
        <w:t>(h), respectively.</w:t>
      </w:r>
      <w:r w:rsidRPr="002A173D">
        <w:rPr>
          <w:rFonts w:ascii="Times New Roman" w:hAnsi="Times New Roman" w:cs="Times New Roman"/>
          <w:sz w:val="20"/>
          <w:szCs w:val="20"/>
        </w:rPr>
        <w:t xml:space="preserve"> </w:t>
      </w:r>
    </w:p>
    <w:p w:rsidR="00DE41B7" w:rsidRPr="002A173D" w:rsidRDefault="00DE41B7" w:rsidP="002A173D">
      <w:pPr>
        <w:spacing w:line="240" w:lineRule="auto"/>
        <w:rPr>
          <w:rFonts w:ascii="Times New Roman" w:eastAsiaTheme="minorEastAsia" w:hAnsi="Times New Roman" w:cs="Times New Roman" w:hint="eastAsia"/>
          <w:sz w:val="20"/>
          <w:szCs w:val="20"/>
          <w:u w:color="FF0000"/>
        </w:rPr>
      </w:pPr>
    </w:p>
    <w:p w:rsidR="00DE41B7" w:rsidRPr="002A173D" w:rsidRDefault="00DE41B7" w:rsidP="002A173D">
      <w:pPr>
        <w:pStyle w:val="ac"/>
        <w:numPr>
          <w:ilvl w:val="0"/>
          <w:numId w:val="7"/>
        </w:numPr>
        <w:spacing w:line="240" w:lineRule="auto"/>
        <w:rPr>
          <w:rFonts w:cs="Times New Roman"/>
          <w:i w:val="0"/>
          <w:color w:val="auto"/>
          <w:sz w:val="20"/>
          <w:szCs w:val="20"/>
        </w:rPr>
      </w:pPr>
      <w:r w:rsidRPr="002A173D">
        <w:rPr>
          <w:rFonts w:cs="Times New Roman"/>
          <w:i w:val="0"/>
          <w:color w:val="auto"/>
          <w:sz w:val="20"/>
          <w:szCs w:val="20"/>
        </w:rPr>
        <w:t>Isotherm Model Fitting</w:t>
      </w:r>
    </w:p>
    <w:p w:rsidR="00DE41B7" w:rsidRPr="002A173D" w:rsidRDefault="00DE41B7" w:rsidP="002A173D">
      <w:pPr>
        <w:spacing w:line="240" w:lineRule="auto"/>
        <w:ind w:firstLineChars="200" w:firstLine="400"/>
        <w:rPr>
          <w:rFonts w:ascii="Times New Roman" w:hAnsi="Times New Roman" w:cs="Times New Roman"/>
          <w:sz w:val="20"/>
          <w:szCs w:val="20"/>
          <w:u w:color="FF0000"/>
        </w:rPr>
      </w:pPr>
      <w:r w:rsidRPr="002A173D">
        <w:rPr>
          <w:rFonts w:ascii="Times New Roman" w:hAnsi="Times New Roman" w:cs="Times New Roman"/>
          <w:sz w:val="20"/>
          <w:szCs w:val="20"/>
          <w:u w:color="FF0000"/>
        </w:rPr>
        <w:t xml:space="preserve">The equilibrium data were fitted using the following models: </w:t>
      </w:r>
      <w:r w:rsidRPr="002A173D">
        <w:rPr>
          <w:rFonts w:ascii="Times New Roman" w:hAnsi="Times New Roman" w:cs="Times New Roman"/>
          <w:sz w:val="20"/>
          <w:szCs w:val="20"/>
        </w:rPr>
        <w:t>Langmuir model, Freundlich model and</w:t>
      </w:r>
      <w:r w:rsidRPr="002A173D">
        <w:rPr>
          <w:rFonts w:ascii="Times New Roman" w:hAnsi="Times New Roman" w:cs="Times New Roman"/>
          <w:sz w:val="20"/>
          <w:szCs w:val="20"/>
          <w:u w:color="FF0000"/>
        </w:rPr>
        <w:t xml:space="preserve"> Temkin model.</w:t>
      </w:r>
    </w:p>
    <w:p w:rsidR="00DE41B7" w:rsidRPr="002A173D" w:rsidRDefault="00DE41B7" w:rsidP="002A173D">
      <w:pPr>
        <w:spacing w:line="240" w:lineRule="auto"/>
        <w:ind w:firstLineChars="200" w:firstLine="400"/>
        <w:rPr>
          <w:rFonts w:ascii="Times New Roman" w:hAnsi="Times New Roman" w:cs="Times New Roman"/>
          <w:sz w:val="20"/>
          <w:szCs w:val="20"/>
        </w:rPr>
      </w:pPr>
      <w:r w:rsidRPr="002A173D">
        <w:rPr>
          <w:rFonts w:ascii="Times New Roman" w:hAnsi="Times New Roman" w:cs="Times New Roman"/>
          <w:sz w:val="20"/>
          <w:szCs w:val="20"/>
        </w:rPr>
        <w:t xml:space="preserve">Generally, the Langmuir model, Freundlich model can be expressed as Eq. (S6, S7) </w:t>
      </w:r>
      <w:r w:rsidRPr="002A173D">
        <w:rPr>
          <w:rFonts w:ascii="Times New Roman" w:hAnsi="Times New Roman" w:cs="Times New Roman"/>
          <w:sz w:val="20"/>
          <w:szCs w:val="20"/>
        </w:rPr>
        <w:fldChar w:fldCharType="begin" w:fldLock="1"/>
      </w:r>
      <w:r w:rsidR="00B04295" w:rsidRPr="002A173D">
        <w:rPr>
          <w:rFonts w:ascii="Times New Roman" w:hAnsi="Times New Roman" w:cs="Times New Roman"/>
          <w:sz w:val="20"/>
          <w:szCs w:val="20"/>
        </w:rPr>
        <w:instrText>ADDIN CSL_CITATION {"citationItems":[{"id":"ITEM-1","itemData":{"DOI":"10.1021/ja02242a004","author":[{"dropping-particle":"","family":"Langmuir","given":"Irving","non-dropping-particle":"","parse-names":false,"suffix":""}],"container-title":"J Am Chem Soc","id":"ITEM-1","issued":{"date-parts":[["1917"]]},"title":"The Adsorption of Gases on Plane Surfaces of Glass, Mica and Platinum","type":"article-journal","volume":"40"},"uris":["http://www.mendeley.com/documents/?uuid=14e68378-b7c2-45bc-a79d-0b62f10c4ea3"]},{"id":"ITEM-2","itemData":{"author":[{"dropping-particle":"","family":"Freundlich","given":"H M F","non-dropping-particle":"","parse-names":false,"suffix":""}],"container-title":"J. Phys. Chem","id":"ITEM-2","issue":"385471","issued":{"date-parts":[["1906"]]},"page":"1100-1107","title":"Over the adsorption in solution","type":"article-journal","volume":"57"},"uris":["http://www.mendeley.com/documents/?uuid=dab0f158-1210-480e-aff8-c45ba3f6f79b"]}],"mendeley":{"formattedCitation":"(Freundlich 1906; Langmuir 1917)","plainTextFormattedCitation":"(Freundlich 1906; Langmuir 1917)","previouslyFormattedCitation":"(Freundlich 1906; Langmuir 1917)"},"properties":{"noteIndex":0},"schema":"https://github.com/citation-style-language/schema/raw/master/csl-citation.json"}</w:instrText>
      </w:r>
      <w:r w:rsidRPr="002A173D">
        <w:rPr>
          <w:rFonts w:ascii="Times New Roman" w:hAnsi="Times New Roman" w:cs="Times New Roman"/>
          <w:sz w:val="20"/>
          <w:szCs w:val="20"/>
        </w:rPr>
        <w:fldChar w:fldCharType="separate"/>
      </w:r>
      <w:r w:rsidR="00B04295" w:rsidRPr="002A173D">
        <w:rPr>
          <w:rFonts w:ascii="Times New Roman" w:hAnsi="Times New Roman" w:cs="Times New Roman"/>
          <w:noProof/>
          <w:sz w:val="20"/>
          <w:szCs w:val="20"/>
        </w:rPr>
        <w:t>(Freundlich 1906; Langmuir 1917)</w:t>
      </w:r>
      <w:r w:rsidRPr="002A173D">
        <w:rPr>
          <w:rFonts w:ascii="Times New Roman" w:hAnsi="Times New Roman" w:cs="Times New Roman"/>
          <w:sz w:val="20"/>
          <w:szCs w:val="20"/>
        </w:rPr>
        <w:fldChar w:fldCharType="end"/>
      </w:r>
    </w:p>
    <w:p w:rsidR="00DE41B7" w:rsidRPr="002A173D" w:rsidRDefault="00DE41B7" w:rsidP="002A173D">
      <w:pPr>
        <w:spacing w:line="240" w:lineRule="auto"/>
        <w:ind w:firstLineChars="200" w:firstLine="400"/>
        <w:jc w:val="center"/>
        <w:rPr>
          <w:rFonts w:ascii="Times New Roman" w:hAnsi="Times New Roman" w:cs="Times New Roman"/>
          <w:sz w:val="20"/>
          <w:szCs w:val="20"/>
        </w:rPr>
      </w:pPr>
      <w:r w:rsidRPr="002A173D">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Ce</m:t>
            </m:r>
          </m:num>
          <m:den>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e</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Ce</m:t>
            </m:r>
          </m:num>
          <m:den>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m</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F</m:t>
                </m:r>
              </m:sub>
            </m:sSub>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m</m:t>
                </m:r>
              </m:sub>
            </m:sSub>
          </m:den>
        </m:f>
      </m:oMath>
      <w:r w:rsidRPr="002A173D">
        <w:rPr>
          <w:rFonts w:ascii="Times New Roman" w:hAnsi="Times New Roman" w:cs="Times New Roman"/>
          <w:sz w:val="20"/>
          <w:szCs w:val="20"/>
        </w:rPr>
        <w:t xml:space="preserve">     (S6)</w:t>
      </w:r>
    </w:p>
    <w:p w:rsidR="00DE41B7" w:rsidRPr="002A173D" w:rsidRDefault="00DE41B7" w:rsidP="002A173D">
      <w:pPr>
        <w:spacing w:line="240" w:lineRule="auto"/>
        <w:jc w:val="center"/>
        <w:rPr>
          <w:rFonts w:ascii="Times New Roman" w:hAnsi="Times New Roman" w:cs="Times New Roman"/>
          <w:sz w:val="20"/>
          <w:szCs w:val="20"/>
        </w:rPr>
      </w:pPr>
      <m:oMath>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e</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F</m:t>
            </m:r>
          </m:sub>
        </m:sSub>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e</m:t>
                </m:r>
              </m:sub>
            </m:sSub>
          </m:e>
          <m:sup>
            <m:f>
              <m:fPr>
                <m:type m:val="lin"/>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sup>
        </m:sSup>
      </m:oMath>
      <w:r w:rsidRPr="002A173D">
        <w:rPr>
          <w:rFonts w:ascii="Times New Roman" w:hAnsi="Times New Roman" w:cs="Times New Roman"/>
          <w:sz w:val="20"/>
          <w:szCs w:val="20"/>
        </w:rPr>
        <w:t xml:space="preserve">       (S7)</w:t>
      </w:r>
    </w:p>
    <w:p w:rsidR="00DE41B7" w:rsidRPr="002A173D" w:rsidRDefault="00DE41B7" w:rsidP="002A173D">
      <w:pPr>
        <w:spacing w:line="240" w:lineRule="auto"/>
        <w:ind w:firstLineChars="200" w:firstLine="400"/>
        <w:rPr>
          <w:rFonts w:ascii="Times New Roman" w:hAnsi="Times New Roman" w:cs="Times New Roman"/>
          <w:sz w:val="20"/>
          <w:szCs w:val="20"/>
        </w:rPr>
      </w:pPr>
      <w:r w:rsidRPr="002A173D">
        <w:rPr>
          <w:rFonts w:ascii="Times New Roman" w:hAnsi="Times New Roman" w:cs="Times New Roman"/>
          <w:sz w:val="20"/>
          <w:szCs w:val="20"/>
        </w:rPr>
        <w:lastRenderedPageBreak/>
        <w:t xml:space="preserve">Where </w:t>
      </w:r>
      <w:r w:rsidRPr="002A173D">
        <w:rPr>
          <w:rFonts w:ascii="Times New Roman" w:hAnsi="Times New Roman" w:cs="Times New Roman"/>
          <w:i/>
          <w:iCs/>
          <w:sz w:val="20"/>
          <w:szCs w:val="20"/>
        </w:rPr>
        <w:t>q</w:t>
      </w:r>
      <w:r w:rsidRPr="002A173D">
        <w:rPr>
          <w:rFonts w:ascii="Times New Roman" w:hAnsi="Times New Roman" w:cs="Times New Roman"/>
          <w:sz w:val="20"/>
          <w:szCs w:val="20"/>
          <w:vertAlign w:val="subscript"/>
        </w:rPr>
        <w:t>e</w:t>
      </w:r>
      <w:r w:rsidRPr="002A173D">
        <w:rPr>
          <w:rFonts w:ascii="Times New Roman" w:hAnsi="Times New Roman" w:cs="Times New Roman"/>
          <w:sz w:val="20"/>
          <w:szCs w:val="20"/>
        </w:rPr>
        <w:t xml:space="preserve"> is the adsorption amount at equilibrium (mg∙g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xml:space="preserve">) and </w:t>
      </w:r>
      <w:r w:rsidRPr="002A173D">
        <w:rPr>
          <w:rFonts w:ascii="Times New Roman" w:hAnsi="Times New Roman" w:cs="Times New Roman"/>
          <w:i/>
          <w:iCs/>
          <w:sz w:val="20"/>
          <w:szCs w:val="20"/>
        </w:rPr>
        <w:t>C</w:t>
      </w:r>
      <w:r w:rsidRPr="002A173D">
        <w:rPr>
          <w:rFonts w:ascii="Times New Roman" w:hAnsi="Times New Roman" w:cs="Times New Roman"/>
          <w:sz w:val="20"/>
          <w:szCs w:val="20"/>
          <w:vertAlign w:val="subscript"/>
        </w:rPr>
        <w:t>e</w:t>
      </w:r>
      <w:r w:rsidRPr="002A173D">
        <w:rPr>
          <w:rFonts w:ascii="Times New Roman" w:hAnsi="Times New Roman" w:cs="Times New Roman"/>
          <w:sz w:val="20"/>
          <w:szCs w:val="20"/>
        </w:rPr>
        <w:t xml:space="preserve"> is the equilibrium concentration (mg∙L</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xml:space="preserve">), </w:t>
      </w:r>
      <w:r w:rsidRPr="002A173D">
        <w:rPr>
          <w:rFonts w:ascii="Times New Roman" w:hAnsi="Times New Roman" w:cs="Times New Roman"/>
          <w:i/>
          <w:iCs/>
          <w:sz w:val="20"/>
          <w:szCs w:val="20"/>
        </w:rPr>
        <w:t>q</w:t>
      </w:r>
      <w:r w:rsidRPr="002A173D">
        <w:rPr>
          <w:rFonts w:ascii="Times New Roman" w:hAnsi="Times New Roman" w:cs="Times New Roman"/>
          <w:sz w:val="20"/>
          <w:szCs w:val="20"/>
          <w:vertAlign w:val="subscript"/>
        </w:rPr>
        <w:t>m</w:t>
      </w:r>
      <w:r w:rsidRPr="002A173D">
        <w:rPr>
          <w:rFonts w:ascii="Times New Roman" w:hAnsi="Times New Roman" w:cs="Times New Roman"/>
          <w:sz w:val="20"/>
          <w:szCs w:val="20"/>
        </w:rPr>
        <w:t xml:space="preserve"> is the theoretical maximum adsorption amount (mg∙g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K</w:t>
      </w:r>
      <w:r w:rsidRPr="002A173D">
        <w:rPr>
          <w:rFonts w:ascii="Times New Roman" w:hAnsi="Times New Roman" w:cs="Times New Roman"/>
          <w:sz w:val="20"/>
          <w:szCs w:val="20"/>
          <w:vertAlign w:val="subscript"/>
        </w:rPr>
        <w:t xml:space="preserve">L </w:t>
      </w:r>
      <w:r w:rsidRPr="002A173D">
        <w:rPr>
          <w:rFonts w:ascii="Times New Roman" w:hAnsi="Times New Roman" w:cs="Times New Roman"/>
          <w:sz w:val="20"/>
          <w:szCs w:val="20"/>
        </w:rPr>
        <w:t>(L∙mg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and K</w:t>
      </w:r>
      <w:r w:rsidRPr="002A173D">
        <w:rPr>
          <w:rFonts w:ascii="Times New Roman" w:hAnsi="Times New Roman" w:cs="Times New Roman"/>
          <w:sz w:val="20"/>
          <w:szCs w:val="20"/>
          <w:vertAlign w:val="subscript"/>
        </w:rPr>
        <w:t xml:space="preserve">F </w:t>
      </w:r>
      <w:r w:rsidRPr="002A173D">
        <w:rPr>
          <w:rFonts w:ascii="Times New Roman" w:hAnsi="Times New Roman" w:cs="Times New Roman"/>
          <w:sz w:val="20"/>
          <w:szCs w:val="20"/>
        </w:rPr>
        <w:t>[(mg</w:t>
      </w:r>
      <w:r w:rsidRPr="002A173D">
        <w:rPr>
          <w:rFonts w:ascii="Cambria Math" w:hAnsi="Cambria Math" w:cs="Cambria Math"/>
          <w:sz w:val="20"/>
          <w:szCs w:val="20"/>
        </w:rPr>
        <w:t>⋅</w:t>
      </w:r>
      <w:r w:rsidRPr="002A173D">
        <w:rPr>
          <w:rFonts w:ascii="Times New Roman" w:hAnsi="Times New Roman" w:cs="Times New Roman"/>
          <w:sz w:val="20"/>
          <w:szCs w:val="20"/>
        </w:rPr>
        <w:t>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(L mg</w:t>
      </w:r>
      <w:r w:rsidRPr="002A173D">
        <w:rPr>
          <w:rFonts w:ascii="Times New Roman" w:hAnsi="Times New Roman" w:cs="Times New Roman"/>
          <w:sz w:val="20"/>
          <w:szCs w:val="20"/>
          <w:vertAlign w:val="superscript"/>
        </w:rPr>
        <w:t>−1</w:t>
      </w:r>
      <w:r w:rsidRPr="002A173D">
        <w:rPr>
          <w:rFonts w:ascii="Times New Roman" w:hAnsi="Times New Roman" w:cs="Times New Roman"/>
          <w:sz w:val="20"/>
          <w:szCs w:val="20"/>
        </w:rPr>
        <w:t xml:space="preserve">) </w:t>
      </w:r>
      <w:r w:rsidRPr="002A173D">
        <w:rPr>
          <w:rFonts w:ascii="Times New Roman" w:hAnsi="Times New Roman" w:cs="Times New Roman"/>
          <w:sz w:val="20"/>
          <w:szCs w:val="20"/>
          <w:vertAlign w:val="superscript"/>
        </w:rPr>
        <w:t>(1/n)</w:t>
      </w:r>
      <w:r w:rsidRPr="002A173D">
        <w:rPr>
          <w:rFonts w:ascii="Times New Roman" w:hAnsi="Times New Roman" w:cs="Times New Roman"/>
          <w:sz w:val="20"/>
          <w:szCs w:val="20"/>
        </w:rPr>
        <w:t xml:space="preserve">] are the Langmuir and empirical constants, respectively; </w:t>
      </w:r>
      <w:r w:rsidRPr="002A173D">
        <w:rPr>
          <w:rFonts w:ascii="Times New Roman" w:hAnsi="Times New Roman" w:cs="Times New Roman"/>
          <w:i/>
          <w:iCs/>
          <w:sz w:val="20"/>
          <w:szCs w:val="20"/>
        </w:rPr>
        <w:t>n</w:t>
      </w:r>
      <w:r w:rsidRPr="002A173D">
        <w:rPr>
          <w:rFonts w:ascii="Times New Roman" w:hAnsi="Times New Roman" w:cs="Times New Roman"/>
          <w:sz w:val="20"/>
          <w:szCs w:val="20"/>
        </w:rPr>
        <w:t xml:space="preserve"> represents the adsorption intensity or surface heterogeneity of the sample. K</w:t>
      </w:r>
      <w:r w:rsidRPr="002A173D">
        <w:rPr>
          <w:rFonts w:ascii="Times New Roman" w:hAnsi="Times New Roman" w:cs="Times New Roman"/>
          <w:sz w:val="20"/>
          <w:szCs w:val="20"/>
          <w:vertAlign w:val="subscript"/>
        </w:rPr>
        <w:t>DR</w:t>
      </w:r>
      <w:r w:rsidRPr="002A173D">
        <w:rPr>
          <w:rFonts w:ascii="Times New Roman" w:hAnsi="Times New Roman" w:cs="Times New Roman"/>
          <w:sz w:val="20"/>
          <w:szCs w:val="20"/>
        </w:rPr>
        <w:t xml:space="preserve"> is a constant related to sorption energy (mol</w:t>
      </w:r>
      <w:r w:rsidRPr="002A173D">
        <w:rPr>
          <w:rFonts w:ascii="Times New Roman" w:hAnsi="Times New Roman" w:cs="Times New Roman"/>
          <w:sz w:val="20"/>
          <w:szCs w:val="20"/>
          <w:vertAlign w:val="superscript"/>
        </w:rPr>
        <w:t>2</w:t>
      </w:r>
      <w:r w:rsidRPr="002A173D">
        <w:rPr>
          <w:rFonts w:ascii="Cambria Math" w:eastAsia="Cambria Math" w:hAnsi="Cambria Math" w:cs="Cambria Math"/>
          <w:sz w:val="20"/>
          <w:szCs w:val="20"/>
        </w:rPr>
        <w:t>⋅</w:t>
      </w:r>
      <w:r w:rsidRPr="002A173D">
        <w:rPr>
          <w:rFonts w:ascii="Times New Roman" w:hAnsi="Times New Roman" w:cs="Times New Roman"/>
          <w:sz w:val="20"/>
          <w:szCs w:val="20"/>
        </w:rPr>
        <w:t>kJ</w:t>
      </w:r>
      <w:r w:rsidRPr="002A173D">
        <w:rPr>
          <w:rFonts w:ascii="Times New Roman" w:hAnsi="Times New Roman" w:cs="Times New Roman"/>
          <w:sz w:val="20"/>
          <w:szCs w:val="20"/>
          <w:vertAlign w:val="superscript"/>
        </w:rPr>
        <w:t>−2</w:t>
      </w:r>
      <w:r w:rsidRPr="002A173D">
        <w:rPr>
          <w:rFonts w:ascii="Times New Roman" w:hAnsi="Times New Roman" w:cs="Times New Roman"/>
          <w:sz w:val="20"/>
          <w:szCs w:val="20"/>
        </w:rPr>
        <w:t>).</w:t>
      </w:r>
    </w:p>
    <w:p w:rsidR="004C1B27" w:rsidRPr="002A173D" w:rsidRDefault="004C1B27" w:rsidP="002A173D">
      <w:pPr>
        <w:spacing w:line="240" w:lineRule="auto"/>
        <w:rPr>
          <w:rFonts w:ascii="Times New Roman" w:eastAsiaTheme="minorEastAsia" w:hAnsi="Times New Roman" w:cs="Times New Roman"/>
          <w:color w:val="FF0000"/>
          <w:sz w:val="20"/>
          <w:szCs w:val="20"/>
        </w:rPr>
      </w:pPr>
    </w:p>
    <w:p w:rsidR="004C1B27" w:rsidRPr="002A173D" w:rsidRDefault="004C1B27" w:rsidP="002A173D">
      <w:pPr>
        <w:spacing w:line="240" w:lineRule="auto"/>
        <w:rPr>
          <w:rFonts w:ascii="Times New Roman" w:eastAsiaTheme="minorEastAsia" w:hAnsi="Times New Roman" w:cs="Times New Roman"/>
          <w:sz w:val="20"/>
          <w:szCs w:val="20"/>
        </w:rPr>
        <w:sectPr w:rsidR="004C1B27" w:rsidRPr="002A173D" w:rsidSect="00DE47D4">
          <w:footerReference w:type="default" r:id="rId8"/>
          <w:type w:val="continuous"/>
          <w:pgSz w:w="11906" w:h="16838"/>
          <w:pgMar w:top="1440" w:right="1800" w:bottom="1440" w:left="1800" w:header="851" w:footer="992" w:gutter="0"/>
          <w:lnNumType w:countBy="1" w:restart="continuous"/>
          <w:cols w:space="425"/>
          <w:docGrid w:type="lines" w:linePitch="326"/>
        </w:sectPr>
      </w:pPr>
    </w:p>
    <w:p w:rsidR="00395A01" w:rsidRPr="002A173D" w:rsidRDefault="00395A01" w:rsidP="002A173D">
      <w:pPr>
        <w:spacing w:after="160" w:line="240" w:lineRule="auto"/>
        <w:ind w:firstLineChars="50" w:firstLine="100"/>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lastRenderedPageBreak/>
        <w:t>S3 FTIR analysis and SEM analysis</w:t>
      </w:r>
    </w:p>
    <w:p w:rsidR="00395A01" w:rsidRPr="002A173D" w:rsidRDefault="00395A01" w:rsidP="002A173D">
      <w:pPr>
        <w:spacing w:after="160" w:line="240" w:lineRule="auto"/>
        <w:rPr>
          <w:rFonts w:ascii="Times New Roman" w:eastAsiaTheme="minorEastAsia" w:hAnsi="Times New Roman" w:cs="Times New Roman"/>
          <w:sz w:val="20"/>
          <w:szCs w:val="20"/>
        </w:rPr>
      </w:pPr>
      <w:r w:rsidRPr="002A173D">
        <w:rPr>
          <w:rFonts w:ascii="Times New Roman" w:eastAsiaTheme="minorEastAsia" w:hAnsi="Times New Roman" w:cs="Times New Roman"/>
          <w:noProof/>
          <w:sz w:val="20"/>
          <w:szCs w:val="20"/>
        </w:rPr>
        <w:drawing>
          <wp:inline distT="0" distB="0" distL="0" distR="0">
            <wp:extent cx="2451100" cy="19748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8885" t="8524" r="12886" b="1817"/>
                    <a:stretch>
                      <a:fillRect/>
                    </a:stretch>
                  </pic:blipFill>
                  <pic:spPr bwMode="auto">
                    <a:xfrm>
                      <a:off x="0" y="0"/>
                      <a:ext cx="2451100" cy="1974850"/>
                    </a:xfrm>
                    <a:prstGeom prst="rect">
                      <a:avLst/>
                    </a:prstGeom>
                    <a:noFill/>
                    <a:ln>
                      <a:noFill/>
                    </a:ln>
                  </pic:spPr>
                </pic:pic>
              </a:graphicData>
            </a:graphic>
          </wp:inline>
        </w:drawing>
      </w:r>
      <w:r w:rsidRPr="002A173D">
        <w:rPr>
          <w:rFonts w:ascii="Times New Roman" w:eastAsiaTheme="minorEastAsia" w:hAnsi="Times New Roman" w:cs="Times New Roman"/>
          <w:noProof/>
          <w:sz w:val="20"/>
          <w:szCs w:val="20"/>
        </w:rPr>
        <w:drawing>
          <wp:inline distT="0" distB="0" distL="0" distR="0" wp14:anchorId="46C4B49C" wp14:editId="0351B093">
            <wp:extent cx="2702541" cy="2010588"/>
            <wp:effectExtent l="0" t="0" r="3175"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5966" cy="2013136"/>
                    </a:xfrm>
                    <a:prstGeom prst="rect">
                      <a:avLst/>
                    </a:prstGeom>
                    <a:noFill/>
                  </pic:spPr>
                </pic:pic>
              </a:graphicData>
            </a:graphic>
          </wp:inline>
        </w:drawing>
      </w:r>
    </w:p>
    <w:p w:rsidR="00395A01" w:rsidRPr="002A173D" w:rsidRDefault="00395A01" w:rsidP="002A173D">
      <w:pPr>
        <w:spacing w:after="160" w:line="240" w:lineRule="auto"/>
        <w:jc w:val="center"/>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t>Fig S1. FTIR image of MCC, MCC-g-GMA, 3-ATAR (A);SEM image of (a) MCC; (b) MCC-g-GMA; (c) 3-ATAR(B)</w:t>
      </w:r>
    </w:p>
    <w:p w:rsidR="00395A01" w:rsidRPr="002A173D" w:rsidRDefault="00395A01" w:rsidP="002A173D">
      <w:pPr>
        <w:spacing w:after="160" w:line="240" w:lineRule="auto"/>
        <w:ind w:firstLineChars="200" w:firstLine="400"/>
        <w:jc w:val="both"/>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t>The FTIR spectra of MCC, MCC-g-GMA and 3-ATAR are shown in Fig. 2. The characteristic absorption band of epoxide group at 906 cm</w:t>
      </w:r>
      <w:r w:rsidRPr="002A173D">
        <w:rPr>
          <w:rFonts w:ascii="Times New Roman" w:eastAsiaTheme="minorEastAsia" w:hAnsi="Times New Roman" w:cs="Times New Roman"/>
          <w:sz w:val="20"/>
          <w:szCs w:val="20"/>
          <w:vertAlign w:val="superscript"/>
        </w:rPr>
        <w:t>-1</w:t>
      </w:r>
      <w:r w:rsidRPr="002A173D">
        <w:rPr>
          <w:rFonts w:ascii="Times New Roman" w:eastAsiaTheme="minorEastAsia" w:hAnsi="Times New Roman" w:cs="Times New Roman"/>
          <w:sz w:val="20"/>
          <w:szCs w:val="20"/>
        </w:rPr>
        <w:t xml:space="preserve"> and 843 cm</w:t>
      </w:r>
      <w:r w:rsidRPr="002A173D">
        <w:rPr>
          <w:rFonts w:ascii="Times New Roman" w:eastAsiaTheme="minorEastAsia" w:hAnsi="Times New Roman" w:cs="Times New Roman"/>
          <w:sz w:val="20"/>
          <w:szCs w:val="20"/>
          <w:vertAlign w:val="superscript"/>
        </w:rPr>
        <w:t>-1</w:t>
      </w:r>
      <w:r w:rsidRPr="002A173D">
        <w:rPr>
          <w:rFonts w:ascii="Times New Roman" w:eastAsiaTheme="minorEastAsia" w:hAnsi="Times New Roman" w:cs="Times New Roman"/>
          <w:sz w:val="20"/>
          <w:szCs w:val="20"/>
        </w:rPr>
        <w:t xml:space="preserve"> and carbonyl group (C=O) at 1720 cm</w:t>
      </w:r>
      <w:r w:rsidRPr="002A173D">
        <w:rPr>
          <w:rFonts w:ascii="Times New Roman" w:eastAsiaTheme="minorEastAsia" w:hAnsi="Times New Roman" w:cs="Times New Roman"/>
          <w:sz w:val="20"/>
          <w:szCs w:val="20"/>
          <w:vertAlign w:val="superscript"/>
        </w:rPr>
        <w:t>-1</w:t>
      </w:r>
      <w:r w:rsidRPr="002A173D">
        <w:rPr>
          <w:rFonts w:ascii="Times New Roman" w:eastAsiaTheme="minorEastAsia" w:hAnsi="Times New Roman" w:cs="Times New Roman"/>
          <w:sz w:val="20"/>
          <w:szCs w:val="20"/>
        </w:rPr>
        <w:t xml:space="preserve"> indicated that the GMA was successful grafted onto the MCC. The absorption bands of N-H at 1567 cm</w:t>
      </w:r>
      <w:r w:rsidRPr="002A173D">
        <w:rPr>
          <w:rFonts w:ascii="Times New Roman" w:eastAsiaTheme="minorEastAsia" w:hAnsi="Times New Roman" w:cs="Times New Roman"/>
          <w:sz w:val="20"/>
          <w:szCs w:val="20"/>
          <w:vertAlign w:val="superscript"/>
        </w:rPr>
        <w:t>−1</w:t>
      </w:r>
      <w:r w:rsidRPr="002A173D">
        <w:rPr>
          <w:rFonts w:ascii="Times New Roman" w:eastAsiaTheme="minorEastAsia" w:hAnsi="Times New Roman" w:cs="Times New Roman"/>
          <w:sz w:val="20"/>
          <w:szCs w:val="20"/>
        </w:rPr>
        <w:t xml:space="preserve"> and the band of the –C–N– in the triazole</w:t>
      </w:r>
      <w:r w:rsidRPr="002A173D">
        <w:rPr>
          <w:rFonts w:ascii="Times New Roman" w:eastAsiaTheme="minorEastAsia" w:hAnsi="Times New Roman" w:cs="Times New Roman"/>
          <w:color w:val="2E3033"/>
          <w:sz w:val="20"/>
          <w:szCs w:val="20"/>
          <w:shd w:val="clear" w:color="auto" w:fill="FFFFFF"/>
        </w:rPr>
        <w:t xml:space="preserve"> </w:t>
      </w:r>
      <w:r w:rsidRPr="002A173D">
        <w:rPr>
          <w:rFonts w:ascii="Times New Roman" w:eastAsiaTheme="minorEastAsia" w:hAnsi="Times New Roman" w:cs="Times New Roman"/>
          <w:sz w:val="20"/>
          <w:szCs w:val="20"/>
        </w:rPr>
        <w:t>rings at 1110 cm</w:t>
      </w:r>
      <w:r w:rsidRPr="002A173D">
        <w:rPr>
          <w:rFonts w:ascii="Times New Roman" w:eastAsiaTheme="minorEastAsia" w:hAnsi="Times New Roman" w:cs="Times New Roman"/>
          <w:sz w:val="20"/>
          <w:szCs w:val="20"/>
          <w:vertAlign w:val="superscript"/>
        </w:rPr>
        <w:t xml:space="preserve">-1 </w:t>
      </w:r>
      <w:r w:rsidRPr="002A173D">
        <w:rPr>
          <w:rFonts w:ascii="Times New Roman" w:eastAsiaTheme="minorEastAsia" w:hAnsi="Times New Roman" w:cs="Times New Roman"/>
          <w:sz w:val="20"/>
          <w:szCs w:val="20"/>
        </w:rPr>
        <w:t xml:space="preserve">in 3-ATAR </w:t>
      </w:r>
      <w:r w:rsidRPr="002A173D">
        <w:rPr>
          <w:rFonts w:ascii="Times New Roman" w:eastAsiaTheme="minorEastAsia" w:hAnsi="Times New Roman" w:cs="Times New Roman"/>
          <w:sz w:val="20"/>
          <w:szCs w:val="20"/>
        </w:rPr>
        <w:fldChar w:fldCharType="begin" w:fldLock="1"/>
      </w:r>
      <w:r w:rsidR="00B04295" w:rsidRPr="002A173D">
        <w:rPr>
          <w:rFonts w:ascii="Times New Roman" w:eastAsiaTheme="minorEastAsia" w:hAnsi="Times New Roman" w:cs="Times New Roman"/>
          <w:sz w:val="20"/>
          <w:szCs w:val="20"/>
        </w:rPr>
        <w:instrText>ADDIN CSL_CITATION {"citationItems":[{"id":"ITEM-1","itemData":{"DOI":"10.1007/s11237-016-9448-8","ISSN":"1573935X","abstract":"© 2016, Springer Science+Business Media New York.Structure of three new uranyl complexes with 3-(2-hydroxyphenyl)-5-(2-pyridyl)-1,2,4-triazoles was proposed basing on IR, UV spectroscopy, NMR and MALDI mass spectrometry data analysis. It was shown prospective using of triazoles as analytical reagents for fluorescence determination of uranyl ion.","author":[{"dropping-particle":"V.","family":"Vashchenko","given":"O.","non-dropping-particle":"","parse-names":false,"suffix":""},{"dropping-particle":"","family":"Khomenko","given":"D. M.","non-dropping-particle":"","parse-names":false,"suffix":""},{"dropping-particle":"","family":"Doroshchuk","given":"R. O.","non-dropping-particle":"","parse-names":false,"suffix":""},{"dropping-particle":"V.","family":"Severynovska","given":"O.","non-dropping-particle":"","parse-names":false,"suffix":""},{"dropping-particle":"","family":"Starova","given":"V. S.","non-dropping-particle":"","parse-names":false,"suffix":""},{"dropping-particle":"V.","family":"Trachevsky","given":"V.","non-dropping-particle":"","parse-names":false,"suffix":""},{"dropping-particle":"","family":"Lampeka","given":"R. D.","non-dropping-particle":"","parse-names":false,"suffix":""}],"container-title":"Theoretical and Experimental Chemistry","id":"ITEM-1","issue":"1","issued":{"date-parts":[["2016"]]},"page":"38-43","title":"Structure and Fluorescence Properties of Uranyl Ion Complexes with 3-(2-Hydroxyphenyl)-5-(2-Pyridyl)-1,2,4-Triazole Derivatives","type":"article-journal","volume":"52"},"uris":["http://www.mendeley.com/documents/?uuid=325c9b75-c4fa-48e8-b993-9b4a85f93250","http://www.mendeley.com/documents/?uuid=d0f0484e-e58e-44c1-9e47-87dec682d1ad"]}],"mendeley":{"formattedCitation":"(Vashchenko et al. 2016)","plainTextFormattedCitation":"(Vashchenko et al. 2016)","previouslyFormattedCitation":"(Vashchenko et al. 2016)"},"properties":{"noteIndex":0},"schema":"https://github.com/citation-style-language/schema/raw/master/csl-citation.json"}</w:instrText>
      </w:r>
      <w:r w:rsidRPr="002A173D">
        <w:rPr>
          <w:rFonts w:ascii="Times New Roman" w:eastAsiaTheme="minorEastAsia" w:hAnsi="Times New Roman" w:cs="Times New Roman"/>
          <w:sz w:val="20"/>
          <w:szCs w:val="20"/>
        </w:rPr>
        <w:fldChar w:fldCharType="separate"/>
      </w:r>
      <w:r w:rsidR="00B04295" w:rsidRPr="002A173D">
        <w:rPr>
          <w:rFonts w:ascii="Times New Roman" w:eastAsiaTheme="minorEastAsia" w:hAnsi="Times New Roman" w:cs="Times New Roman"/>
          <w:noProof/>
          <w:sz w:val="20"/>
          <w:szCs w:val="20"/>
        </w:rPr>
        <w:t>(Vashchenko et al. 2016)</w:t>
      </w:r>
      <w:r w:rsidRPr="002A173D">
        <w:rPr>
          <w:rFonts w:ascii="Times New Roman" w:eastAsiaTheme="minorEastAsia" w:hAnsi="Times New Roman" w:cs="Times New Roman"/>
          <w:sz w:val="20"/>
          <w:szCs w:val="20"/>
        </w:rPr>
        <w:fldChar w:fldCharType="end"/>
      </w:r>
      <w:r w:rsidRPr="002A173D">
        <w:rPr>
          <w:rFonts w:ascii="Times New Roman" w:eastAsiaTheme="minorEastAsia" w:hAnsi="Times New Roman" w:cs="Times New Roman"/>
          <w:sz w:val="20"/>
          <w:szCs w:val="20"/>
        </w:rPr>
        <w:t>. Meanwhile, C-O-C stretching vibration in epoxide ring decreased. Furthermore, the increase in intensity of the band around 3405 cm</w:t>
      </w:r>
      <w:r w:rsidRPr="002A173D">
        <w:rPr>
          <w:rFonts w:ascii="Times New Roman" w:eastAsiaTheme="minorEastAsia" w:hAnsi="Times New Roman" w:cs="Times New Roman"/>
          <w:sz w:val="20"/>
          <w:szCs w:val="20"/>
          <w:vertAlign w:val="superscript"/>
        </w:rPr>
        <w:t>–1</w:t>
      </w:r>
      <w:r w:rsidRPr="002A173D">
        <w:rPr>
          <w:rFonts w:ascii="Times New Roman" w:eastAsiaTheme="minorEastAsia" w:hAnsi="Times New Roman" w:cs="Times New Roman"/>
          <w:sz w:val="20"/>
          <w:szCs w:val="20"/>
        </w:rPr>
        <w:t xml:space="preserve"> in the spectrum of 3-ATAR can attribute to the combination and overlap of -OH and NH (in the triazole ring) </w:t>
      </w:r>
      <w:r w:rsidR="00B04295" w:rsidRPr="002A173D">
        <w:rPr>
          <w:rFonts w:ascii="Times New Roman" w:eastAsiaTheme="minorEastAsia" w:hAnsi="Times New Roman" w:cs="Times New Roman"/>
          <w:sz w:val="20"/>
          <w:szCs w:val="20"/>
        </w:rPr>
        <w:fldChar w:fldCharType="begin" w:fldLock="1"/>
      </w:r>
      <w:r w:rsidR="00B04295" w:rsidRPr="002A173D">
        <w:rPr>
          <w:rFonts w:ascii="Times New Roman" w:eastAsiaTheme="minorEastAsia" w:hAnsi="Times New Roman" w:cs="Times New Roman"/>
          <w:sz w:val="20"/>
          <w:szCs w:val="20"/>
        </w:rPr>
        <w:instrText>ADDIN CSL_CITATION {"citationItems":[{"id":"ITEM-1","itemData":{"DOI":"10.1021/jp075442c","ISSN":"19327447","abstract":"Molecular structure of adlayers formed from 3-amino-5-mercapto-1,2,4- triazole (AMT) solutions on silver and gold surfaces was investigated with surface-enhanced Raman scattering (SERS) and X-ray photoelectron (XPS) spectroscopies. Two types of structures were identified, dependent on the concentration of the AMT in the solutions, pH values, and the potential applied to the electrode. In the presence of sufficient amount of the adsorbate molecules in the vicinity of the metal surface, AMT adsorbs in the thiolate form through the metal-thiolate bond, in more or less perpendicular orientation to the metal surface. This structure is stabilized by stacking interactions between triazole rings and by hydrogen bonding between amine groups of adjacent AMT molecules and/or between adsorbed AMT and the molecules in the solution. However, in the case of insufficient concentration of the adsorbate at the surface, the AMT molecules also adsorb through the ring nitrogens, in the form deprotonated in the triazole ring, with the ring lying flat on the metal surface. Quick, reversible switching between those two monolayer structures is possible by applying an appropriate electrode potential. © 2007 American Chemical Society.","author":[{"dropping-particle":"","family":"Wrzosek","given":"Beata","non-dropping-particle":"","parse-names":false,"suffix":""},{"dropping-particle":"","family":"Bukowska","given":"Jolanta","non-dropping-particle":"","parse-names":false,"suffix":""}],"container-title":"Journal of Physical Chemistry C","id":"ITEM-1","issue":"46","issued":{"date-parts":[["2007"]]},"page":"17397-17403","title":"Molecular structure of 3-amino-5-mercapto-1,2,4-triazole self-assembled monolayers on Ag and Au surfaces","type":"article-journal","volume":"111"},"uris":["http://www.mendeley.com/documents/?uuid=3df88a22-bd17-46ba-8dd3-1317fd3246ba"]},{"id":"ITEM-2","itemData":{"DOI":"10.1016/j.carbpol.2018.10.030","ISSN":"01448617","abstract":"A bio-compatible hydrogel sorbent was prepared through chemical conjugation of glutamic acid (GA) with gum tragacanth (GT) followed by mixing with anionic polyacrylamide (PAAm) and irradiating by the electron beam. The prepared composite of the hydrogel of GA-GT/PAAm was characterized by scanning electron microscopy (SEM), Fourier transform infrared (FTIR) spectroscopy, point zero charge (PZC) analysis, thermogravimetric analysis (TGA), and X-ray diffraction-(XRD). The sorption capability of the hydrogel was investigated for the removal of U(VI) from aqueous samples. The sorption data were analyzed by Langmuir, Freundlich, and Dubinin-Radushkevich (D-R) models and the experimental results were in agreement with Langmuir isotherm. The sorption process was found to be endothermic and spontaneous. The maximum sorption capacity of the composite of GA-GT/PAAm hydrogel for U(VI) determined from Langmuir isotherm was 384.6 mg g−1. The experimental data were also analyzed by four different kinetic equations, and the results were fitted well with the pseudo-second-order model.","author":[{"dropping-particle":"","family":"Moghaddam","given":"Reza Hafezi","non-dropping-particle":"","parse-names":false,"suffix":""},{"dropping-particle":"","family":"Dadfarnia","given":"Shayessteh","non-dropping-particle":"","parse-names":false,"suffix":""},{"dropping-particle":"","family":"Shabani","given":"Ali Mohammad Haji","non-dropping-particle":"","parse-names":false,"suffix":""},{"dropping-particle":"","family":"Tavakol","given":"Moslem","non-dropping-particle":"","parse-names":false,"suffix":""}],"container-title":"Carbohydrate Polymers","id":"ITEM-2","issue":"October 2018","issued":{"date-parts":[["2019"]]},"page":"352-361","publisher":"Elsevier","title":"Synthesis of composite hydrogel of glutamic acid, gum tragacanth, and anionic polyacrylamide by electron beam irradiation for uranium (VI) removal from aqueous samples: Equilibrium, kinetics, and thermodynamic studies","type":"article-journal","volume":"206"},"uris":["http://www.mendeley.com/documents/?uuid=b0e197d2-d88b-48bd-ba06-342baa1c3263"]}],"mendeley":{"formattedCitation":"(Wrzosek and Bukowska 2007; Moghaddam et al. 2019)","plainTextFormattedCitation":"(Wrzosek and Bukowska 2007; Moghaddam et al. 2019)"},"properties":{"noteIndex":0},"schema":"https://github.com/citation-style-language/schema/raw/master/csl-citation.json"}</w:instrText>
      </w:r>
      <w:r w:rsidR="00B04295" w:rsidRPr="002A173D">
        <w:rPr>
          <w:rFonts w:ascii="Times New Roman" w:eastAsiaTheme="minorEastAsia" w:hAnsi="Times New Roman" w:cs="Times New Roman"/>
          <w:sz w:val="20"/>
          <w:szCs w:val="20"/>
        </w:rPr>
        <w:fldChar w:fldCharType="separate"/>
      </w:r>
      <w:r w:rsidR="00B04295" w:rsidRPr="002A173D">
        <w:rPr>
          <w:rFonts w:ascii="Times New Roman" w:eastAsiaTheme="minorEastAsia" w:hAnsi="Times New Roman" w:cs="Times New Roman"/>
          <w:noProof/>
          <w:sz w:val="20"/>
          <w:szCs w:val="20"/>
        </w:rPr>
        <w:t>(Wrzosek and Bukowska 2007; Moghaddam et al. 2019)</w:t>
      </w:r>
      <w:r w:rsidR="00B04295" w:rsidRPr="002A173D">
        <w:rPr>
          <w:rFonts w:ascii="Times New Roman" w:eastAsiaTheme="minorEastAsia" w:hAnsi="Times New Roman" w:cs="Times New Roman"/>
          <w:sz w:val="20"/>
          <w:szCs w:val="20"/>
        </w:rPr>
        <w:fldChar w:fldCharType="end"/>
      </w:r>
      <w:r w:rsidRPr="002A173D">
        <w:rPr>
          <w:rFonts w:ascii="Times New Roman" w:eastAsiaTheme="minorEastAsia" w:hAnsi="Times New Roman" w:cs="Times New Roman"/>
          <w:sz w:val="20"/>
          <w:szCs w:val="20"/>
        </w:rPr>
        <w:t xml:space="preserve">. The microstructure of sample was observed by SEM and shown in Fig. 5, it can be clearly seen that all exhibits sphere-like shape but various surface morphology, and some larger gaps and the bigger microsphere after opening reaction were appeared on the fracture surface (Fig 2B, b, c). 3-ATAR exhibited a spherical shape with a diameter about </w:t>
      </w:r>
      <w:r w:rsidR="00971684" w:rsidRPr="002A173D">
        <w:rPr>
          <w:rFonts w:ascii="Times New Roman" w:eastAsiaTheme="minorEastAsia" w:hAnsi="Times New Roman" w:cs="Times New Roman"/>
          <w:sz w:val="20"/>
          <w:szCs w:val="20"/>
        </w:rPr>
        <w:t>30</w:t>
      </w:r>
      <w:r w:rsidRPr="002A173D">
        <w:rPr>
          <w:rFonts w:ascii="Times New Roman" w:eastAsiaTheme="minorEastAsia" w:hAnsi="Times New Roman" w:cs="Times New Roman"/>
          <w:sz w:val="20"/>
          <w:szCs w:val="20"/>
        </w:rPr>
        <w:t>0 μm.</w:t>
      </w:r>
    </w:p>
    <w:p w:rsidR="00731F52" w:rsidRPr="002A173D" w:rsidRDefault="00731F52" w:rsidP="002A173D">
      <w:pPr>
        <w:spacing w:line="240" w:lineRule="auto"/>
        <w:rPr>
          <w:rFonts w:ascii="Times New Roman" w:eastAsiaTheme="minorEastAsia" w:hAnsi="Times New Roman" w:cs="Times New Roman"/>
          <w:sz w:val="20"/>
          <w:szCs w:val="20"/>
        </w:rPr>
      </w:pPr>
    </w:p>
    <w:p w:rsidR="002F00C2" w:rsidRPr="002A173D" w:rsidRDefault="002F00C2" w:rsidP="002A173D">
      <w:pPr>
        <w:spacing w:line="240" w:lineRule="auto"/>
        <w:jc w:val="both"/>
        <w:rPr>
          <w:rFonts w:ascii="Times New Roman" w:eastAsiaTheme="minorEastAsia" w:hAnsi="Times New Roman" w:cs="Times New Roman"/>
          <w:sz w:val="20"/>
          <w:szCs w:val="20"/>
        </w:rPr>
        <w:sectPr w:rsidR="002F00C2" w:rsidRPr="002A173D" w:rsidSect="0087344E">
          <w:pgSz w:w="11906" w:h="16838"/>
          <w:pgMar w:top="1440" w:right="1800" w:bottom="1440" w:left="1800" w:header="851" w:footer="992" w:gutter="0"/>
          <w:cols w:space="425"/>
          <w:docGrid w:type="lines" w:linePitch="312"/>
        </w:sectPr>
      </w:pPr>
    </w:p>
    <w:p w:rsidR="000C7995" w:rsidRPr="002A173D" w:rsidRDefault="000C7995" w:rsidP="002A173D">
      <w:pPr>
        <w:spacing w:line="240" w:lineRule="auto"/>
        <w:jc w:val="both"/>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lastRenderedPageBreak/>
        <w:t xml:space="preserve">Table </w:t>
      </w:r>
      <w:r w:rsidR="00765559" w:rsidRPr="002A173D">
        <w:rPr>
          <w:rFonts w:ascii="Times New Roman" w:eastAsiaTheme="minorEastAsia" w:hAnsi="Times New Roman" w:cs="Times New Roman"/>
          <w:sz w:val="20"/>
          <w:szCs w:val="20"/>
        </w:rPr>
        <w:t>S1</w:t>
      </w:r>
      <w:r w:rsidRPr="002A173D">
        <w:rPr>
          <w:rFonts w:ascii="Times New Roman" w:eastAsiaTheme="minorEastAsia" w:hAnsi="Times New Roman" w:cs="Times New Roman"/>
          <w:sz w:val="20"/>
          <w:szCs w:val="20"/>
        </w:rPr>
        <w:t xml:space="preserve">. Kinetic parameter of Re(VII) adsorption onto 3-ATAR </w:t>
      </w:r>
    </w:p>
    <w:tbl>
      <w:tblPr>
        <w:tblW w:w="4812" w:type="dxa"/>
        <w:jc w:val="center"/>
        <w:tblCellMar>
          <w:left w:w="70" w:type="dxa"/>
          <w:right w:w="70" w:type="dxa"/>
        </w:tblCellMar>
        <w:tblLook w:val="04A0" w:firstRow="1" w:lastRow="0" w:firstColumn="1" w:lastColumn="0" w:noHBand="0" w:noVBand="1"/>
      </w:tblPr>
      <w:tblGrid>
        <w:gridCol w:w="1843"/>
        <w:gridCol w:w="2969"/>
      </w:tblGrid>
      <w:tr w:rsidR="00CB5421" w:rsidRPr="002A173D" w:rsidTr="00CB5421">
        <w:trPr>
          <w:trHeight w:val="346"/>
          <w:jc w:val="center"/>
        </w:trPr>
        <w:tc>
          <w:tcPr>
            <w:tcW w:w="1843" w:type="dxa"/>
            <w:tcBorders>
              <w:top w:val="single" w:sz="4" w:space="0" w:color="auto"/>
              <w:left w:val="nil"/>
              <w:bottom w:val="single" w:sz="4" w:space="0" w:color="auto"/>
              <w:right w:val="nil"/>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color w:val="000000" w:themeColor="text1"/>
                <w:sz w:val="20"/>
                <w:szCs w:val="20"/>
              </w:rPr>
              <w:t>Parameter</w:t>
            </w:r>
          </w:p>
        </w:tc>
        <w:tc>
          <w:tcPr>
            <w:tcW w:w="2969" w:type="dxa"/>
            <w:tcBorders>
              <w:top w:val="single" w:sz="4" w:space="0" w:color="auto"/>
              <w:left w:val="nil"/>
              <w:bottom w:val="single" w:sz="4" w:space="0" w:color="auto"/>
              <w:right w:val="nil"/>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bCs/>
                <w:color w:val="000000" w:themeColor="text1"/>
                <w:sz w:val="20"/>
                <w:szCs w:val="20"/>
              </w:rPr>
              <w:t>3-ATAR</w:t>
            </w:r>
          </w:p>
        </w:tc>
      </w:tr>
      <w:tr w:rsidR="00CB5421" w:rsidRPr="002A173D" w:rsidTr="00CB5421">
        <w:trPr>
          <w:trHeight w:val="346"/>
          <w:jc w:val="center"/>
        </w:trPr>
        <w:tc>
          <w:tcPr>
            <w:tcW w:w="1843" w:type="dxa"/>
            <w:tcBorders>
              <w:top w:val="single" w:sz="4" w:space="0" w:color="auto"/>
              <w:left w:val="nil"/>
              <w:bottom w:val="nil"/>
              <w:right w:val="nil"/>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q</w:t>
            </w:r>
            <w:bookmarkStart w:id="0" w:name="_GoBack"/>
            <w:r w:rsidRPr="002A173D">
              <w:rPr>
                <w:rFonts w:ascii="Times New Roman" w:eastAsiaTheme="minorEastAsia" w:hAnsi="Times New Roman" w:cs="Times New Roman"/>
                <w:bCs/>
                <w:color w:val="000000" w:themeColor="text1"/>
                <w:sz w:val="20"/>
                <w:szCs w:val="20"/>
                <w:vertAlign w:val="subscript"/>
              </w:rPr>
              <w:t>e,exp</w:t>
            </w:r>
            <w:bookmarkEnd w:id="0"/>
            <w:r w:rsidRPr="002A173D">
              <w:rPr>
                <w:rFonts w:ascii="Times New Roman" w:eastAsiaTheme="minorEastAsia" w:hAnsi="Times New Roman" w:cs="Times New Roman"/>
                <w:bCs/>
                <w:i/>
                <w:iCs/>
                <w:color w:val="000000" w:themeColor="text1"/>
                <w:sz w:val="20"/>
                <w:szCs w:val="20"/>
              </w:rPr>
              <w:t xml:space="preserve"> </w:t>
            </w:r>
            <w:r w:rsidRPr="002A173D">
              <w:rPr>
                <w:rFonts w:ascii="Times New Roman" w:eastAsiaTheme="minorEastAsia" w:hAnsi="Times New Roman" w:cs="Times New Roman"/>
                <w:bCs/>
                <w:color w:val="000000" w:themeColor="text1"/>
                <w:sz w:val="20"/>
                <w:szCs w:val="20"/>
              </w:rPr>
              <w:t>/</w:t>
            </w:r>
            <w:r w:rsidRPr="002A173D">
              <w:rPr>
                <w:rFonts w:ascii="Times New Roman" w:eastAsiaTheme="minorEastAsia" w:hAnsi="Times New Roman" w:cs="Times New Roman"/>
                <w:bCs/>
                <w:i/>
                <w:iCs/>
                <w:color w:val="000000" w:themeColor="text1"/>
                <w:sz w:val="20"/>
                <w:szCs w:val="20"/>
              </w:rPr>
              <w:t xml:space="preserve"> </w:t>
            </w:r>
            <w:r w:rsidRPr="002A173D">
              <w:rPr>
                <w:rFonts w:ascii="Times New Roman" w:eastAsiaTheme="minorEastAsia" w:hAnsi="Times New Roman" w:cs="Times New Roman"/>
                <w:bCs/>
                <w:color w:val="000000" w:themeColor="text1"/>
                <w:sz w:val="20"/>
                <w:szCs w:val="20"/>
              </w:rPr>
              <w:t>(mg·g</w:t>
            </w:r>
            <w:r w:rsidRPr="002A173D">
              <w:rPr>
                <w:rFonts w:ascii="Times New Roman" w:eastAsiaTheme="minorEastAsia" w:hAnsi="Times New Roman" w:cs="Times New Roman"/>
                <w:bCs/>
                <w:color w:val="000000" w:themeColor="text1"/>
                <w:sz w:val="20"/>
                <w:szCs w:val="20"/>
                <w:vertAlign w:val="superscript"/>
              </w:rPr>
              <w:t>-1</w:t>
            </w:r>
            <w:r w:rsidRPr="002A173D">
              <w:rPr>
                <w:rFonts w:ascii="Times New Roman" w:eastAsiaTheme="minorEastAsia" w:hAnsi="Times New Roman" w:cs="Times New Roman"/>
                <w:bCs/>
                <w:color w:val="000000" w:themeColor="text1"/>
                <w:sz w:val="20"/>
                <w:szCs w:val="20"/>
              </w:rPr>
              <w:t>)</w:t>
            </w:r>
          </w:p>
        </w:tc>
        <w:tc>
          <w:tcPr>
            <w:tcW w:w="2969" w:type="dxa"/>
            <w:tcBorders>
              <w:top w:val="single" w:sz="4" w:space="0" w:color="auto"/>
              <w:left w:val="nil"/>
              <w:bottom w:val="nil"/>
              <w:right w:val="nil"/>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16.83</w:t>
            </w:r>
          </w:p>
        </w:tc>
      </w:tr>
      <w:tr w:rsidR="00CB5421" w:rsidRPr="002A173D" w:rsidTr="00CB5421">
        <w:trPr>
          <w:trHeight w:val="346"/>
          <w:jc w:val="center"/>
        </w:trPr>
        <w:tc>
          <w:tcPr>
            <w:tcW w:w="1843" w:type="dxa"/>
            <w:tcBorders>
              <w:top w:val="nil"/>
              <w:left w:val="nil"/>
              <w:bottom w:val="single" w:sz="4" w:space="0" w:color="auto"/>
              <w:right w:val="nil"/>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t</w:t>
            </w:r>
            <w:r w:rsidRPr="002A173D">
              <w:rPr>
                <w:rFonts w:ascii="Times New Roman" w:eastAsiaTheme="minorEastAsia" w:hAnsi="Times New Roman" w:cs="Times New Roman"/>
                <w:bCs/>
                <w:color w:val="000000" w:themeColor="text1"/>
                <w:sz w:val="20"/>
                <w:szCs w:val="20"/>
                <w:vertAlign w:val="subscript"/>
              </w:rPr>
              <w:t>e</w:t>
            </w:r>
            <w:r w:rsidRPr="002A173D">
              <w:rPr>
                <w:rFonts w:ascii="Times New Roman" w:eastAsiaTheme="minorEastAsia" w:hAnsi="Times New Roman" w:cs="Times New Roman"/>
                <w:bCs/>
                <w:color w:val="000000" w:themeColor="text1"/>
                <w:sz w:val="20"/>
                <w:szCs w:val="20"/>
              </w:rPr>
              <w:t xml:space="preserve"> / (min)</w:t>
            </w:r>
          </w:p>
        </w:tc>
        <w:tc>
          <w:tcPr>
            <w:tcW w:w="2969" w:type="dxa"/>
            <w:tcBorders>
              <w:top w:val="nil"/>
              <w:left w:val="nil"/>
              <w:bottom w:val="single" w:sz="4" w:space="0" w:color="auto"/>
              <w:right w:val="nil"/>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45</w:t>
            </w:r>
          </w:p>
        </w:tc>
      </w:tr>
      <w:tr w:rsidR="00CB5421" w:rsidRPr="002A173D" w:rsidTr="00CB5421">
        <w:trPr>
          <w:trHeight w:val="346"/>
          <w:jc w:val="center"/>
        </w:trPr>
        <w:tc>
          <w:tcPr>
            <w:tcW w:w="4812" w:type="dxa"/>
            <w:gridSpan w:val="2"/>
            <w:tcBorders>
              <w:top w:val="nil"/>
              <w:left w:val="nil"/>
              <w:bottom w:val="single" w:sz="4" w:space="0" w:color="auto"/>
              <w:right w:val="nil"/>
            </w:tcBorders>
            <w:noWrap/>
            <w:vAlign w:val="center"/>
          </w:tcPr>
          <w:p w:rsidR="00CB5421" w:rsidRPr="002A173D" w:rsidRDefault="00CB5421"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Langmuir Model</w:t>
            </w:r>
          </w:p>
        </w:tc>
      </w:tr>
      <w:tr w:rsidR="00CB5421" w:rsidRPr="002A173D" w:rsidTr="00CB5421">
        <w:trPr>
          <w:trHeight w:val="346"/>
          <w:jc w:val="center"/>
        </w:trPr>
        <w:tc>
          <w:tcPr>
            <w:tcW w:w="1843" w:type="dxa"/>
            <w:tcBorders>
              <w:top w:val="single" w:sz="4" w:space="0" w:color="auto"/>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q</w:t>
            </w:r>
            <w:r w:rsidRPr="002A173D">
              <w:rPr>
                <w:rFonts w:ascii="Times New Roman" w:eastAsiaTheme="minorEastAsia" w:hAnsi="Times New Roman" w:cs="Times New Roman"/>
                <w:bCs/>
                <w:color w:val="000000" w:themeColor="text1"/>
                <w:sz w:val="20"/>
                <w:szCs w:val="20"/>
                <w:vertAlign w:val="subscript"/>
              </w:rPr>
              <w:t>e,est</w:t>
            </w:r>
            <w:r w:rsidRPr="002A173D">
              <w:rPr>
                <w:rFonts w:ascii="Times New Roman" w:eastAsiaTheme="minorEastAsia" w:hAnsi="Times New Roman" w:cs="Times New Roman"/>
                <w:bCs/>
                <w:color w:val="000000" w:themeColor="text1"/>
                <w:sz w:val="20"/>
                <w:szCs w:val="20"/>
              </w:rPr>
              <w:t xml:space="preserve"> / (mg·g</w:t>
            </w:r>
            <w:r w:rsidRPr="002A173D">
              <w:rPr>
                <w:rFonts w:ascii="Times New Roman" w:eastAsiaTheme="minorEastAsia" w:hAnsi="Times New Roman" w:cs="Times New Roman"/>
                <w:bCs/>
                <w:color w:val="000000" w:themeColor="text1"/>
                <w:sz w:val="20"/>
                <w:szCs w:val="20"/>
                <w:vertAlign w:val="superscript"/>
              </w:rPr>
              <w:t>-1</w:t>
            </w:r>
            <w:r w:rsidRPr="002A173D">
              <w:rPr>
                <w:rFonts w:ascii="Times New Roman" w:eastAsiaTheme="minorEastAsia" w:hAnsi="Times New Roman" w:cs="Times New Roman"/>
                <w:bCs/>
                <w:color w:val="000000" w:themeColor="text1"/>
                <w:sz w:val="20"/>
                <w:szCs w:val="20"/>
              </w:rPr>
              <w:t>)</w:t>
            </w:r>
          </w:p>
        </w:tc>
        <w:tc>
          <w:tcPr>
            <w:tcW w:w="2969" w:type="dxa"/>
            <w:tcBorders>
              <w:top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16.45</w:t>
            </w:r>
          </w:p>
        </w:tc>
      </w:tr>
      <w:tr w:rsidR="00CB5421" w:rsidRPr="002A173D" w:rsidTr="00CB5421">
        <w:trPr>
          <w:trHeight w:val="346"/>
          <w:jc w:val="center"/>
        </w:trPr>
        <w:tc>
          <w:tcPr>
            <w:tcW w:w="1843" w:type="dxa"/>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k</w:t>
            </w:r>
            <w:r w:rsidRPr="002A173D">
              <w:rPr>
                <w:rFonts w:ascii="Times New Roman" w:eastAsiaTheme="minorEastAsia" w:hAnsi="Times New Roman" w:cs="Times New Roman"/>
                <w:bCs/>
                <w:color w:val="000000" w:themeColor="text1"/>
                <w:sz w:val="20"/>
                <w:szCs w:val="20"/>
                <w:vertAlign w:val="subscript"/>
              </w:rPr>
              <w:t>1</w:t>
            </w:r>
            <w:r w:rsidRPr="002A173D">
              <w:rPr>
                <w:rFonts w:ascii="Times New Roman" w:eastAsiaTheme="minorEastAsia" w:hAnsi="Times New Roman" w:cs="Times New Roman"/>
                <w:bCs/>
                <w:color w:val="000000" w:themeColor="text1"/>
                <w:sz w:val="20"/>
                <w:szCs w:val="20"/>
              </w:rPr>
              <w:t xml:space="preserve"> / (</w:t>
            </w:r>
            <w:r w:rsidRPr="002A173D">
              <w:rPr>
                <w:rFonts w:ascii="Times New Roman" w:eastAsiaTheme="minorEastAsia" w:hAnsi="Times New Roman" w:cs="Times New Roman"/>
                <w:color w:val="000000" w:themeColor="text1"/>
                <w:sz w:val="20"/>
                <w:szCs w:val="20"/>
              </w:rPr>
              <w:t>g·mg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·h</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bCs/>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0.1671</w:t>
            </w:r>
          </w:p>
        </w:tc>
      </w:tr>
      <w:tr w:rsidR="00CB5421" w:rsidRPr="002A173D" w:rsidTr="00CB5421">
        <w:trPr>
          <w:trHeight w:val="346"/>
          <w:jc w:val="center"/>
        </w:trPr>
        <w:tc>
          <w:tcPr>
            <w:tcW w:w="1843" w:type="dxa"/>
            <w:tcBorders>
              <w:bottom w:val="single" w:sz="4" w:space="0" w:color="auto"/>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R</w:t>
            </w:r>
            <w:r w:rsidRPr="002A173D">
              <w:rPr>
                <w:rFonts w:ascii="Times New Roman" w:eastAsiaTheme="minorEastAsia" w:hAnsi="Times New Roman" w:cs="Times New Roman"/>
                <w:bCs/>
                <w:color w:val="000000" w:themeColor="text1"/>
                <w:sz w:val="20"/>
                <w:szCs w:val="20"/>
                <w:vertAlign w:val="superscript"/>
              </w:rPr>
              <w:t>2</w:t>
            </w:r>
          </w:p>
        </w:tc>
        <w:tc>
          <w:tcPr>
            <w:tcW w:w="2969" w:type="dxa"/>
            <w:tcBorders>
              <w:bottom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0.9405</w:t>
            </w:r>
          </w:p>
        </w:tc>
      </w:tr>
      <w:tr w:rsidR="00CB5421" w:rsidRPr="002A173D" w:rsidTr="00CB5421">
        <w:trPr>
          <w:trHeight w:val="346"/>
          <w:jc w:val="center"/>
        </w:trPr>
        <w:tc>
          <w:tcPr>
            <w:tcW w:w="4812" w:type="dxa"/>
            <w:gridSpan w:val="2"/>
            <w:tcBorders>
              <w:top w:val="single" w:sz="4" w:space="0" w:color="auto"/>
            </w:tcBorders>
            <w:noWrap/>
            <w:vAlign w:val="center"/>
          </w:tcPr>
          <w:p w:rsidR="00CB5421" w:rsidRPr="002A173D" w:rsidRDefault="00CB5421"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bCs/>
                <w:i/>
                <w:iCs/>
                <w:color w:val="000000" w:themeColor="text1"/>
                <w:sz w:val="20"/>
                <w:szCs w:val="20"/>
              </w:rPr>
              <w:t>Freundlich Model</w:t>
            </w:r>
          </w:p>
        </w:tc>
      </w:tr>
      <w:tr w:rsidR="00CB5421" w:rsidRPr="002A173D" w:rsidTr="00CB5421">
        <w:trPr>
          <w:trHeight w:val="346"/>
          <w:jc w:val="center"/>
        </w:trPr>
        <w:tc>
          <w:tcPr>
            <w:tcW w:w="1843" w:type="dxa"/>
            <w:tcBorders>
              <w:top w:val="single" w:sz="4" w:space="0" w:color="auto"/>
            </w:tcBorders>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q</w:t>
            </w:r>
            <w:r w:rsidRPr="002A173D">
              <w:rPr>
                <w:rFonts w:ascii="Times New Roman" w:eastAsiaTheme="minorEastAsia" w:hAnsi="Times New Roman" w:cs="Times New Roman"/>
                <w:bCs/>
                <w:color w:val="000000" w:themeColor="text1"/>
                <w:sz w:val="20"/>
                <w:szCs w:val="20"/>
                <w:vertAlign w:val="subscript"/>
              </w:rPr>
              <w:t>e,est</w:t>
            </w:r>
            <w:r w:rsidRPr="002A173D">
              <w:rPr>
                <w:rFonts w:ascii="Times New Roman" w:eastAsiaTheme="minorEastAsia" w:hAnsi="Times New Roman" w:cs="Times New Roman"/>
                <w:bCs/>
                <w:color w:val="000000" w:themeColor="text1"/>
                <w:sz w:val="20"/>
                <w:szCs w:val="20"/>
              </w:rPr>
              <w:t xml:space="preserve"> / (mg·g</w:t>
            </w:r>
            <w:r w:rsidRPr="002A173D">
              <w:rPr>
                <w:rFonts w:ascii="Times New Roman" w:eastAsiaTheme="minorEastAsia" w:hAnsi="Times New Roman" w:cs="Times New Roman"/>
                <w:bCs/>
                <w:color w:val="000000" w:themeColor="text1"/>
                <w:sz w:val="20"/>
                <w:szCs w:val="20"/>
                <w:vertAlign w:val="superscript"/>
              </w:rPr>
              <w:t>-1</w:t>
            </w:r>
            <w:r w:rsidRPr="002A173D">
              <w:rPr>
                <w:rFonts w:ascii="Times New Roman" w:eastAsiaTheme="minorEastAsia" w:hAnsi="Times New Roman" w:cs="Times New Roman"/>
                <w:bCs/>
                <w:color w:val="000000" w:themeColor="text1"/>
                <w:sz w:val="20"/>
                <w:szCs w:val="20"/>
              </w:rPr>
              <w:t>)</w:t>
            </w:r>
          </w:p>
        </w:tc>
        <w:tc>
          <w:tcPr>
            <w:tcW w:w="2969" w:type="dxa"/>
            <w:tcBorders>
              <w:top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17.22</w:t>
            </w:r>
          </w:p>
        </w:tc>
      </w:tr>
      <w:tr w:rsidR="00CB5421" w:rsidRPr="002A173D" w:rsidTr="00CB5421">
        <w:trPr>
          <w:trHeight w:val="346"/>
          <w:jc w:val="center"/>
        </w:trPr>
        <w:tc>
          <w:tcPr>
            <w:tcW w:w="1843" w:type="dxa"/>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k</w:t>
            </w:r>
            <w:r w:rsidRPr="002A173D">
              <w:rPr>
                <w:rFonts w:ascii="Times New Roman" w:eastAsiaTheme="minorEastAsia" w:hAnsi="Times New Roman" w:cs="Times New Roman"/>
                <w:bCs/>
                <w:color w:val="000000" w:themeColor="text1"/>
                <w:sz w:val="20"/>
                <w:szCs w:val="20"/>
                <w:vertAlign w:val="subscript"/>
              </w:rPr>
              <w:t>2</w:t>
            </w:r>
            <w:r w:rsidRPr="002A173D">
              <w:rPr>
                <w:rFonts w:ascii="Times New Roman" w:eastAsiaTheme="minorEastAsia" w:hAnsi="Times New Roman" w:cs="Times New Roman"/>
                <w:bCs/>
                <w:i/>
                <w:iCs/>
                <w:color w:val="000000" w:themeColor="text1"/>
                <w:sz w:val="20"/>
                <w:szCs w:val="20"/>
              </w:rPr>
              <w:t xml:space="preserve"> </w:t>
            </w:r>
            <w:r w:rsidRPr="002A173D">
              <w:rPr>
                <w:rFonts w:ascii="Times New Roman" w:eastAsiaTheme="minorEastAsia" w:hAnsi="Times New Roman" w:cs="Times New Roman"/>
                <w:bCs/>
                <w:color w:val="000000" w:themeColor="text1"/>
                <w:sz w:val="20"/>
                <w:szCs w:val="20"/>
              </w:rPr>
              <w:t>/ (g·mg</w:t>
            </w:r>
            <w:r w:rsidRPr="002A173D">
              <w:rPr>
                <w:rFonts w:ascii="Times New Roman" w:eastAsiaTheme="minorEastAsia" w:hAnsi="Times New Roman" w:cs="Times New Roman"/>
                <w:bCs/>
                <w:color w:val="000000" w:themeColor="text1"/>
                <w:sz w:val="20"/>
                <w:szCs w:val="20"/>
                <w:vertAlign w:val="superscript"/>
              </w:rPr>
              <w:t>-1</w:t>
            </w:r>
            <w:r w:rsidRPr="002A173D">
              <w:rPr>
                <w:rFonts w:ascii="Times New Roman" w:eastAsiaTheme="minorEastAsia" w:hAnsi="Times New Roman" w:cs="Times New Roman"/>
                <w:bCs/>
                <w:color w:val="000000" w:themeColor="text1"/>
                <w:sz w:val="20"/>
                <w:szCs w:val="20"/>
              </w:rPr>
              <w:t>·min</w:t>
            </w:r>
            <w:r w:rsidRPr="002A173D">
              <w:rPr>
                <w:rFonts w:ascii="Times New Roman" w:eastAsiaTheme="minorEastAsia" w:hAnsi="Times New Roman" w:cs="Times New Roman"/>
                <w:bCs/>
                <w:color w:val="000000" w:themeColor="text1"/>
                <w:sz w:val="20"/>
                <w:szCs w:val="20"/>
                <w:vertAlign w:val="superscript"/>
              </w:rPr>
              <w:t>-1</w:t>
            </w:r>
            <w:r w:rsidRPr="002A173D">
              <w:rPr>
                <w:rFonts w:ascii="Times New Roman" w:eastAsiaTheme="minorEastAsia" w:hAnsi="Times New Roman" w:cs="Times New Roman"/>
                <w:bCs/>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0.01949</w:t>
            </w:r>
          </w:p>
        </w:tc>
      </w:tr>
      <w:tr w:rsidR="00CB5421" w:rsidRPr="002A173D" w:rsidTr="00CB5421">
        <w:trPr>
          <w:trHeight w:val="346"/>
          <w:jc w:val="center"/>
        </w:trPr>
        <w:tc>
          <w:tcPr>
            <w:tcW w:w="1843" w:type="dxa"/>
            <w:noWrap/>
            <w:vAlign w:val="center"/>
            <w:hideMark/>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R</w:t>
            </w:r>
            <w:r w:rsidRPr="002A173D">
              <w:rPr>
                <w:rFonts w:ascii="Times New Roman" w:eastAsiaTheme="minorEastAsia" w:hAnsi="Times New Roman" w:cs="Times New Roman"/>
                <w:bCs/>
                <w:color w:val="000000" w:themeColor="text1"/>
                <w:sz w:val="20"/>
                <w:szCs w:val="20"/>
                <w:vertAlign w:val="superscript"/>
              </w:rPr>
              <w:t>2</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0.9999</w:t>
            </w:r>
          </w:p>
        </w:tc>
      </w:tr>
      <w:tr w:rsidR="00CB5421" w:rsidRPr="002A173D" w:rsidTr="0039571D">
        <w:trPr>
          <w:trHeight w:val="346"/>
          <w:jc w:val="center"/>
        </w:trPr>
        <w:tc>
          <w:tcPr>
            <w:tcW w:w="4812" w:type="dxa"/>
            <w:gridSpan w:val="2"/>
            <w:tcBorders>
              <w:top w:val="single" w:sz="4" w:space="0" w:color="auto"/>
              <w:bottom w:val="single" w:sz="4" w:space="0" w:color="auto"/>
            </w:tcBorders>
            <w:noWrap/>
            <w:vAlign w:val="center"/>
          </w:tcPr>
          <w:p w:rsidR="00CB5421" w:rsidRPr="002A173D" w:rsidRDefault="00CB5421" w:rsidP="002A173D">
            <w:pPr>
              <w:spacing w:line="240" w:lineRule="auto"/>
              <w:jc w:val="center"/>
              <w:rPr>
                <w:rFonts w:ascii="Times New Roman" w:eastAsiaTheme="minorEastAsia" w:hAnsi="Times New Roman" w:cs="Times New Roman"/>
                <w:color w:val="000000" w:themeColor="text1"/>
                <w:sz w:val="20"/>
                <w:szCs w:val="20"/>
              </w:rPr>
            </w:pPr>
            <w:bookmarkStart w:id="1" w:name="OLE_LINK81"/>
            <w:bookmarkStart w:id="2" w:name="OLE_LINK82"/>
            <w:r w:rsidRPr="002A173D">
              <w:rPr>
                <w:rFonts w:ascii="Times New Roman" w:eastAsiaTheme="minorEastAsia" w:hAnsi="Times New Roman" w:cs="Times New Roman"/>
                <w:color w:val="000000" w:themeColor="text1"/>
                <w:sz w:val="20"/>
                <w:szCs w:val="20"/>
              </w:rPr>
              <w:t>Intraparticle diffusion Model</w:t>
            </w:r>
            <w:bookmarkEnd w:id="1"/>
            <w:bookmarkEnd w:id="2"/>
          </w:p>
        </w:tc>
      </w:tr>
      <w:tr w:rsidR="00CB5421" w:rsidRPr="002A173D" w:rsidTr="00CB5421">
        <w:trPr>
          <w:trHeight w:val="346"/>
          <w:jc w:val="center"/>
        </w:trPr>
        <w:tc>
          <w:tcPr>
            <w:tcW w:w="1843" w:type="dxa"/>
            <w:tcBorders>
              <w:top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Stage 1</w:t>
            </w:r>
          </w:p>
        </w:tc>
        <w:tc>
          <w:tcPr>
            <w:tcW w:w="2969" w:type="dxa"/>
            <w:tcBorders>
              <w:top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p>
        </w:tc>
      </w:tr>
      <w:tr w:rsidR="00CB5421" w:rsidRPr="002A173D" w:rsidTr="00CB5421">
        <w:trPr>
          <w:trHeight w:val="346"/>
          <w:jc w:val="center"/>
        </w:trPr>
        <w:tc>
          <w:tcPr>
            <w:tcW w:w="1843" w:type="dxa"/>
            <w:tcBorders>
              <w:left w:val="nil"/>
              <w:bottom w:val="nil"/>
              <w:right w:val="nil"/>
            </w:tcBorders>
            <w:noWrap/>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kint (mg·g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·min</w:t>
            </w:r>
            <w:r w:rsidRPr="002A173D">
              <w:rPr>
                <w:rFonts w:ascii="Times New Roman" w:eastAsiaTheme="minorEastAsia" w:hAnsi="Times New Roman" w:cs="Times New Roman"/>
                <w:color w:val="000000" w:themeColor="text1"/>
                <w:sz w:val="20"/>
                <w:szCs w:val="20"/>
                <w:vertAlign w:val="superscript"/>
              </w:rPr>
              <w:t>−0.5</w:t>
            </w:r>
            <w:r w:rsidRPr="002A173D">
              <w:rPr>
                <w:rFonts w:ascii="Times New Roman" w:eastAsiaTheme="minorEastAsia" w:hAnsi="Times New Roman" w:cs="Times New Roman"/>
                <w:color w:val="000000" w:themeColor="text1"/>
                <w:sz w:val="20"/>
                <w:szCs w:val="20"/>
              </w:rPr>
              <w:t>)</w:t>
            </w:r>
          </w:p>
        </w:tc>
        <w:tc>
          <w:tcPr>
            <w:tcW w:w="2969" w:type="dxa"/>
            <w:tcBorders>
              <w:left w:val="nil"/>
              <w:bottom w:val="nil"/>
              <w:right w:val="nil"/>
            </w:tcBorders>
            <w:noWrap/>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1.778</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C (mg·g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6.3826</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R</w:t>
            </w:r>
            <w:r w:rsidRPr="002A173D">
              <w:rPr>
                <w:rFonts w:ascii="Times New Roman" w:eastAsiaTheme="minorEastAsia" w:hAnsi="Times New Roman" w:cs="Times New Roman"/>
                <w:color w:val="000000" w:themeColor="text1"/>
                <w:sz w:val="20"/>
                <w:szCs w:val="20"/>
                <w:vertAlign w:val="superscript"/>
              </w:rPr>
              <w:t>2</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0.9536</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bCs/>
                <w:i/>
                <w:iCs/>
                <w:color w:val="000000" w:themeColor="text1"/>
                <w:sz w:val="20"/>
                <w:szCs w:val="20"/>
              </w:rPr>
              <w:t>Stage 2</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p>
        </w:tc>
      </w:tr>
      <w:tr w:rsidR="00CB5421" w:rsidRPr="002A173D" w:rsidTr="00CB5421">
        <w:trPr>
          <w:trHeight w:val="346"/>
          <w:jc w:val="center"/>
        </w:trPr>
        <w:tc>
          <w:tcPr>
            <w:tcW w:w="1843" w:type="dxa"/>
            <w:noWrap/>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kint (mg·g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 xml:space="preserve"> min</w:t>
            </w:r>
            <w:r w:rsidRPr="002A173D">
              <w:rPr>
                <w:rFonts w:ascii="Times New Roman" w:eastAsiaTheme="minorEastAsia" w:hAnsi="Times New Roman" w:cs="Times New Roman"/>
                <w:color w:val="000000" w:themeColor="text1"/>
                <w:sz w:val="20"/>
                <w:szCs w:val="20"/>
                <w:vertAlign w:val="superscript"/>
              </w:rPr>
              <w:t>−0.5</w:t>
            </w:r>
            <w:r w:rsidRPr="002A173D">
              <w:rPr>
                <w:rFonts w:ascii="Times New Roman" w:eastAsiaTheme="minorEastAsia" w:hAnsi="Times New Roman" w:cs="Times New Roman"/>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0.1024</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C (mg·g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15.72</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R</w:t>
            </w:r>
            <w:r w:rsidRPr="002A173D">
              <w:rPr>
                <w:rFonts w:ascii="Times New Roman" w:eastAsiaTheme="minorEastAsia" w:hAnsi="Times New Roman" w:cs="Times New Roman"/>
                <w:color w:val="000000" w:themeColor="text1"/>
                <w:sz w:val="20"/>
                <w:szCs w:val="20"/>
                <w:vertAlign w:val="superscript"/>
              </w:rPr>
              <w:t>2</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0.9996</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i/>
                <w:iCs/>
                <w:color w:val="000000" w:themeColor="text1"/>
                <w:sz w:val="20"/>
                <w:szCs w:val="20"/>
              </w:rPr>
              <w:t>Stage 3</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p>
        </w:tc>
      </w:tr>
      <w:tr w:rsidR="00CB5421" w:rsidRPr="002A173D" w:rsidTr="00CB5421">
        <w:trPr>
          <w:trHeight w:val="346"/>
          <w:jc w:val="center"/>
        </w:trPr>
        <w:tc>
          <w:tcPr>
            <w:tcW w:w="1843" w:type="dxa"/>
            <w:noWrap/>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k</w:t>
            </w:r>
            <w:r w:rsidRPr="002A173D">
              <w:rPr>
                <w:rFonts w:ascii="Times New Roman" w:eastAsiaTheme="minorEastAsia" w:hAnsi="Times New Roman" w:cs="Times New Roman"/>
                <w:color w:val="000000" w:themeColor="text1"/>
                <w:sz w:val="20"/>
                <w:szCs w:val="20"/>
                <w:vertAlign w:val="subscript"/>
              </w:rPr>
              <w:t>int</w:t>
            </w:r>
            <w:r w:rsidRPr="002A173D">
              <w:rPr>
                <w:rFonts w:ascii="Times New Roman" w:eastAsiaTheme="minorEastAsia" w:hAnsi="Times New Roman" w:cs="Times New Roman"/>
                <w:color w:val="000000" w:themeColor="text1"/>
                <w:sz w:val="20"/>
                <w:szCs w:val="20"/>
              </w:rPr>
              <w:t xml:space="preserve"> (mg·g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 xml:space="preserve"> min</w:t>
            </w:r>
            <w:r w:rsidRPr="002A173D">
              <w:rPr>
                <w:rFonts w:ascii="Times New Roman" w:eastAsiaTheme="minorEastAsia" w:hAnsi="Times New Roman" w:cs="Times New Roman"/>
                <w:color w:val="000000" w:themeColor="text1"/>
                <w:sz w:val="20"/>
                <w:szCs w:val="20"/>
                <w:vertAlign w:val="superscript"/>
              </w:rPr>
              <w:t>−0.5</w:t>
            </w:r>
            <w:r w:rsidRPr="002A173D">
              <w:rPr>
                <w:rFonts w:ascii="Times New Roman" w:eastAsiaTheme="minorEastAsia" w:hAnsi="Times New Roman" w:cs="Times New Roman"/>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0.02853</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C (mg·g</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16.24</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R</w:t>
            </w:r>
            <w:r w:rsidRPr="002A173D">
              <w:rPr>
                <w:rFonts w:ascii="Times New Roman" w:eastAsiaTheme="minorEastAsia" w:hAnsi="Times New Roman" w:cs="Times New Roman"/>
                <w:color w:val="000000" w:themeColor="text1"/>
                <w:sz w:val="20"/>
                <w:szCs w:val="20"/>
                <w:vertAlign w:val="superscript"/>
              </w:rPr>
              <w:t>2</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0.9996</w:t>
            </w:r>
          </w:p>
        </w:tc>
      </w:tr>
      <w:tr w:rsidR="00CB5421" w:rsidRPr="002A173D" w:rsidTr="00CB5421">
        <w:trPr>
          <w:trHeight w:val="346"/>
          <w:jc w:val="center"/>
        </w:trPr>
        <w:tc>
          <w:tcPr>
            <w:tcW w:w="1843" w:type="dxa"/>
            <w:tcBorders>
              <w:top w:val="single" w:sz="4" w:space="0" w:color="auto"/>
              <w:bottom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p>
        </w:tc>
        <w:tc>
          <w:tcPr>
            <w:tcW w:w="2969" w:type="dxa"/>
            <w:tcBorders>
              <w:top w:val="single" w:sz="4" w:space="0" w:color="auto"/>
              <w:bottom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Boyd film Model</w:t>
            </w:r>
          </w:p>
        </w:tc>
      </w:tr>
      <w:tr w:rsidR="00CB5421" w:rsidRPr="002A173D" w:rsidTr="00CB5421">
        <w:trPr>
          <w:trHeight w:val="346"/>
          <w:jc w:val="center"/>
        </w:trPr>
        <w:tc>
          <w:tcPr>
            <w:tcW w:w="1843" w:type="dxa"/>
            <w:tcBorders>
              <w:left w:val="nil"/>
              <w:bottom w:val="nil"/>
              <w:right w:val="nil"/>
            </w:tcBorders>
            <w:noWrap/>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K</w:t>
            </w:r>
            <w:r w:rsidRPr="002A173D">
              <w:rPr>
                <w:rFonts w:ascii="Times New Roman" w:eastAsiaTheme="minorEastAsia" w:hAnsi="Times New Roman" w:cs="Times New Roman"/>
                <w:color w:val="000000" w:themeColor="text1"/>
                <w:sz w:val="20"/>
                <w:szCs w:val="20"/>
                <w:vertAlign w:val="subscript"/>
              </w:rPr>
              <w:t>b</w:t>
            </w:r>
            <w:r w:rsidRPr="002A173D">
              <w:rPr>
                <w:rFonts w:ascii="Times New Roman" w:eastAsiaTheme="minorEastAsia" w:hAnsi="Times New Roman" w:cs="Times New Roman"/>
                <w:color w:val="000000" w:themeColor="text1"/>
                <w:sz w:val="20"/>
                <w:szCs w:val="20"/>
              </w:rPr>
              <w:t xml:space="preserve"> (min</w:t>
            </w:r>
            <w:r w:rsidRPr="002A173D">
              <w:rPr>
                <w:rFonts w:ascii="Times New Roman" w:eastAsiaTheme="minorEastAsia" w:hAnsi="Times New Roman" w:cs="Times New Roman"/>
                <w:color w:val="000000" w:themeColor="text1"/>
                <w:sz w:val="20"/>
                <w:szCs w:val="20"/>
                <w:vertAlign w:val="superscript"/>
              </w:rPr>
              <w:t>-1</w:t>
            </w:r>
            <w:r w:rsidRPr="002A173D">
              <w:rPr>
                <w:rFonts w:ascii="Times New Roman" w:eastAsiaTheme="minorEastAsia" w:hAnsi="Times New Roman" w:cs="Times New Roman"/>
                <w:color w:val="000000" w:themeColor="text1"/>
                <w:sz w:val="20"/>
                <w:szCs w:val="20"/>
              </w:rPr>
              <w:t>)</w:t>
            </w:r>
          </w:p>
        </w:tc>
        <w:tc>
          <w:tcPr>
            <w:tcW w:w="2969" w:type="dxa"/>
            <w:tcBorders>
              <w:left w:val="nil"/>
              <w:bottom w:val="nil"/>
              <w:right w:val="nil"/>
            </w:tcBorders>
            <w:noWrap/>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0.04306</w:t>
            </w:r>
          </w:p>
        </w:tc>
      </w:tr>
      <w:tr w:rsidR="00CB5421" w:rsidRPr="002A173D" w:rsidTr="00CB5421">
        <w:trPr>
          <w:trHeight w:val="346"/>
          <w:jc w:val="center"/>
        </w:trPr>
        <w:tc>
          <w:tcPr>
            <w:tcW w:w="1843" w:type="dxa"/>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Intercept</w:t>
            </w:r>
          </w:p>
        </w:tc>
        <w:tc>
          <w:tcPr>
            <w:tcW w:w="2969" w:type="dxa"/>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1.207</w:t>
            </w:r>
          </w:p>
        </w:tc>
      </w:tr>
      <w:tr w:rsidR="00CB5421" w:rsidRPr="002A173D" w:rsidTr="00CB5421">
        <w:trPr>
          <w:trHeight w:val="346"/>
          <w:jc w:val="center"/>
        </w:trPr>
        <w:tc>
          <w:tcPr>
            <w:tcW w:w="1843" w:type="dxa"/>
            <w:tcBorders>
              <w:bottom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color w:val="000000" w:themeColor="text1"/>
                <w:sz w:val="20"/>
                <w:szCs w:val="20"/>
              </w:rPr>
              <w:t>R</w:t>
            </w:r>
            <w:r w:rsidRPr="002A173D">
              <w:rPr>
                <w:rFonts w:ascii="Times New Roman" w:eastAsiaTheme="minorEastAsia" w:hAnsi="Times New Roman" w:cs="Times New Roman"/>
                <w:color w:val="000000" w:themeColor="text1"/>
                <w:sz w:val="20"/>
                <w:szCs w:val="20"/>
                <w:vertAlign w:val="superscript"/>
              </w:rPr>
              <w:t>2</w:t>
            </w:r>
          </w:p>
        </w:tc>
        <w:tc>
          <w:tcPr>
            <w:tcW w:w="2969" w:type="dxa"/>
            <w:tcBorders>
              <w:bottom w:val="single" w:sz="4" w:space="0" w:color="auto"/>
            </w:tcBorders>
            <w:noWrap/>
            <w:vAlign w:val="center"/>
          </w:tcPr>
          <w:p w:rsidR="00CB5421" w:rsidRPr="002A173D" w:rsidRDefault="00CB5421" w:rsidP="002A173D">
            <w:pPr>
              <w:spacing w:line="240" w:lineRule="auto"/>
              <w:jc w:val="both"/>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0.9662</w:t>
            </w:r>
          </w:p>
        </w:tc>
      </w:tr>
    </w:tbl>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q</w:t>
      </w:r>
      <w:r w:rsidRPr="002A173D">
        <w:rPr>
          <w:rFonts w:ascii="Times New Roman" w:eastAsiaTheme="minorEastAsia" w:hAnsi="Times New Roman" w:cs="Times New Roman"/>
          <w:i/>
          <w:sz w:val="20"/>
          <w:szCs w:val="20"/>
          <w:vertAlign w:val="subscript"/>
        </w:rPr>
        <w:t>e,est</w:t>
      </w:r>
      <w:r w:rsidRPr="002A173D">
        <w:rPr>
          <w:rFonts w:ascii="Times New Roman" w:eastAsiaTheme="minorEastAsia" w:hAnsi="Times New Roman" w:cs="Times New Roman"/>
          <w:i/>
          <w:sz w:val="20"/>
          <w:szCs w:val="20"/>
        </w:rPr>
        <w:t>: equilibrium adsorption capacities obtained from kinetic models</w:t>
      </w:r>
    </w:p>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q</w:t>
      </w:r>
      <w:r w:rsidRPr="002A173D">
        <w:rPr>
          <w:rFonts w:ascii="Times New Roman" w:eastAsiaTheme="minorEastAsia" w:hAnsi="Times New Roman" w:cs="Times New Roman"/>
          <w:i/>
          <w:sz w:val="20"/>
          <w:szCs w:val="20"/>
          <w:vertAlign w:val="subscript"/>
        </w:rPr>
        <w:t>e,exp</w:t>
      </w:r>
      <w:r w:rsidRPr="002A173D">
        <w:rPr>
          <w:rFonts w:ascii="Times New Roman" w:eastAsiaTheme="minorEastAsia" w:hAnsi="Times New Roman" w:cs="Times New Roman"/>
          <w:i/>
          <w:sz w:val="20"/>
          <w:szCs w:val="20"/>
        </w:rPr>
        <w:t>: experimental adsorption capacities at equilibrium</w:t>
      </w:r>
    </w:p>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k</w:t>
      </w:r>
      <w:r w:rsidRPr="002A173D">
        <w:rPr>
          <w:rFonts w:ascii="Times New Roman" w:eastAsiaTheme="minorEastAsia" w:hAnsi="Times New Roman" w:cs="Times New Roman"/>
          <w:i/>
          <w:sz w:val="20"/>
          <w:szCs w:val="20"/>
          <w:vertAlign w:val="subscript"/>
        </w:rPr>
        <w:t>1</w:t>
      </w:r>
      <w:r w:rsidRPr="002A173D">
        <w:rPr>
          <w:rFonts w:ascii="Times New Roman" w:eastAsiaTheme="minorEastAsia" w:hAnsi="Times New Roman" w:cs="Times New Roman"/>
          <w:i/>
          <w:sz w:val="20"/>
          <w:szCs w:val="20"/>
        </w:rPr>
        <w:t xml:space="preserve"> and k</w:t>
      </w:r>
      <w:r w:rsidRPr="002A173D">
        <w:rPr>
          <w:rFonts w:ascii="Times New Roman" w:eastAsiaTheme="minorEastAsia" w:hAnsi="Times New Roman" w:cs="Times New Roman"/>
          <w:i/>
          <w:sz w:val="20"/>
          <w:szCs w:val="20"/>
          <w:vertAlign w:val="subscript"/>
        </w:rPr>
        <w:t>2</w:t>
      </w:r>
      <w:r w:rsidRPr="002A173D">
        <w:rPr>
          <w:rFonts w:ascii="Times New Roman" w:eastAsiaTheme="minorEastAsia" w:hAnsi="Times New Roman" w:cs="Times New Roman"/>
          <w:i/>
          <w:sz w:val="20"/>
          <w:szCs w:val="20"/>
        </w:rPr>
        <w:t>: Adsorption kinetic rate constants of Pseudo-first order and Pseudo-second order models, respectively;</w:t>
      </w:r>
    </w:p>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R</w:t>
      </w:r>
      <w:r w:rsidRPr="002A173D">
        <w:rPr>
          <w:rFonts w:ascii="Times New Roman" w:eastAsiaTheme="minorEastAsia" w:hAnsi="Times New Roman" w:cs="Times New Roman"/>
          <w:i/>
          <w:sz w:val="20"/>
          <w:szCs w:val="20"/>
          <w:vertAlign w:val="superscript"/>
        </w:rPr>
        <w:t>2</w:t>
      </w:r>
      <w:r w:rsidRPr="002A173D">
        <w:rPr>
          <w:rFonts w:ascii="Times New Roman" w:eastAsiaTheme="minorEastAsia" w:hAnsi="Times New Roman" w:cs="Times New Roman"/>
          <w:i/>
          <w:sz w:val="20"/>
          <w:szCs w:val="20"/>
        </w:rPr>
        <w:t>: Correlation coefficient;</w:t>
      </w:r>
    </w:p>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k</w:t>
      </w:r>
      <w:r w:rsidRPr="002A173D">
        <w:rPr>
          <w:rFonts w:ascii="Times New Roman" w:eastAsiaTheme="minorEastAsia" w:hAnsi="Times New Roman" w:cs="Times New Roman"/>
          <w:i/>
          <w:sz w:val="20"/>
          <w:szCs w:val="20"/>
          <w:vertAlign w:val="subscript"/>
        </w:rPr>
        <w:t>int</w:t>
      </w:r>
      <w:r w:rsidRPr="002A173D">
        <w:rPr>
          <w:rFonts w:ascii="Times New Roman" w:eastAsiaTheme="minorEastAsia" w:hAnsi="Times New Roman" w:cs="Times New Roman"/>
          <w:i/>
          <w:sz w:val="20"/>
          <w:szCs w:val="20"/>
        </w:rPr>
        <w:t>: Intraparticle diffusion rate constant;</w:t>
      </w:r>
    </w:p>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K</w:t>
      </w:r>
      <w:r w:rsidRPr="002A173D">
        <w:rPr>
          <w:rFonts w:ascii="Times New Roman" w:eastAsiaTheme="minorEastAsia" w:hAnsi="Times New Roman" w:cs="Times New Roman"/>
          <w:i/>
          <w:sz w:val="20"/>
          <w:szCs w:val="20"/>
          <w:vertAlign w:val="subscript"/>
        </w:rPr>
        <w:t>b</w:t>
      </w:r>
      <w:r w:rsidRPr="002A173D">
        <w:rPr>
          <w:rFonts w:ascii="Times New Roman" w:eastAsiaTheme="minorEastAsia" w:hAnsi="Times New Roman" w:cs="Times New Roman"/>
          <w:i/>
          <w:sz w:val="20"/>
          <w:szCs w:val="20"/>
        </w:rPr>
        <w:t>: Boyd film diffusion rate constant;</w:t>
      </w:r>
    </w:p>
    <w:p w:rsidR="00765559" w:rsidRPr="002A173D" w:rsidRDefault="00765559" w:rsidP="002A173D">
      <w:pPr>
        <w:spacing w:line="240" w:lineRule="auto"/>
        <w:ind w:firstLineChars="200" w:firstLine="400"/>
        <w:rPr>
          <w:rFonts w:ascii="Times New Roman" w:eastAsiaTheme="minorEastAsia" w:hAnsi="Times New Roman" w:cs="Times New Roman"/>
          <w:i/>
          <w:sz w:val="20"/>
          <w:szCs w:val="20"/>
        </w:rPr>
      </w:pPr>
      <w:r w:rsidRPr="002A173D">
        <w:rPr>
          <w:rFonts w:ascii="Times New Roman" w:eastAsiaTheme="minorEastAsia" w:hAnsi="Times New Roman" w:cs="Times New Roman"/>
          <w:i/>
          <w:sz w:val="20"/>
          <w:szCs w:val="20"/>
        </w:rPr>
        <w:t>C: Constant related to the boundary layer thickness;</w:t>
      </w:r>
    </w:p>
    <w:p w:rsidR="002F00C2" w:rsidRPr="002A173D" w:rsidRDefault="002F00C2" w:rsidP="002A173D">
      <w:pPr>
        <w:spacing w:line="240" w:lineRule="auto"/>
        <w:rPr>
          <w:rFonts w:ascii="Times New Roman" w:eastAsiaTheme="minorEastAsia" w:hAnsi="Times New Roman" w:cs="Times New Roman"/>
          <w:sz w:val="20"/>
          <w:szCs w:val="20"/>
        </w:rPr>
        <w:sectPr w:rsidR="002F00C2" w:rsidRPr="002A173D" w:rsidSect="0087344E">
          <w:pgSz w:w="11906" w:h="16838"/>
          <w:pgMar w:top="1440" w:right="1800" w:bottom="1440" w:left="1800" w:header="851" w:footer="992" w:gutter="0"/>
          <w:cols w:space="425"/>
          <w:docGrid w:type="lines" w:linePitch="312"/>
        </w:sectPr>
      </w:pPr>
    </w:p>
    <w:p w:rsidR="00765559" w:rsidRPr="002A173D" w:rsidRDefault="00765559" w:rsidP="002A173D">
      <w:pPr>
        <w:spacing w:line="240" w:lineRule="auto"/>
        <w:rPr>
          <w:rFonts w:ascii="Times New Roman" w:eastAsiaTheme="minorEastAsia" w:hAnsi="Times New Roman" w:cs="Times New Roman"/>
          <w:sz w:val="20"/>
          <w:szCs w:val="20"/>
        </w:rPr>
      </w:pPr>
    </w:p>
    <w:p w:rsidR="002F00C2" w:rsidRPr="002A173D" w:rsidRDefault="002F00C2" w:rsidP="002A173D">
      <w:pPr>
        <w:spacing w:after="160" w:line="240" w:lineRule="auto"/>
        <w:jc w:val="both"/>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t>Table S2 Isotherm parameters for the adsorption Re (VII) on 3-ATAR</w:t>
      </w:r>
      <w:r w:rsidR="00B04295" w:rsidRPr="002A173D">
        <w:rPr>
          <w:rFonts w:ascii="Times New Roman" w:eastAsiaTheme="minorEastAsia" w:hAnsi="Times New Roman" w:cs="Times New Roman"/>
          <w:sz w:val="20"/>
          <w:szCs w:val="20"/>
        </w:rPr>
        <w:t xml:space="preserve"> in U/Re binary system</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276"/>
        <w:gridCol w:w="1276"/>
        <w:gridCol w:w="1134"/>
        <w:gridCol w:w="1984"/>
        <w:gridCol w:w="804"/>
        <w:gridCol w:w="693"/>
      </w:tblGrid>
      <w:tr w:rsidR="002F00C2" w:rsidRPr="002A173D" w:rsidTr="006C547D">
        <w:trPr>
          <w:trHeight w:val="351"/>
          <w:jc w:val="center"/>
        </w:trPr>
        <w:tc>
          <w:tcPr>
            <w:tcW w:w="1129" w:type="dxa"/>
            <w:tcBorders>
              <w:left w:val="nil"/>
              <w:bottom w:val="nil"/>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bCs/>
                <w:i/>
                <w:iCs/>
                <w:color w:val="000000" w:themeColor="text1"/>
                <w:sz w:val="20"/>
                <w:szCs w:val="20"/>
              </w:rPr>
            </w:pPr>
          </w:p>
        </w:tc>
        <w:tc>
          <w:tcPr>
            <w:tcW w:w="3686" w:type="dxa"/>
            <w:gridSpan w:val="3"/>
            <w:tcBorders>
              <w:left w:val="nil"/>
              <w:bottom w:val="nil"/>
              <w:right w:val="nil"/>
            </w:tcBorders>
            <w:noWrap/>
            <w:vAlign w:val="center"/>
            <w:hideMark/>
          </w:tcPr>
          <w:p w:rsidR="002F00C2" w:rsidRPr="002A173D" w:rsidRDefault="002F00C2" w:rsidP="002A173D">
            <w:pPr>
              <w:spacing w:line="240" w:lineRule="auto"/>
              <w:jc w:val="center"/>
              <w:rPr>
                <w:rFonts w:ascii="Times New Roman" w:hAnsi="Times New Roman" w:cs="Times New Roman"/>
                <w:bCs/>
                <w:color w:val="000000" w:themeColor="text1"/>
                <w:sz w:val="20"/>
                <w:szCs w:val="20"/>
              </w:rPr>
            </w:pPr>
            <w:r w:rsidRPr="002A173D">
              <w:rPr>
                <w:rFonts w:ascii="Times New Roman" w:eastAsiaTheme="minorEastAsia" w:hAnsi="Times New Roman" w:cs="Times New Roman"/>
                <w:bCs/>
                <w:color w:val="000000" w:themeColor="text1"/>
                <w:sz w:val="20"/>
                <w:szCs w:val="20"/>
              </w:rPr>
              <w:t>Langmuir model</w:t>
            </w:r>
          </w:p>
        </w:tc>
        <w:tc>
          <w:tcPr>
            <w:tcW w:w="3481" w:type="dxa"/>
            <w:gridSpan w:val="3"/>
            <w:tcBorders>
              <w:left w:val="nil"/>
              <w:bottom w:val="nil"/>
              <w:right w:val="nil"/>
            </w:tcBorders>
            <w:vAlign w:val="center"/>
          </w:tcPr>
          <w:p w:rsidR="002F00C2" w:rsidRPr="002A173D" w:rsidRDefault="002F00C2" w:rsidP="002A173D">
            <w:pPr>
              <w:spacing w:line="240" w:lineRule="auto"/>
              <w:jc w:val="center"/>
              <w:rPr>
                <w:rFonts w:ascii="Times New Roman" w:hAnsi="Times New Roman" w:cs="Times New Roman"/>
                <w:bCs/>
                <w:color w:val="000000" w:themeColor="text1"/>
                <w:sz w:val="20"/>
                <w:szCs w:val="20"/>
              </w:rPr>
            </w:pPr>
            <w:r w:rsidRPr="002A173D">
              <w:rPr>
                <w:rFonts w:ascii="Times New Roman" w:eastAsiaTheme="minorEastAsia" w:hAnsi="Times New Roman" w:cs="Times New Roman"/>
                <w:bCs/>
                <w:color w:val="000000" w:themeColor="text1"/>
                <w:sz w:val="20"/>
                <w:szCs w:val="20"/>
              </w:rPr>
              <w:t>Freundlich model</w:t>
            </w:r>
          </w:p>
        </w:tc>
      </w:tr>
      <w:tr w:rsidR="002F00C2" w:rsidRPr="002A173D" w:rsidTr="002F00C2">
        <w:trPr>
          <w:trHeight w:val="346"/>
          <w:jc w:val="center"/>
        </w:trPr>
        <w:tc>
          <w:tcPr>
            <w:tcW w:w="1129" w:type="dxa"/>
            <w:tcBorders>
              <w:top w:val="nil"/>
              <w:left w:val="nil"/>
              <w:bottom w:val="single" w:sz="4" w:space="0" w:color="auto"/>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bCs/>
                <w:iCs/>
                <w:color w:val="000000" w:themeColor="text1"/>
                <w:sz w:val="20"/>
                <w:szCs w:val="20"/>
              </w:rPr>
            </w:pPr>
          </w:p>
        </w:tc>
        <w:tc>
          <w:tcPr>
            <w:tcW w:w="1276" w:type="dxa"/>
            <w:tcBorders>
              <w:top w:val="nil"/>
              <w:left w:val="nil"/>
              <w:bottom w:val="single" w:sz="4" w:space="0" w:color="auto"/>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q</w:t>
            </w:r>
            <w:r w:rsidRPr="002A173D">
              <w:rPr>
                <w:rFonts w:ascii="Times New Roman" w:eastAsiaTheme="minorEastAsia" w:hAnsi="Times New Roman" w:cs="Times New Roman"/>
                <w:bCs/>
                <w:iCs/>
                <w:color w:val="000000" w:themeColor="text1"/>
                <w:sz w:val="20"/>
                <w:szCs w:val="20"/>
                <w:vertAlign w:val="subscript"/>
              </w:rPr>
              <w:t>e</w:t>
            </w:r>
            <w:r w:rsidRPr="002A173D">
              <w:rPr>
                <w:rFonts w:ascii="Times New Roman" w:eastAsiaTheme="minorEastAsia" w:hAnsi="Times New Roman" w:cs="Times New Roman"/>
                <w:bCs/>
                <w:iCs/>
                <w:color w:val="000000" w:themeColor="text1"/>
                <w:sz w:val="20"/>
                <w:szCs w:val="20"/>
              </w:rPr>
              <w:t>(mg g</w:t>
            </w:r>
            <w:r w:rsidRPr="002A173D">
              <w:rPr>
                <w:rFonts w:ascii="Times New Roman" w:eastAsiaTheme="minorEastAsia" w:hAnsi="Times New Roman" w:cs="Times New Roman"/>
                <w:bCs/>
                <w:iCs/>
                <w:color w:val="000000" w:themeColor="text1"/>
                <w:sz w:val="20"/>
                <w:szCs w:val="20"/>
                <w:vertAlign w:val="superscript"/>
              </w:rPr>
              <w:t>-1</w:t>
            </w:r>
            <w:r w:rsidRPr="002A173D">
              <w:rPr>
                <w:rFonts w:ascii="Times New Roman" w:eastAsiaTheme="minorEastAsia" w:hAnsi="Times New Roman" w:cs="Times New Roman"/>
                <w:bCs/>
                <w:iCs/>
                <w:color w:val="000000" w:themeColor="text1"/>
                <w:sz w:val="20"/>
                <w:szCs w:val="20"/>
              </w:rPr>
              <w:t>)</w:t>
            </w:r>
          </w:p>
        </w:tc>
        <w:tc>
          <w:tcPr>
            <w:tcW w:w="1276" w:type="dxa"/>
            <w:tcBorders>
              <w:top w:val="nil"/>
              <w:left w:val="nil"/>
              <w:bottom w:val="single" w:sz="4" w:space="0" w:color="auto"/>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k1(L mg</w:t>
            </w:r>
            <w:r w:rsidRPr="002A173D">
              <w:rPr>
                <w:rFonts w:ascii="Times New Roman" w:eastAsiaTheme="minorEastAsia" w:hAnsi="Times New Roman" w:cs="Times New Roman"/>
                <w:bCs/>
                <w:iCs/>
                <w:color w:val="000000" w:themeColor="text1"/>
                <w:sz w:val="20"/>
                <w:szCs w:val="20"/>
                <w:vertAlign w:val="superscript"/>
              </w:rPr>
              <w:t>-1</w:t>
            </w:r>
            <w:r w:rsidRPr="002A173D">
              <w:rPr>
                <w:rFonts w:ascii="Times New Roman" w:eastAsiaTheme="minorEastAsia" w:hAnsi="Times New Roman" w:cs="Times New Roman"/>
                <w:bCs/>
                <w:iCs/>
                <w:color w:val="000000" w:themeColor="text1"/>
                <w:sz w:val="20"/>
                <w:szCs w:val="20"/>
              </w:rPr>
              <w:t>)</w:t>
            </w:r>
          </w:p>
        </w:tc>
        <w:tc>
          <w:tcPr>
            <w:tcW w:w="1134" w:type="dxa"/>
            <w:tcBorders>
              <w:top w:val="nil"/>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R</w:t>
            </w:r>
            <w:r w:rsidRPr="002A173D">
              <w:rPr>
                <w:rFonts w:ascii="Times New Roman" w:eastAsiaTheme="minorEastAsia" w:hAnsi="Times New Roman" w:cs="Times New Roman"/>
                <w:bCs/>
                <w:color w:val="000000" w:themeColor="text1"/>
                <w:sz w:val="20"/>
                <w:szCs w:val="20"/>
                <w:vertAlign w:val="superscript"/>
              </w:rPr>
              <w:t>2</w:t>
            </w:r>
          </w:p>
        </w:tc>
        <w:tc>
          <w:tcPr>
            <w:tcW w:w="1984" w:type="dxa"/>
            <w:tcBorders>
              <w:top w:val="nil"/>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k</w:t>
            </w:r>
            <w:r w:rsidRPr="002A173D">
              <w:rPr>
                <w:rFonts w:ascii="Times New Roman" w:eastAsiaTheme="minorEastAsia" w:hAnsi="Times New Roman" w:cs="Times New Roman"/>
                <w:bCs/>
                <w:color w:val="000000" w:themeColor="text1"/>
                <w:sz w:val="20"/>
                <w:szCs w:val="20"/>
                <w:vertAlign w:val="subscript"/>
              </w:rPr>
              <w:t>2</w:t>
            </w:r>
            <w:r w:rsidRPr="002A173D">
              <w:rPr>
                <w:rFonts w:ascii="Times New Roman" w:eastAsiaTheme="minorEastAsia" w:hAnsi="Times New Roman" w:cs="Times New Roman"/>
                <w:bCs/>
                <w:iCs/>
                <w:color w:val="000000" w:themeColor="text1"/>
                <w:sz w:val="20"/>
                <w:szCs w:val="20"/>
              </w:rPr>
              <w:t xml:space="preserve"> </w:t>
            </w:r>
            <w:r w:rsidRPr="002A173D">
              <w:rPr>
                <w:rFonts w:ascii="Times New Roman" w:eastAsiaTheme="minorEastAsia" w:hAnsi="Times New Roman" w:cs="Times New Roman"/>
                <w:bCs/>
                <w:color w:val="000000" w:themeColor="text1"/>
                <w:sz w:val="20"/>
                <w:szCs w:val="20"/>
              </w:rPr>
              <w:t>/ (mg/g)/(mg/l)1/n)</w:t>
            </w:r>
          </w:p>
        </w:tc>
        <w:tc>
          <w:tcPr>
            <w:tcW w:w="804" w:type="dxa"/>
            <w:tcBorders>
              <w:top w:val="nil"/>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n</w:t>
            </w:r>
          </w:p>
        </w:tc>
        <w:tc>
          <w:tcPr>
            <w:tcW w:w="693" w:type="dxa"/>
            <w:tcBorders>
              <w:top w:val="nil"/>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eastAsiaTheme="minorEastAsia" w:hAnsi="Times New Roman" w:cs="Times New Roman"/>
                <w:bCs/>
                <w:iCs/>
                <w:color w:val="000000" w:themeColor="text1"/>
                <w:sz w:val="20"/>
                <w:szCs w:val="20"/>
              </w:rPr>
              <w:t>R</w:t>
            </w:r>
            <w:r w:rsidRPr="002A173D">
              <w:rPr>
                <w:rFonts w:ascii="Times New Roman" w:eastAsiaTheme="minorEastAsia" w:hAnsi="Times New Roman" w:cs="Times New Roman"/>
                <w:bCs/>
                <w:color w:val="000000" w:themeColor="text1"/>
                <w:sz w:val="20"/>
                <w:szCs w:val="20"/>
                <w:vertAlign w:val="superscript"/>
              </w:rPr>
              <w:t>2</w:t>
            </w:r>
          </w:p>
        </w:tc>
      </w:tr>
      <w:tr w:rsidR="002F00C2" w:rsidRPr="002A173D" w:rsidTr="002F00C2">
        <w:trPr>
          <w:trHeight w:val="346"/>
          <w:jc w:val="center"/>
        </w:trPr>
        <w:tc>
          <w:tcPr>
            <w:tcW w:w="1129" w:type="dxa"/>
            <w:tcBorders>
              <w:top w:val="single" w:sz="4" w:space="0" w:color="auto"/>
              <w:left w:val="nil"/>
              <w:bottom w:val="single" w:sz="4" w:space="0" w:color="auto"/>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bCs/>
                <w:i/>
                <w:iCs/>
                <w:color w:val="000000" w:themeColor="text1"/>
                <w:sz w:val="20"/>
                <w:szCs w:val="20"/>
              </w:rPr>
            </w:pPr>
            <w:r w:rsidRPr="002A173D">
              <w:rPr>
                <w:rFonts w:ascii="Times New Roman" w:eastAsiaTheme="minorEastAsia" w:hAnsi="Times New Roman" w:cs="Times New Roman"/>
                <w:bCs/>
                <w:color w:val="000000" w:themeColor="text1"/>
                <w:sz w:val="20"/>
                <w:szCs w:val="20"/>
              </w:rPr>
              <w:t>3-ATAR</w:t>
            </w:r>
          </w:p>
        </w:tc>
        <w:tc>
          <w:tcPr>
            <w:tcW w:w="1276" w:type="dxa"/>
            <w:tcBorders>
              <w:top w:val="single" w:sz="4" w:space="0" w:color="auto"/>
              <w:left w:val="nil"/>
              <w:bottom w:val="single" w:sz="4" w:space="0" w:color="auto"/>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hAnsi="Times New Roman" w:cs="Times New Roman"/>
                <w:color w:val="000000" w:themeColor="text1"/>
                <w:sz w:val="20"/>
                <w:szCs w:val="20"/>
              </w:rPr>
              <w:t>146.4</w:t>
            </w:r>
          </w:p>
        </w:tc>
        <w:tc>
          <w:tcPr>
            <w:tcW w:w="1276" w:type="dxa"/>
            <w:tcBorders>
              <w:top w:val="single" w:sz="4" w:space="0" w:color="auto"/>
              <w:left w:val="nil"/>
              <w:bottom w:val="single" w:sz="4" w:space="0" w:color="auto"/>
              <w:right w:val="nil"/>
            </w:tcBorders>
            <w:noWrap/>
            <w:vAlign w:val="center"/>
            <w:hideMark/>
          </w:tcPr>
          <w:p w:rsidR="002F00C2" w:rsidRPr="002A173D" w:rsidRDefault="002F00C2"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hAnsi="Times New Roman" w:cs="Times New Roman"/>
                <w:color w:val="000000" w:themeColor="text1"/>
                <w:sz w:val="20"/>
                <w:szCs w:val="20"/>
              </w:rPr>
              <w:t>0.025</w:t>
            </w:r>
          </w:p>
        </w:tc>
        <w:tc>
          <w:tcPr>
            <w:tcW w:w="1134" w:type="dxa"/>
            <w:tcBorders>
              <w:top w:val="single" w:sz="4" w:space="0" w:color="auto"/>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hAnsi="Times New Roman" w:cs="Times New Roman"/>
                <w:color w:val="000000" w:themeColor="text1"/>
                <w:sz w:val="20"/>
                <w:szCs w:val="20"/>
              </w:rPr>
              <w:t>0.9870</w:t>
            </w:r>
          </w:p>
        </w:tc>
        <w:tc>
          <w:tcPr>
            <w:tcW w:w="1984" w:type="dxa"/>
            <w:tcBorders>
              <w:top w:val="single" w:sz="4" w:space="0" w:color="auto"/>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hAnsi="Times New Roman" w:cs="Times New Roman"/>
                <w:color w:val="000000" w:themeColor="text1"/>
                <w:sz w:val="20"/>
                <w:szCs w:val="20"/>
              </w:rPr>
              <w:t>12.71</w:t>
            </w:r>
          </w:p>
        </w:tc>
        <w:tc>
          <w:tcPr>
            <w:tcW w:w="804" w:type="dxa"/>
            <w:tcBorders>
              <w:top w:val="single" w:sz="4" w:space="0" w:color="auto"/>
              <w:left w:val="nil"/>
              <w:bottom w:val="single" w:sz="4" w:space="0" w:color="auto"/>
              <w:right w:val="nil"/>
            </w:tcBorders>
            <w:vAlign w:val="center"/>
          </w:tcPr>
          <w:p w:rsidR="002F00C2" w:rsidRPr="002A173D" w:rsidRDefault="002F00C2" w:rsidP="002A173D">
            <w:pPr>
              <w:spacing w:line="240" w:lineRule="auto"/>
              <w:jc w:val="center"/>
              <w:rPr>
                <w:rFonts w:ascii="Times New Roman" w:hAnsi="Times New Roman" w:cs="Times New Roman"/>
                <w:color w:val="000000" w:themeColor="text1"/>
                <w:sz w:val="20"/>
                <w:szCs w:val="20"/>
              </w:rPr>
            </w:pPr>
            <w:r w:rsidRPr="002A173D">
              <w:rPr>
                <w:rFonts w:ascii="Times New Roman" w:hAnsi="Times New Roman" w:cs="Times New Roman"/>
                <w:color w:val="000000" w:themeColor="text1"/>
                <w:sz w:val="20"/>
                <w:szCs w:val="20"/>
              </w:rPr>
              <w:t>2.425</w:t>
            </w:r>
          </w:p>
        </w:tc>
        <w:tc>
          <w:tcPr>
            <w:tcW w:w="693" w:type="dxa"/>
            <w:tcBorders>
              <w:top w:val="single" w:sz="4" w:space="0" w:color="auto"/>
              <w:left w:val="nil"/>
              <w:bottom w:val="single" w:sz="4" w:space="0" w:color="auto"/>
              <w:right w:val="nil"/>
            </w:tcBorders>
            <w:vAlign w:val="center"/>
          </w:tcPr>
          <w:p w:rsidR="002F00C2" w:rsidRPr="002A173D" w:rsidRDefault="002F00C2" w:rsidP="002A173D">
            <w:pPr>
              <w:spacing w:line="240" w:lineRule="auto"/>
              <w:jc w:val="center"/>
              <w:rPr>
                <w:rFonts w:ascii="Times New Roman" w:eastAsiaTheme="minorEastAsia" w:hAnsi="Times New Roman" w:cs="Times New Roman"/>
                <w:color w:val="000000" w:themeColor="text1"/>
                <w:sz w:val="20"/>
                <w:szCs w:val="20"/>
              </w:rPr>
            </w:pPr>
            <w:r w:rsidRPr="002A173D">
              <w:rPr>
                <w:rFonts w:ascii="Times New Roman" w:eastAsiaTheme="minorEastAsia" w:hAnsi="Times New Roman" w:cs="Times New Roman"/>
                <w:color w:val="000000" w:themeColor="text1"/>
                <w:sz w:val="20"/>
                <w:szCs w:val="20"/>
              </w:rPr>
              <w:t>0.9942</w:t>
            </w:r>
          </w:p>
        </w:tc>
      </w:tr>
    </w:tbl>
    <w:p w:rsidR="002F00C2" w:rsidRPr="002A173D" w:rsidRDefault="002F00C2" w:rsidP="002A173D">
      <w:pPr>
        <w:spacing w:beforeLines="50" w:before="156" w:afterLines="50" w:after="156" w:line="240" w:lineRule="auto"/>
        <w:contextualSpacing/>
        <w:rPr>
          <w:rFonts w:ascii="Times New Roman" w:eastAsiaTheme="minorEastAsia" w:hAnsi="Times New Roman" w:cs="Times New Roman"/>
          <w:i/>
          <w:sz w:val="20"/>
          <w:szCs w:val="20"/>
        </w:rPr>
        <w:sectPr w:rsidR="002F00C2" w:rsidRPr="002A173D" w:rsidSect="0087344E">
          <w:pgSz w:w="11906" w:h="16838"/>
          <w:pgMar w:top="1440" w:right="1800" w:bottom="1440" w:left="1800" w:header="851" w:footer="992" w:gutter="0"/>
          <w:cols w:space="425"/>
          <w:docGrid w:type="lines" w:linePitch="312"/>
        </w:sectPr>
      </w:pPr>
    </w:p>
    <w:p w:rsidR="002F00C2" w:rsidRPr="002A173D" w:rsidRDefault="002F00C2" w:rsidP="002A173D">
      <w:pPr>
        <w:spacing w:line="240" w:lineRule="auto"/>
        <w:rPr>
          <w:rFonts w:ascii="Times New Roman" w:eastAsiaTheme="minorEastAsia" w:hAnsi="Times New Roman" w:cs="Times New Roman"/>
          <w:sz w:val="20"/>
          <w:szCs w:val="20"/>
        </w:rPr>
      </w:pPr>
    </w:p>
    <w:p w:rsidR="003F39DB" w:rsidRPr="002A173D" w:rsidRDefault="003F39DB" w:rsidP="002A173D">
      <w:pPr>
        <w:spacing w:line="240" w:lineRule="auto"/>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t>Reference</w:t>
      </w:r>
    </w:p>
    <w:p w:rsidR="00B04295" w:rsidRPr="002A173D" w:rsidRDefault="003F39DB"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eastAsiaTheme="minorEastAsia" w:hAnsi="Times New Roman" w:cs="Times New Roman"/>
          <w:sz w:val="20"/>
          <w:szCs w:val="20"/>
        </w:rPr>
        <w:fldChar w:fldCharType="begin" w:fldLock="1"/>
      </w:r>
      <w:r w:rsidRPr="002A173D">
        <w:rPr>
          <w:rFonts w:ascii="Times New Roman" w:eastAsiaTheme="minorEastAsia" w:hAnsi="Times New Roman" w:cs="Times New Roman"/>
          <w:sz w:val="20"/>
          <w:szCs w:val="20"/>
        </w:rPr>
        <w:instrText xml:space="preserve">ADDIN Mendeley Bibliography CSL_BIBLIOGRAPHY </w:instrText>
      </w:r>
      <w:r w:rsidRPr="002A173D">
        <w:rPr>
          <w:rFonts w:ascii="Times New Roman" w:eastAsiaTheme="minorEastAsia" w:hAnsi="Times New Roman" w:cs="Times New Roman"/>
          <w:sz w:val="20"/>
          <w:szCs w:val="20"/>
        </w:rPr>
        <w:fldChar w:fldCharType="separate"/>
      </w:r>
      <w:r w:rsidR="00B04295" w:rsidRPr="002A173D">
        <w:rPr>
          <w:rFonts w:ascii="Times New Roman" w:hAnsi="Times New Roman" w:cs="Times New Roman"/>
          <w:noProof/>
          <w:sz w:val="20"/>
          <w:szCs w:val="24"/>
        </w:rPr>
        <w:t>Boyd GE, Adamson AW, Myers LS (1947) The Exchange Adsorption of Ions from Aqueous Solutions by Organic Zeolites. II. Kinetics. J Am Chem Soc 69:2836–2848. https://doi.org/10.1021/ja01203a066</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Freundlich HMF (1906) Over the adsorption in solution. J Phys Chem 57:1100–1107</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Ho YS, McKay G (1998) A Comparison of chemisorption kinetic models applied to pollutant removal on various sorbents. Process Saf Environ Prot 76:332–340. https://doi.org/10.1205/095758298529696</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Langmuir I (1917) The Adsorption of Gases on Plane Surfaces of Glass, Mica and Platinum. J Am Chem Soc 40:. https://doi.org/10.1021/ja02242a004</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Moghaddam RH, Dadfarnia S, Shabani AMH, Tavakol M (2019) Synthesis of composite hydrogel of glutamic acid, gum tragacanth, and anionic polyacrylamide by electron beam irradiation for uranium (VI) removal from aqueous samples: Equilibrium, kinetics, and thermodynamic studies. Carbohydr Polym 206:352–361. https://doi.org/10.1016/j.carbpol.2018.10.030</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Reichenberg D, McCauley D (1955) Properties of ion-exchange resins in relation to their structure. Part VII. Cation-exchange equilibria on sulphonated polystyrene resins of varying degrees of cross-linking. J Chem Soc 3:. https://doi.org/10.1039/jr9550002741</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Vashchenko O V., Khomenko DM, Doroshchuk RO, et al (2016) Structure and Fluorescence Properties of Uranyl Ion Complexes with 3-(2-Hydroxyphenyl)-5-(2-Pyridyl)-1,2,4-Triazole Derivatives. Theor Exp Chem 52:38–43. https://doi.org/10.1007/s11237-016-9448-8</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szCs w:val="24"/>
        </w:rPr>
      </w:pPr>
      <w:r w:rsidRPr="002A173D">
        <w:rPr>
          <w:rFonts w:ascii="Times New Roman" w:hAnsi="Times New Roman" w:cs="Times New Roman"/>
          <w:noProof/>
          <w:sz w:val="20"/>
          <w:szCs w:val="24"/>
        </w:rPr>
        <w:t>W.J. Weber JCM (1963) Kinetics of Adsorption on Carbon from Solution. J Sanit Eng Div 89:31–40</w:t>
      </w:r>
    </w:p>
    <w:p w:rsidR="00B04295" w:rsidRPr="002A173D" w:rsidRDefault="00B04295" w:rsidP="002A173D">
      <w:pPr>
        <w:autoSpaceDE w:val="0"/>
        <w:autoSpaceDN w:val="0"/>
        <w:adjustRightInd w:val="0"/>
        <w:spacing w:line="240" w:lineRule="auto"/>
        <w:ind w:left="480" w:hanging="480"/>
        <w:rPr>
          <w:rFonts w:ascii="Times New Roman" w:hAnsi="Times New Roman" w:cs="Times New Roman"/>
          <w:noProof/>
          <w:sz w:val="20"/>
        </w:rPr>
      </w:pPr>
      <w:r w:rsidRPr="002A173D">
        <w:rPr>
          <w:rFonts w:ascii="Times New Roman" w:hAnsi="Times New Roman" w:cs="Times New Roman"/>
          <w:noProof/>
          <w:sz w:val="20"/>
          <w:szCs w:val="24"/>
        </w:rPr>
        <w:t>Wrzosek B, Bukowska J (2007) Molecular structure of 3-amino-5-mercapto-1,2,4-triazole self-assembled monolayers on Ag and Au surfaces. J Phys Chem C 111:17397–17403. https://doi.org/10.1021/jp075442c</w:t>
      </w:r>
    </w:p>
    <w:p w:rsidR="00765559" w:rsidRPr="002A173D" w:rsidRDefault="003F39DB" w:rsidP="002A173D">
      <w:pPr>
        <w:spacing w:line="240" w:lineRule="auto"/>
        <w:rPr>
          <w:rFonts w:ascii="Times New Roman" w:eastAsiaTheme="minorEastAsia" w:hAnsi="Times New Roman" w:cs="Times New Roman"/>
          <w:sz w:val="20"/>
          <w:szCs w:val="20"/>
        </w:rPr>
      </w:pPr>
      <w:r w:rsidRPr="002A173D">
        <w:rPr>
          <w:rFonts w:ascii="Times New Roman" w:eastAsiaTheme="minorEastAsia" w:hAnsi="Times New Roman" w:cs="Times New Roman"/>
          <w:sz w:val="20"/>
          <w:szCs w:val="20"/>
        </w:rPr>
        <w:fldChar w:fldCharType="end"/>
      </w:r>
    </w:p>
    <w:sectPr w:rsidR="00765559" w:rsidRPr="002A173D" w:rsidSect="008734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6C0" w:rsidRDefault="007936C0" w:rsidP="00EC67D1">
      <w:pPr>
        <w:spacing w:line="240" w:lineRule="auto"/>
      </w:pPr>
      <w:r>
        <w:separator/>
      </w:r>
    </w:p>
  </w:endnote>
  <w:endnote w:type="continuationSeparator" w:id="0">
    <w:p w:rsidR="007936C0" w:rsidRDefault="007936C0" w:rsidP="00EC6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658456"/>
      <w:docPartObj>
        <w:docPartGallery w:val="Page Numbers (Bottom of Page)"/>
        <w:docPartUnique/>
      </w:docPartObj>
    </w:sdtPr>
    <w:sdtEndPr/>
    <w:sdtContent>
      <w:p w:rsidR="00AF03B0" w:rsidRDefault="00AF03B0">
        <w:pPr>
          <w:pStyle w:val="a5"/>
          <w:jc w:val="center"/>
        </w:pPr>
        <w:r>
          <w:fldChar w:fldCharType="begin"/>
        </w:r>
        <w:r>
          <w:instrText>PAGE   \* MERGEFORMAT</w:instrText>
        </w:r>
        <w:r>
          <w:fldChar w:fldCharType="separate"/>
        </w:r>
        <w:r w:rsidR="00CF7DB7" w:rsidRPr="00CF7DB7">
          <w:rPr>
            <w:noProof/>
            <w:lang w:val="zh-CN"/>
          </w:rPr>
          <w:t>4</w:t>
        </w:r>
        <w:r>
          <w:fldChar w:fldCharType="end"/>
        </w:r>
      </w:p>
    </w:sdtContent>
  </w:sdt>
  <w:p w:rsidR="00AF03B0" w:rsidRDefault="00AF03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6C0" w:rsidRDefault="007936C0" w:rsidP="00EC67D1">
      <w:pPr>
        <w:spacing w:line="240" w:lineRule="auto"/>
      </w:pPr>
      <w:r>
        <w:separator/>
      </w:r>
    </w:p>
  </w:footnote>
  <w:footnote w:type="continuationSeparator" w:id="0">
    <w:p w:rsidR="007936C0" w:rsidRDefault="007936C0" w:rsidP="00EC67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435"/>
    <w:multiLevelType w:val="hybridMultilevel"/>
    <w:tmpl w:val="F3AEE326"/>
    <w:lvl w:ilvl="0" w:tplc="06F65390">
      <w:start w:val="1"/>
      <w:numFmt w:val="decimal"/>
      <w:lvlText w:val="S%1."/>
      <w:lvlJc w:val="left"/>
      <w:pPr>
        <w:ind w:left="2689" w:hanging="420"/>
      </w:pPr>
      <w:rPr>
        <w:rFonts w:hint="eastAsia"/>
      </w:rPr>
    </w:lvl>
    <w:lvl w:ilvl="1" w:tplc="04090019" w:tentative="1">
      <w:start w:val="1"/>
      <w:numFmt w:val="lowerLetter"/>
      <w:lvlText w:val="%2)"/>
      <w:lvlJc w:val="left"/>
      <w:pPr>
        <w:ind w:left="3109" w:hanging="420"/>
      </w:pPr>
    </w:lvl>
    <w:lvl w:ilvl="2" w:tplc="0409001B" w:tentative="1">
      <w:start w:val="1"/>
      <w:numFmt w:val="lowerRoman"/>
      <w:lvlText w:val="%3."/>
      <w:lvlJc w:val="right"/>
      <w:pPr>
        <w:ind w:left="3529" w:hanging="420"/>
      </w:pPr>
    </w:lvl>
    <w:lvl w:ilvl="3" w:tplc="0409000F" w:tentative="1">
      <w:start w:val="1"/>
      <w:numFmt w:val="decimal"/>
      <w:lvlText w:val="%4."/>
      <w:lvlJc w:val="left"/>
      <w:pPr>
        <w:ind w:left="3949" w:hanging="420"/>
      </w:pPr>
    </w:lvl>
    <w:lvl w:ilvl="4" w:tplc="04090019" w:tentative="1">
      <w:start w:val="1"/>
      <w:numFmt w:val="lowerLetter"/>
      <w:lvlText w:val="%5)"/>
      <w:lvlJc w:val="left"/>
      <w:pPr>
        <w:ind w:left="4369" w:hanging="420"/>
      </w:pPr>
    </w:lvl>
    <w:lvl w:ilvl="5" w:tplc="0409001B" w:tentative="1">
      <w:start w:val="1"/>
      <w:numFmt w:val="lowerRoman"/>
      <w:lvlText w:val="%6."/>
      <w:lvlJc w:val="right"/>
      <w:pPr>
        <w:ind w:left="4789" w:hanging="420"/>
      </w:pPr>
    </w:lvl>
    <w:lvl w:ilvl="6" w:tplc="0409000F" w:tentative="1">
      <w:start w:val="1"/>
      <w:numFmt w:val="decimal"/>
      <w:lvlText w:val="%7."/>
      <w:lvlJc w:val="left"/>
      <w:pPr>
        <w:ind w:left="5209" w:hanging="420"/>
      </w:pPr>
    </w:lvl>
    <w:lvl w:ilvl="7" w:tplc="04090019" w:tentative="1">
      <w:start w:val="1"/>
      <w:numFmt w:val="lowerLetter"/>
      <w:lvlText w:val="%8)"/>
      <w:lvlJc w:val="left"/>
      <w:pPr>
        <w:ind w:left="5629" w:hanging="420"/>
      </w:pPr>
    </w:lvl>
    <w:lvl w:ilvl="8" w:tplc="0409001B" w:tentative="1">
      <w:start w:val="1"/>
      <w:numFmt w:val="lowerRoman"/>
      <w:lvlText w:val="%9."/>
      <w:lvlJc w:val="right"/>
      <w:pPr>
        <w:ind w:left="6049" w:hanging="420"/>
      </w:pPr>
    </w:lvl>
  </w:abstractNum>
  <w:abstractNum w:abstractNumId="1" w15:restartNumberingAfterBreak="0">
    <w:nsid w:val="2A6943C1"/>
    <w:multiLevelType w:val="hybridMultilevel"/>
    <w:tmpl w:val="B19054B6"/>
    <w:lvl w:ilvl="0" w:tplc="562C34EC">
      <w:start w:val="1"/>
      <w:numFmt w:val="decimal"/>
      <w:lvlText w:val="3.1.%1"/>
      <w:lvlJc w:val="left"/>
      <w:pPr>
        <w:ind w:left="420" w:hanging="420"/>
      </w:pPr>
      <w:rPr>
        <w:rFonts w:hint="eastAsia"/>
        <w:color w:val="000000" w:themeColor="text1"/>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8BD56D8"/>
    <w:multiLevelType w:val="hybridMultilevel"/>
    <w:tmpl w:val="9FFE3DA0"/>
    <w:lvl w:ilvl="0" w:tplc="85442464">
      <w:start w:val="1"/>
      <w:numFmt w:val="decimal"/>
      <w:lvlText w:val="2.%1"/>
      <w:lvlJc w:val="left"/>
      <w:pPr>
        <w:ind w:left="420" w:hanging="420"/>
      </w:pPr>
      <w:rPr>
        <w:rFonts w:ascii="Times New Roman" w:eastAsia="黑体" w:hAnsi="Times New Roman" w:cs="Times New Roman" w:hint="default"/>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413DDD"/>
    <w:multiLevelType w:val="hybridMultilevel"/>
    <w:tmpl w:val="B2B090BA"/>
    <w:lvl w:ilvl="0" w:tplc="A1501EC0">
      <w:start w:val="1"/>
      <w:numFmt w:val="decimal"/>
      <w:lvlText w:val="2.3.%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2AE0B67"/>
    <w:multiLevelType w:val="multilevel"/>
    <w:tmpl w:val="2DDE09B0"/>
    <w:lvl w:ilvl="0">
      <w:start w:val="1"/>
      <w:numFmt w:val="decimal"/>
      <w:lvlText w:val="%1."/>
      <w:lvlJc w:val="left"/>
      <w:pPr>
        <w:ind w:left="420" w:hanging="420"/>
      </w:pPr>
      <w:rPr>
        <w:rFonts w:hint="eastAsia"/>
      </w:rPr>
    </w:lvl>
    <w:lvl w:ilvl="1">
      <w:start w:val="3"/>
      <w:numFmt w:val="decimal"/>
      <w:isLgl/>
      <w:lvlText w:val="%1.%2"/>
      <w:lvlJc w:val="left"/>
      <w:pPr>
        <w:ind w:left="840"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840" w:hanging="84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C10703A"/>
    <w:multiLevelType w:val="hybridMultilevel"/>
    <w:tmpl w:val="BE88FCC2"/>
    <w:lvl w:ilvl="0" w:tplc="08EA3A8A">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2CE1BE4"/>
    <w:multiLevelType w:val="hybridMultilevel"/>
    <w:tmpl w:val="924E2866"/>
    <w:lvl w:ilvl="0" w:tplc="5DFCE3EC">
      <w:start w:val="1"/>
      <w:numFmt w:val="decimal"/>
      <w:lvlText w:val="%1."/>
      <w:lvlJc w:val="left"/>
      <w:pPr>
        <w:ind w:left="420" w:hanging="420"/>
      </w:pPr>
      <w:rPr>
        <w:rFonts w:hint="eastAsia"/>
        <w:caps w:val="0"/>
        <w:smallCaps w:val="0"/>
        <w:strike w:val="0"/>
        <w:dstrike w:val="0"/>
        <w:outline w:val="0"/>
        <w:emboss w:val="0"/>
        <w:imprint w:val="0"/>
        <w:color w:val="auto"/>
        <w:spacing w:val="0"/>
        <w:w w:val="100"/>
        <w:kern w:val="0"/>
        <w:position w:val="0"/>
        <w:sz w:val="21"/>
        <w:szCs w:val="21"/>
        <w:highlight w:val="none"/>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A72"/>
    <w:rsid w:val="00001CE6"/>
    <w:rsid w:val="00004518"/>
    <w:rsid w:val="000055C6"/>
    <w:rsid w:val="00010CD9"/>
    <w:rsid w:val="0001120D"/>
    <w:rsid w:val="000133DB"/>
    <w:rsid w:val="00014734"/>
    <w:rsid w:val="00024ADF"/>
    <w:rsid w:val="00024F1C"/>
    <w:rsid w:val="00025A2C"/>
    <w:rsid w:val="000301CE"/>
    <w:rsid w:val="00037FFA"/>
    <w:rsid w:val="00050D42"/>
    <w:rsid w:val="00052FC8"/>
    <w:rsid w:val="0006698C"/>
    <w:rsid w:val="00072149"/>
    <w:rsid w:val="0008147C"/>
    <w:rsid w:val="00085747"/>
    <w:rsid w:val="0009074E"/>
    <w:rsid w:val="00094EC0"/>
    <w:rsid w:val="00097145"/>
    <w:rsid w:val="000A2F55"/>
    <w:rsid w:val="000B04AF"/>
    <w:rsid w:val="000B48D3"/>
    <w:rsid w:val="000B68C8"/>
    <w:rsid w:val="000B6BBA"/>
    <w:rsid w:val="000C7995"/>
    <w:rsid w:val="000E1447"/>
    <w:rsid w:val="000F467E"/>
    <w:rsid w:val="000F61CB"/>
    <w:rsid w:val="000F6B4A"/>
    <w:rsid w:val="00101D20"/>
    <w:rsid w:val="00104B7C"/>
    <w:rsid w:val="00115009"/>
    <w:rsid w:val="001171DD"/>
    <w:rsid w:val="00121509"/>
    <w:rsid w:val="00143FCE"/>
    <w:rsid w:val="0016050D"/>
    <w:rsid w:val="0018373A"/>
    <w:rsid w:val="00183856"/>
    <w:rsid w:val="001B1B28"/>
    <w:rsid w:val="001B691F"/>
    <w:rsid w:val="001D2ED1"/>
    <w:rsid w:val="001F4CC1"/>
    <w:rsid w:val="00201EBE"/>
    <w:rsid w:val="002116F7"/>
    <w:rsid w:val="00213C9B"/>
    <w:rsid w:val="00215116"/>
    <w:rsid w:val="00225BFD"/>
    <w:rsid w:val="0026080C"/>
    <w:rsid w:val="00262C56"/>
    <w:rsid w:val="0027079D"/>
    <w:rsid w:val="00270E84"/>
    <w:rsid w:val="002724B3"/>
    <w:rsid w:val="00275B7D"/>
    <w:rsid w:val="00280E9A"/>
    <w:rsid w:val="00281DCB"/>
    <w:rsid w:val="00282ABA"/>
    <w:rsid w:val="0029263D"/>
    <w:rsid w:val="002A173D"/>
    <w:rsid w:val="002A19A0"/>
    <w:rsid w:val="002B0AF1"/>
    <w:rsid w:val="002B4A56"/>
    <w:rsid w:val="002B5C00"/>
    <w:rsid w:val="002C26D2"/>
    <w:rsid w:val="002D0DFE"/>
    <w:rsid w:val="002E0E4C"/>
    <w:rsid w:val="002E5F5E"/>
    <w:rsid w:val="002F00C2"/>
    <w:rsid w:val="002F5345"/>
    <w:rsid w:val="00317CE9"/>
    <w:rsid w:val="00317EFB"/>
    <w:rsid w:val="0032714A"/>
    <w:rsid w:val="003308EE"/>
    <w:rsid w:val="00334B06"/>
    <w:rsid w:val="00336D86"/>
    <w:rsid w:val="00343E13"/>
    <w:rsid w:val="003454D6"/>
    <w:rsid w:val="00360E7B"/>
    <w:rsid w:val="0036722E"/>
    <w:rsid w:val="00381BF4"/>
    <w:rsid w:val="003849A9"/>
    <w:rsid w:val="00393FA1"/>
    <w:rsid w:val="00395A01"/>
    <w:rsid w:val="003A2AB7"/>
    <w:rsid w:val="003A5C71"/>
    <w:rsid w:val="003B03A2"/>
    <w:rsid w:val="003B5284"/>
    <w:rsid w:val="003B57E1"/>
    <w:rsid w:val="003B5BA1"/>
    <w:rsid w:val="003C70E8"/>
    <w:rsid w:val="003C735A"/>
    <w:rsid w:val="003C7478"/>
    <w:rsid w:val="003E2D69"/>
    <w:rsid w:val="003E2F5D"/>
    <w:rsid w:val="003F39DB"/>
    <w:rsid w:val="003F456E"/>
    <w:rsid w:val="003F7245"/>
    <w:rsid w:val="003F7CC0"/>
    <w:rsid w:val="004113CB"/>
    <w:rsid w:val="0042425A"/>
    <w:rsid w:val="004302AB"/>
    <w:rsid w:val="004337ED"/>
    <w:rsid w:val="00441FFD"/>
    <w:rsid w:val="00444F72"/>
    <w:rsid w:val="00453CF1"/>
    <w:rsid w:val="0045405D"/>
    <w:rsid w:val="00466EB4"/>
    <w:rsid w:val="0048733F"/>
    <w:rsid w:val="004A58B6"/>
    <w:rsid w:val="004C1B27"/>
    <w:rsid w:val="004D12EB"/>
    <w:rsid w:val="004D4E3A"/>
    <w:rsid w:val="004D5588"/>
    <w:rsid w:val="004E3FCE"/>
    <w:rsid w:val="004E71DE"/>
    <w:rsid w:val="004E7820"/>
    <w:rsid w:val="00510BF7"/>
    <w:rsid w:val="00525FD4"/>
    <w:rsid w:val="00526F79"/>
    <w:rsid w:val="0053200A"/>
    <w:rsid w:val="00546A96"/>
    <w:rsid w:val="005C2360"/>
    <w:rsid w:val="005D1E06"/>
    <w:rsid w:val="005D7E4A"/>
    <w:rsid w:val="005E175B"/>
    <w:rsid w:val="005F0858"/>
    <w:rsid w:val="005F17D6"/>
    <w:rsid w:val="00605402"/>
    <w:rsid w:val="006121C0"/>
    <w:rsid w:val="00637503"/>
    <w:rsid w:val="00673BD4"/>
    <w:rsid w:val="006821D7"/>
    <w:rsid w:val="00684D8D"/>
    <w:rsid w:val="0068569D"/>
    <w:rsid w:val="0068653E"/>
    <w:rsid w:val="00693A72"/>
    <w:rsid w:val="0069645D"/>
    <w:rsid w:val="006A0121"/>
    <w:rsid w:val="006C06D6"/>
    <w:rsid w:val="006D6276"/>
    <w:rsid w:val="006E5D57"/>
    <w:rsid w:val="006E602B"/>
    <w:rsid w:val="006F1400"/>
    <w:rsid w:val="00700236"/>
    <w:rsid w:val="00700CCB"/>
    <w:rsid w:val="00701E5A"/>
    <w:rsid w:val="007076CE"/>
    <w:rsid w:val="0072357E"/>
    <w:rsid w:val="00731F52"/>
    <w:rsid w:val="007379BA"/>
    <w:rsid w:val="007470B9"/>
    <w:rsid w:val="00751E91"/>
    <w:rsid w:val="00765559"/>
    <w:rsid w:val="00771AB1"/>
    <w:rsid w:val="007814AA"/>
    <w:rsid w:val="007936C0"/>
    <w:rsid w:val="0079494B"/>
    <w:rsid w:val="007A3148"/>
    <w:rsid w:val="007B0960"/>
    <w:rsid w:val="007B40A1"/>
    <w:rsid w:val="007C59C1"/>
    <w:rsid w:val="007D4293"/>
    <w:rsid w:val="007D430B"/>
    <w:rsid w:val="007D6774"/>
    <w:rsid w:val="007E63A4"/>
    <w:rsid w:val="007F27BA"/>
    <w:rsid w:val="007F2B0F"/>
    <w:rsid w:val="007F528B"/>
    <w:rsid w:val="00801BFF"/>
    <w:rsid w:val="0082293E"/>
    <w:rsid w:val="008264B5"/>
    <w:rsid w:val="0083028C"/>
    <w:rsid w:val="008375CA"/>
    <w:rsid w:val="00856D30"/>
    <w:rsid w:val="008605D6"/>
    <w:rsid w:val="00862D77"/>
    <w:rsid w:val="00863E6F"/>
    <w:rsid w:val="0087344E"/>
    <w:rsid w:val="008744FD"/>
    <w:rsid w:val="00875C42"/>
    <w:rsid w:val="0088360C"/>
    <w:rsid w:val="00891C6E"/>
    <w:rsid w:val="008B61A2"/>
    <w:rsid w:val="008C05C4"/>
    <w:rsid w:val="008D5D87"/>
    <w:rsid w:val="008D7E27"/>
    <w:rsid w:val="008E0243"/>
    <w:rsid w:val="008E0C5D"/>
    <w:rsid w:val="008E54D1"/>
    <w:rsid w:val="00904C51"/>
    <w:rsid w:val="00914587"/>
    <w:rsid w:val="00926C79"/>
    <w:rsid w:val="00932173"/>
    <w:rsid w:val="00942DBB"/>
    <w:rsid w:val="00971684"/>
    <w:rsid w:val="009773FC"/>
    <w:rsid w:val="00980D71"/>
    <w:rsid w:val="00990208"/>
    <w:rsid w:val="00992184"/>
    <w:rsid w:val="00994F15"/>
    <w:rsid w:val="009B0795"/>
    <w:rsid w:val="009B761B"/>
    <w:rsid w:val="009B7E46"/>
    <w:rsid w:val="009D3395"/>
    <w:rsid w:val="009D627B"/>
    <w:rsid w:val="009E2CA2"/>
    <w:rsid w:val="00A02719"/>
    <w:rsid w:val="00A03725"/>
    <w:rsid w:val="00A0434F"/>
    <w:rsid w:val="00A33A6D"/>
    <w:rsid w:val="00A664F5"/>
    <w:rsid w:val="00A71208"/>
    <w:rsid w:val="00A74D69"/>
    <w:rsid w:val="00A82C45"/>
    <w:rsid w:val="00A86E00"/>
    <w:rsid w:val="00A90914"/>
    <w:rsid w:val="00A96FFC"/>
    <w:rsid w:val="00AA2C41"/>
    <w:rsid w:val="00AB2CD4"/>
    <w:rsid w:val="00AD7C11"/>
    <w:rsid w:val="00AF03B0"/>
    <w:rsid w:val="00B0383C"/>
    <w:rsid w:val="00B04295"/>
    <w:rsid w:val="00B16DB6"/>
    <w:rsid w:val="00B47A72"/>
    <w:rsid w:val="00B512FB"/>
    <w:rsid w:val="00B541EC"/>
    <w:rsid w:val="00B562B5"/>
    <w:rsid w:val="00B70623"/>
    <w:rsid w:val="00B7106D"/>
    <w:rsid w:val="00B76C1F"/>
    <w:rsid w:val="00B937AA"/>
    <w:rsid w:val="00B938CF"/>
    <w:rsid w:val="00BB2499"/>
    <w:rsid w:val="00BC4838"/>
    <w:rsid w:val="00BE3AB2"/>
    <w:rsid w:val="00BE7652"/>
    <w:rsid w:val="00BF38AC"/>
    <w:rsid w:val="00BF3F0C"/>
    <w:rsid w:val="00BF7183"/>
    <w:rsid w:val="00BF73D4"/>
    <w:rsid w:val="00C04026"/>
    <w:rsid w:val="00C058A9"/>
    <w:rsid w:val="00C102B0"/>
    <w:rsid w:val="00C20A16"/>
    <w:rsid w:val="00C2241D"/>
    <w:rsid w:val="00C35CF0"/>
    <w:rsid w:val="00C40E7A"/>
    <w:rsid w:val="00C42EC2"/>
    <w:rsid w:val="00C47FF5"/>
    <w:rsid w:val="00C52B3F"/>
    <w:rsid w:val="00C61D4A"/>
    <w:rsid w:val="00C65594"/>
    <w:rsid w:val="00C85B8E"/>
    <w:rsid w:val="00C8677F"/>
    <w:rsid w:val="00C9013C"/>
    <w:rsid w:val="00C93AC3"/>
    <w:rsid w:val="00C9541A"/>
    <w:rsid w:val="00CB19D9"/>
    <w:rsid w:val="00CB5421"/>
    <w:rsid w:val="00CC71BE"/>
    <w:rsid w:val="00CD3C88"/>
    <w:rsid w:val="00CE4B35"/>
    <w:rsid w:val="00CF7DB7"/>
    <w:rsid w:val="00D0139E"/>
    <w:rsid w:val="00D03104"/>
    <w:rsid w:val="00D11F05"/>
    <w:rsid w:val="00D15FD6"/>
    <w:rsid w:val="00D2677B"/>
    <w:rsid w:val="00D3311A"/>
    <w:rsid w:val="00D36D06"/>
    <w:rsid w:val="00D41A99"/>
    <w:rsid w:val="00D46C7E"/>
    <w:rsid w:val="00D63309"/>
    <w:rsid w:val="00D66A44"/>
    <w:rsid w:val="00D67CFB"/>
    <w:rsid w:val="00D74C7F"/>
    <w:rsid w:val="00D77478"/>
    <w:rsid w:val="00D811CD"/>
    <w:rsid w:val="00D81395"/>
    <w:rsid w:val="00D94DB8"/>
    <w:rsid w:val="00DA032D"/>
    <w:rsid w:val="00DA7362"/>
    <w:rsid w:val="00DB52B4"/>
    <w:rsid w:val="00DB5630"/>
    <w:rsid w:val="00DB61C0"/>
    <w:rsid w:val="00DC7BFC"/>
    <w:rsid w:val="00DD3BEC"/>
    <w:rsid w:val="00DD4A41"/>
    <w:rsid w:val="00DD7744"/>
    <w:rsid w:val="00DE41B7"/>
    <w:rsid w:val="00DE47D4"/>
    <w:rsid w:val="00DF27AB"/>
    <w:rsid w:val="00DF72FE"/>
    <w:rsid w:val="00E05F8A"/>
    <w:rsid w:val="00E07007"/>
    <w:rsid w:val="00E0707B"/>
    <w:rsid w:val="00E16C9B"/>
    <w:rsid w:val="00E27C91"/>
    <w:rsid w:val="00E36A50"/>
    <w:rsid w:val="00E505C1"/>
    <w:rsid w:val="00E5236B"/>
    <w:rsid w:val="00E704B1"/>
    <w:rsid w:val="00E74498"/>
    <w:rsid w:val="00E82086"/>
    <w:rsid w:val="00E85507"/>
    <w:rsid w:val="00E96157"/>
    <w:rsid w:val="00EA1219"/>
    <w:rsid w:val="00EC190F"/>
    <w:rsid w:val="00EC67D1"/>
    <w:rsid w:val="00ED2E43"/>
    <w:rsid w:val="00EE070E"/>
    <w:rsid w:val="00EE3471"/>
    <w:rsid w:val="00EE7083"/>
    <w:rsid w:val="00EF1699"/>
    <w:rsid w:val="00EF2C62"/>
    <w:rsid w:val="00EF3142"/>
    <w:rsid w:val="00EF6F69"/>
    <w:rsid w:val="00F06B99"/>
    <w:rsid w:val="00F16821"/>
    <w:rsid w:val="00F222A1"/>
    <w:rsid w:val="00F32AD2"/>
    <w:rsid w:val="00F3620C"/>
    <w:rsid w:val="00F47003"/>
    <w:rsid w:val="00F50EAE"/>
    <w:rsid w:val="00F63BAF"/>
    <w:rsid w:val="00F75991"/>
    <w:rsid w:val="00F96574"/>
    <w:rsid w:val="00FB2337"/>
    <w:rsid w:val="00FB3FE8"/>
    <w:rsid w:val="00FC26EF"/>
    <w:rsid w:val="00FD1894"/>
    <w:rsid w:val="00FE494B"/>
    <w:rsid w:val="00FF1354"/>
    <w:rsid w:val="00FF1F51"/>
    <w:rsid w:val="00FF4571"/>
    <w:rsid w:val="00FF6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0CE75"/>
  <w15:chartTrackingRefBased/>
  <w15:docId w15:val="{4458ACCE-E417-4430-8CF8-AF5CB375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72"/>
    <w:pPr>
      <w:spacing w:line="480" w:lineRule="auto"/>
    </w:pPr>
    <w:rPr>
      <w:rFonts w:eastAsia="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67D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C67D1"/>
    <w:rPr>
      <w:sz w:val="18"/>
      <w:szCs w:val="18"/>
    </w:rPr>
  </w:style>
  <w:style w:type="paragraph" w:styleId="a5">
    <w:name w:val="footer"/>
    <w:basedOn w:val="a"/>
    <w:link w:val="a6"/>
    <w:uiPriority w:val="99"/>
    <w:unhideWhenUsed/>
    <w:rsid w:val="00EC67D1"/>
    <w:pPr>
      <w:tabs>
        <w:tab w:val="center" w:pos="4153"/>
        <w:tab w:val="right" w:pos="8306"/>
      </w:tabs>
      <w:snapToGrid w:val="0"/>
    </w:pPr>
    <w:rPr>
      <w:sz w:val="18"/>
      <w:szCs w:val="18"/>
    </w:rPr>
  </w:style>
  <w:style w:type="character" w:customStyle="1" w:styleId="a6">
    <w:name w:val="页脚 字符"/>
    <w:basedOn w:val="a0"/>
    <w:link w:val="a5"/>
    <w:uiPriority w:val="99"/>
    <w:rsid w:val="00EC67D1"/>
    <w:rPr>
      <w:sz w:val="18"/>
      <w:szCs w:val="18"/>
    </w:rPr>
  </w:style>
  <w:style w:type="paragraph" w:styleId="a7">
    <w:name w:val="List Paragraph"/>
    <w:basedOn w:val="a"/>
    <w:uiPriority w:val="34"/>
    <w:qFormat/>
    <w:rsid w:val="00EC67D1"/>
    <w:pPr>
      <w:ind w:firstLineChars="200" w:firstLine="420"/>
    </w:pPr>
  </w:style>
  <w:style w:type="table" w:styleId="a8">
    <w:name w:val="Table Grid"/>
    <w:basedOn w:val="a1"/>
    <w:uiPriority w:val="39"/>
    <w:rsid w:val="00FD1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9263D"/>
    <w:rPr>
      <w:color w:val="808080"/>
    </w:rPr>
  </w:style>
  <w:style w:type="character" w:styleId="aa">
    <w:name w:val="footnote reference"/>
    <w:basedOn w:val="a0"/>
    <w:uiPriority w:val="99"/>
    <w:semiHidden/>
    <w:unhideWhenUsed/>
    <w:rsid w:val="00C35CF0"/>
    <w:rPr>
      <w:vertAlign w:val="superscript"/>
    </w:rPr>
  </w:style>
  <w:style w:type="character" w:styleId="ab">
    <w:name w:val="line number"/>
    <w:basedOn w:val="a0"/>
    <w:uiPriority w:val="99"/>
    <w:semiHidden/>
    <w:unhideWhenUsed/>
    <w:rsid w:val="00393FA1"/>
  </w:style>
  <w:style w:type="paragraph" w:customStyle="1" w:styleId="ac">
    <w:name w:val="二级标题"/>
    <w:basedOn w:val="a7"/>
    <w:link w:val="ad"/>
    <w:qFormat/>
    <w:rsid w:val="00765559"/>
    <w:pPr>
      <w:pBdr>
        <w:top w:val="nil"/>
        <w:left w:val="nil"/>
        <w:bottom w:val="nil"/>
        <w:right w:val="nil"/>
        <w:between w:val="nil"/>
        <w:bar w:val="nil"/>
      </w:pBdr>
      <w:spacing w:line="360" w:lineRule="auto"/>
      <w:ind w:firstLineChars="0" w:firstLine="0"/>
    </w:pPr>
    <w:rPr>
      <w:rFonts w:ascii="Times New Roman" w:eastAsia="等线" w:hAnsi="Times New Roman" w:cs="等线"/>
      <w:i/>
      <w:color w:val="FF0000"/>
      <w:szCs w:val="21"/>
      <w:u w:color="FF0000"/>
      <w:bdr w:val="nil"/>
    </w:rPr>
  </w:style>
  <w:style w:type="character" w:customStyle="1" w:styleId="ad">
    <w:name w:val="二级标题 字符"/>
    <w:basedOn w:val="a0"/>
    <w:link w:val="ac"/>
    <w:rsid w:val="00765559"/>
    <w:rPr>
      <w:rFonts w:ascii="Times New Roman" w:eastAsia="等线" w:hAnsi="Times New Roman" w:cs="等线"/>
      <w:i/>
      <w:color w:val="FF0000"/>
      <w:kern w:val="0"/>
      <w:sz w:val="24"/>
      <w:szCs w:val="21"/>
      <w:u w:color="FF0000"/>
      <w:bdr w:val="nil"/>
    </w:rPr>
  </w:style>
  <w:style w:type="table" w:customStyle="1" w:styleId="1">
    <w:name w:val="网格型1"/>
    <w:basedOn w:val="a1"/>
    <w:next w:val="a8"/>
    <w:uiPriority w:val="39"/>
    <w:rsid w:val="00A04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7192">
      <w:bodyDiv w:val="1"/>
      <w:marLeft w:val="0"/>
      <w:marRight w:val="0"/>
      <w:marTop w:val="0"/>
      <w:marBottom w:val="0"/>
      <w:divBdr>
        <w:top w:val="none" w:sz="0" w:space="0" w:color="auto"/>
        <w:left w:val="none" w:sz="0" w:space="0" w:color="auto"/>
        <w:bottom w:val="none" w:sz="0" w:space="0" w:color="auto"/>
        <w:right w:val="none" w:sz="0" w:space="0" w:color="auto"/>
      </w:divBdr>
    </w:div>
    <w:div w:id="325985899">
      <w:bodyDiv w:val="1"/>
      <w:marLeft w:val="0"/>
      <w:marRight w:val="0"/>
      <w:marTop w:val="0"/>
      <w:marBottom w:val="0"/>
      <w:divBdr>
        <w:top w:val="none" w:sz="0" w:space="0" w:color="auto"/>
        <w:left w:val="none" w:sz="0" w:space="0" w:color="auto"/>
        <w:bottom w:val="none" w:sz="0" w:space="0" w:color="auto"/>
        <w:right w:val="none" w:sz="0" w:space="0" w:color="auto"/>
      </w:divBdr>
    </w:div>
    <w:div w:id="444429515">
      <w:bodyDiv w:val="1"/>
      <w:marLeft w:val="0"/>
      <w:marRight w:val="0"/>
      <w:marTop w:val="0"/>
      <w:marBottom w:val="0"/>
      <w:divBdr>
        <w:top w:val="none" w:sz="0" w:space="0" w:color="auto"/>
        <w:left w:val="none" w:sz="0" w:space="0" w:color="auto"/>
        <w:bottom w:val="none" w:sz="0" w:space="0" w:color="auto"/>
        <w:right w:val="none" w:sz="0" w:space="0" w:color="auto"/>
      </w:divBdr>
    </w:div>
    <w:div w:id="535193778">
      <w:bodyDiv w:val="1"/>
      <w:marLeft w:val="0"/>
      <w:marRight w:val="0"/>
      <w:marTop w:val="0"/>
      <w:marBottom w:val="0"/>
      <w:divBdr>
        <w:top w:val="none" w:sz="0" w:space="0" w:color="auto"/>
        <w:left w:val="none" w:sz="0" w:space="0" w:color="auto"/>
        <w:bottom w:val="none" w:sz="0" w:space="0" w:color="auto"/>
        <w:right w:val="none" w:sz="0" w:space="0" w:color="auto"/>
      </w:divBdr>
    </w:div>
    <w:div w:id="560869451">
      <w:bodyDiv w:val="1"/>
      <w:marLeft w:val="0"/>
      <w:marRight w:val="0"/>
      <w:marTop w:val="0"/>
      <w:marBottom w:val="0"/>
      <w:divBdr>
        <w:top w:val="none" w:sz="0" w:space="0" w:color="auto"/>
        <w:left w:val="none" w:sz="0" w:space="0" w:color="auto"/>
        <w:bottom w:val="none" w:sz="0" w:space="0" w:color="auto"/>
        <w:right w:val="none" w:sz="0" w:space="0" w:color="auto"/>
      </w:divBdr>
    </w:div>
    <w:div w:id="1145510208">
      <w:bodyDiv w:val="1"/>
      <w:marLeft w:val="0"/>
      <w:marRight w:val="0"/>
      <w:marTop w:val="0"/>
      <w:marBottom w:val="0"/>
      <w:divBdr>
        <w:top w:val="none" w:sz="0" w:space="0" w:color="auto"/>
        <w:left w:val="none" w:sz="0" w:space="0" w:color="auto"/>
        <w:bottom w:val="none" w:sz="0" w:space="0" w:color="auto"/>
        <w:right w:val="none" w:sz="0" w:space="0" w:color="auto"/>
      </w:divBdr>
    </w:div>
    <w:div w:id="1310326849">
      <w:bodyDiv w:val="1"/>
      <w:marLeft w:val="0"/>
      <w:marRight w:val="0"/>
      <w:marTop w:val="0"/>
      <w:marBottom w:val="0"/>
      <w:divBdr>
        <w:top w:val="none" w:sz="0" w:space="0" w:color="auto"/>
        <w:left w:val="none" w:sz="0" w:space="0" w:color="auto"/>
        <w:bottom w:val="none" w:sz="0" w:space="0" w:color="auto"/>
        <w:right w:val="none" w:sz="0" w:space="0" w:color="auto"/>
      </w:divBdr>
    </w:div>
    <w:div w:id="1326199597">
      <w:bodyDiv w:val="1"/>
      <w:marLeft w:val="0"/>
      <w:marRight w:val="0"/>
      <w:marTop w:val="0"/>
      <w:marBottom w:val="0"/>
      <w:divBdr>
        <w:top w:val="none" w:sz="0" w:space="0" w:color="auto"/>
        <w:left w:val="none" w:sz="0" w:space="0" w:color="auto"/>
        <w:bottom w:val="none" w:sz="0" w:space="0" w:color="auto"/>
        <w:right w:val="none" w:sz="0" w:space="0" w:color="auto"/>
      </w:divBdr>
    </w:div>
    <w:div w:id="1678266786">
      <w:bodyDiv w:val="1"/>
      <w:marLeft w:val="0"/>
      <w:marRight w:val="0"/>
      <w:marTop w:val="0"/>
      <w:marBottom w:val="0"/>
      <w:divBdr>
        <w:top w:val="none" w:sz="0" w:space="0" w:color="auto"/>
        <w:left w:val="none" w:sz="0" w:space="0" w:color="auto"/>
        <w:bottom w:val="none" w:sz="0" w:space="0" w:color="auto"/>
        <w:right w:val="none" w:sz="0" w:space="0" w:color="auto"/>
      </w:divBdr>
    </w:div>
    <w:div w:id="1742174227">
      <w:bodyDiv w:val="1"/>
      <w:marLeft w:val="0"/>
      <w:marRight w:val="0"/>
      <w:marTop w:val="0"/>
      <w:marBottom w:val="0"/>
      <w:divBdr>
        <w:top w:val="none" w:sz="0" w:space="0" w:color="auto"/>
        <w:left w:val="none" w:sz="0" w:space="0" w:color="auto"/>
        <w:bottom w:val="none" w:sz="0" w:space="0" w:color="auto"/>
        <w:right w:val="none" w:sz="0" w:space="0" w:color="auto"/>
      </w:divBdr>
    </w:div>
    <w:div w:id="193883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AB700-9CF4-4BFB-949F-C5BD108A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2869</Words>
  <Characters>16357</Characters>
  <Application>Microsoft Office Word</Application>
  <DocSecurity>0</DocSecurity>
  <Lines>136</Lines>
  <Paragraphs>38</Paragraphs>
  <ScaleCrop>false</ScaleCrop>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 迪</dc:creator>
  <cp:keywords/>
  <dc:description/>
  <cp:lastModifiedBy>文 迪</cp:lastModifiedBy>
  <cp:revision>2</cp:revision>
  <dcterms:created xsi:type="dcterms:W3CDTF">2021-01-20T07:52:00Z</dcterms:created>
  <dcterms:modified xsi:type="dcterms:W3CDTF">2021-01-20T07:52:00Z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http://www.zotero.org/styles/carbohydrate-polymers</vt:lpwstr>
  </property>
  <property fmtid="{D5CDD505-2E9C-101B-9397-08002B2CF9AE}" pid="5" name="Mendeley Recent Style Name 1_1">
    <vt:lpwstr>Carbohydrate Polymers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http://www.zotero.org/styles/environmental-science-and-pollution-research</vt:lpwstr>
  </property>
  <property fmtid="{D5CDD505-2E9C-101B-9397-08002B2CF9AE}" pid="11" name="Mendeley Recent Style Name 4_1">
    <vt:lpwstr>Environmental Science and Pollution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http://www.zotero.org/styles/journal-of-environmental-radioactivity</vt:lpwstr>
  </property>
  <property fmtid="{D5CDD505-2E9C-101B-9397-08002B2CF9AE}" pid="15" name="Mendeley Recent Style Name 6_1">
    <vt:lpwstr>Journal of Environmental Radioactivity</vt:lpwstr>
  </property>
  <property fmtid="{D5CDD505-2E9C-101B-9397-08002B2CF9AE}" pid="16" name="Mendeley Recent Style Id 7_1">
    <vt:lpwstr>http://www.zotero.org/styles/journal-of-hazardous-materials</vt:lpwstr>
  </property>
  <property fmtid="{D5CDD505-2E9C-101B-9397-08002B2CF9AE}" pid="17" name="Mendeley Recent Style Name 7_1">
    <vt:lpwstr>Journal of Hazardous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b158cdc3-15e4-38eb-9680-ab880e4e997d</vt:lpwstr>
  </property>
  <property fmtid="{D5CDD505-2E9C-101B-9397-08002B2CF9AE}" pid="24" name="Mendeley Citation Style_1">
    <vt:lpwstr>http://www.zotero.org/styles/environmental-science-and-pollution-research</vt:lpwstr>
  </property>
</Properties>
</file>