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EEE" w:rsidRDefault="00CB4EEE" w:rsidP="00CB4EEE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Supplementary Table 1. Predictors of TEE being recommended for etiologic evaluation.</w:t>
      </w:r>
    </w:p>
    <w:tbl>
      <w:tblPr>
        <w:tblW w:w="0" w:type="dxa"/>
        <w:tblInd w:w="-62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50"/>
        <w:gridCol w:w="1485"/>
        <w:gridCol w:w="1230"/>
        <w:gridCol w:w="870"/>
        <w:gridCol w:w="1770"/>
        <w:gridCol w:w="945"/>
        <w:gridCol w:w="1575"/>
        <w:gridCol w:w="1020"/>
      </w:tblGrid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  <w:sz w:val="16"/>
                <w:szCs w:val="16"/>
              </w:rPr>
            </w:pPr>
            <w:r>
              <w:rPr>
                <w:rFonts w:ascii="Times" w:hAnsi="Times"/>
                <w:b/>
                <w:sz w:val="16"/>
                <w:szCs w:val="16"/>
              </w:rPr>
              <w:t>TEE not ordered (n=130)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  <w:sz w:val="16"/>
                <w:szCs w:val="16"/>
              </w:rPr>
            </w:pPr>
            <w:r>
              <w:rPr>
                <w:rFonts w:ascii="Times" w:hAnsi="Times"/>
                <w:b/>
                <w:sz w:val="16"/>
                <w:szCs w:val="16"/>
              </w:rPr>
              <w:t>TEE ordered (n=133)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  <w:sz w:val="16"/>
                <w:szCs w:val="16"/>
              </w:rPr>
            </w:pPr>
            <w:r>
              <w:rPr>
                <w:rFonts w:ascii="Times" w:hAnsi="Times"/>
                <w:b/>
                <w:sz w:val="16"/>
                <w:szCs w:val="16"/>
              </w:rPr>
              <w:t>p-value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  <w:sz w:val="16"/>
                <w:szCs w:val="16"/>
              </w:rPr>
            </w:pPr>
            <w:r>
              <w:rPr>
                <w:rFonts w:ascii="Times" w:hAnsi="Times"/>
                <w:b/>
                <w:sz w:val="16"/>
                <w:szCs w:val="16"/>
              </w:rPr>
              <w:t>Unadjusted OR (95%CI)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  <w:sz w:val="16"/>
                <w:szCs w:val="16"/>
              </w:rPr>
            </w:pPr>
            <w:r>
              <w:rPr>
                <w:rFonts w:ascii="Times" w:hAnsi="Times"/>
                <w:b/>
                <w:sz w:val="16"/>
                <w:szCs w:val="16"/>
              </w:rPr>
              <w:t>p-value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  <w:sz w:val="16"/>
                <w:szCs w:val="16"/>
              </w:rPr>
            </w:pPr>
            <w:r>
              <w:rPr>
                <w:rFonts w:ascii="Times" w:hAnsi="Times"/>
                <w:b/>
                <w:sz w:val="16"/>
                <w:szCs w:val="16"/>
              </w:rPr>
              <w:t>Adjusted OR (95%CI)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  <w:sz w:val="16"/>
                <w:szCs w:val="16"/>
              </w:rPr>
            </w:pPr>
            <w:r>
              <w:rPr>
                <w:rFonts w:ascii="Times" w:hAnsi="Times"/>
                <w:b/>
                <w:sz w:val="16"/>
                <w:szCs w:val="16"/>
              </w:rPr>
              <w:t>p-value</w:t>
            </w: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Age, median (IQR)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54 (50-58)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51 (44-56)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&lt;0.01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-0.01* (-0.02- -0.003)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&lt;0.01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0.96 (0.93-0.99)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0.01</w:t>
            </w: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Female sex, no. (%)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48 (37)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55 (41)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0.46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1.20 (0.73-1.98)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0.46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White race, no. (%)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61/115 (53)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63/112 (56)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0.63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1.14 (0.67-1.92)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0.63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Hispanic, no. (%)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19/117 (16)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24/122 (20)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0.49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1.26 (0.65-2.45)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0.49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No insurance, no. (%)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15/130 (12)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19/131 (15)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0.48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1.30 (0.63-1.69)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0.48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3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Medical history, no. (%)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Hypertension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95 (73)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87 (65)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0.18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0.70 (0.41-1.18)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0.18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Prior tobacco use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44/129 (34)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50/131 (38)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1.19 (0.72-1.98)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Diabetes mellitus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57 (44)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42 (32)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0.59 (0.36-0.98)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0.64 (0.38-1.08)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0.1</w:t>
            </w: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Dyslipidemia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51 (39)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51 (38)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0.88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0.96 (0.59-1.58)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0.88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Coronary artery disease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21 (16)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13 (10)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0.12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0.56 (0.27-1.18)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0.13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Congestive heart failure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11 (8)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8 (6)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0.44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0.69 (0.27-1.78)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0.45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Prior stroke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30 (23)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19 (14)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0.56 (0.29-1.05)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0.57 (0.29-1.12)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0.1</w:t>
            </w: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Peripheral artery disease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2 (2)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3 (2)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1.48 (0.24-8.99)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0.67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Baseline NIHSS, median (IQR)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 (2-11)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4 (2-10)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0.27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-0.004* (-0.01-0.004)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0.31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LVO, no. (%)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18 (14)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18 (14)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0.94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0.97 (0.48-1.97)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0.94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Ejection fraction &lt;40%, no. (%)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16 (12)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10 (8)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0.19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0.58 (0.25-1.32)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0.19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46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lastRenderedPageBreak/>
              <w:t>HCT or MRI findings, no. (%)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Cortical infarction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80 (62)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87 (65)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1.18 (0.72-1.95)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0.51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</w:t>
            </w:r>
            <w:proofErr w:type="spellStart"/>
            <w:r>
              <w:rPr>
                <w:rFonts w:ascii="Times" w:hAnsi="Times"/>
                <w:sz w:val="16"/>
                <w:szCs w:val="16"/>
              </w:rPr>
              <w:t>Infratentorial</w:t>
            </w:r>
            <w:proofErr w:type="spellEnd"/>
            <w:r>
              <w:rPr>
                <w:rFonts w:ascii="Times" w:hAnsi="Times"/>
                <w:sz w:val="16"/>
                <w:szCs w:val="16"/>
              </w:rPr>
              <w:t xml:space="preserve"> infarction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48 (37)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46 (35)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0.69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0.90 (0.55-1.50)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0.69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  Infarction in &gt;1 vascular territory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24 (18)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39 (29)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1.83 (1.03-3.27)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1.84 (1.01-3.36)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0.05</w:t>
            </w:r>
          </w:p>
        </w:tc>
      </w:tr>
      <w:tr w:rsidR="00CB4EEE" w:rsidTr="00CB4EEE">
        <w:trPr>
          <w:trHeight w:val="515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ROPE score, median (IQR)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5 (4-6)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6 (5-7)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&lt;0.01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1.31 (1.11-1.54)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&lt;0.01</w:t>
            </w:r>
          </w:p>
        </w:tc>
        <w:tc>
          <w:tcPr>
            <w:tcW w:w="25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i/>
                <w:sz w:val="16"/>
                <w:szCs w:val="16"/>
              </w:rPr>
            </w:pPr>
            <w:r>
              <w:rPr>
                <w:rFonts w:ascii="Times" w:hAnsi="Times"/>
                <w:i/>
                <w:sz w:val="16"/>
                <w:szCs w:val="16"/>
              </w:rPr>
              <w:t xml:space="preserve">not included due to </w:t>
            </w:r>
            <w:proofErr w:type="spellStart"/>
            <w:r>
              <w:rPr>
                <w:rFonts w:ascii="Times" w:hAnsi="Times"/>
                <w:i/>
                <w:sz w:val="16"/>
                <w:szCs w:val="16"/>
              </w:rPr>
              <w:t>multicollinearity</w:t>
            </w:r>
            <w:proofErr w:type="spellEnd"/>
            <w:r>
              <w:rPr>
                <w:rFonts w:ascii="Times" w:hAnsi="Times"/>
                <w:i/>
                <w:sz w:val="16"/>
                <w:szCs w:val="16"/>
              </w:rPr>
              <w:t xml:space="preserve"> with above variables in adjusted model</w:t>
            </w:r>
          </w:p>
        </w:tc>
      </w:tr>
    </w:tbl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>
      <w:pPr>
        <w:rPr>
          <w:rFonts w:ascii="Times" w:hAnsi="Times"/>
        </w:rPr>
      </w:pPr>
      <w:r>
        <w:rPr>
          <w:rFonts w:ascii="Times" w:hAnsi="Times"/>
        </w:rPr>
        <w:t>Supplementary Table 2. Demographic data according to stroke mechanism.</w:t>
      </w:r>
    </w:p>
    <w:tbl>
      <w:tblPr>
        <w:tblW w:w="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50"/>
        <w:gridCol w:w="1785"/>
        <w:gridCol w:w="1710"/>
        <w:gridCol w:w="1275"/>
      </w:tblGrid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Non-AF CSE (n=76)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Cryptogenic (n=187)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p-value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Age, median (IQR)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55 (47-57)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52 (46-56)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0.08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>Female sex,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23 (33)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78 (42)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0.18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Race,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0.12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White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30/66 (45)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94/161 (58)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Black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30/66 (45)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53/161 (33)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Asian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3/66 (5)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3/161 (2)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Other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3/66 (5)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11/161 (7)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Hispanic,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12/71 (17)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31/168 (18)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0.78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Insurance,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0.36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None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14/76 (18)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20/185 (11)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Medicaid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27/76 (36)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64/185 (35)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Medicare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11/76 (14)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34/185 (18)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Private/Other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24/76 (32)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67/185 (36)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Medical history,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Hypertension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57 (75)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125 (67)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0.19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Tobacco use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26/75 (35)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68/185 (37)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0.75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Diabetes mellitus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26 (34)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73 (39)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0.46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Dyslipidemia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24 (32)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78 (42)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0.13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Coronary artery disease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11 (14)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23 (12)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0.63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Congestive heart failure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12 (16)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 (4)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&lt;0.01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 xml:space="preserve">   Prior stroke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14 (18)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35 (19)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0.96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Peripheral artery disease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 (1)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4 (2)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Baseline NIHSS, median (IQR)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4 (1-13)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 (2-10)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0.72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LVO,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12 (16)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24 (13)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0.53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Ejection fraction, median % (IQR)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55 (38-55)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55 (55-60)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&lt;0.01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Ejection fraction &lt;40%,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19 (25)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 (4)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&lt;0.01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HCT or MRI findings,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Cortical infarction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55 (72)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112 (60)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0.06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</w:t>
            </w:r>
            <w:proofErr w:type="spellStart"/>
            <w:r>
              <w:rPr>
                <w:rFonts w:ascii="Times" w:hAnsi="Times"/>
              </w:rPr>
              <w:t>Infratentorial</w:t>
            </w:r>
            <w:proofErr w:type="spellEnd"/>
            <w:r>
              <w:rPr>
                <w:rFonts w:ascii="Times" w:hAnsi="Times"/>
              </w:rPr>
              <w:t xml:space="preserve"> infarction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20 (26)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74 (40)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0.04</w:t>
            </w:r>
          </w:p>
        </w:tc>
      </w:tr>
      <w:tr w:rsidR="00CB4EEE" w:rsidTr="00CB4EEE">
        <w:trPr>
          <w:trHeight w:val="515"/>
        </w:trPr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Infarction in &gt;1 vascular territory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20 (26)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43 (23)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0.57</w:t>
            </w:r>
          </w:p>
        </w:tc>
      </w:tr>
    </w:tbl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Supplementary Table 3. TEE data and findings according to stroke mechanism.</w:t>
      </w:r>
    </w:p>
    <w:tbl>
      <w:tblPr>
        <w:tblW w:w="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70"/>
        <w:gridCol w:w="1785"/>
        <w:gridCol w:w="1935"/>
        <w:gridCol w:w="1260"/>
      </w:tblGrid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Non-AF CSE (n=76)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Cryptogenic (n=187)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p-value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TEE ordered,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35 (46)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98 (52)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0.35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TEE performed,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27/35 (77)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81/98 (83)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0.47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TEE performed during hospitalization,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26/27 (96)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79/81 (98)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 xml:space="preserve">   TEE performed after discharge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1/27 (4)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 (2)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Time from admission to TEE, median days (IQR)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All patients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 (2-5) (n=27)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 (2-5) (n=81)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0.95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Inpatient TEEs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 (2-5) (n=26)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 (2-4) (n=79)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0.89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Outpatient TEEs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12 (n=1)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12, 125 (n=2)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0.48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High-risk CSE on TEE, no. (%)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12/27 (44)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24/81 (30)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0.16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PFO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8/27 (30)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21/81 (26)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0.71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ASA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3/27 (11)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2/81 (2)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0.1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   PFO + ASA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3/27 (11)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2/81 (2)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0.1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</w:t>
            </w:r>
            <w:proofErr w:type="spellStart"/>
            <w:r>
              <w:rPr>
                <w:rFonts w:ascii="Times" w:hAnsi="Times"/>
              </w:rPr>
              <w:t>Intracardiac</w:t>
            </w:r>
            <w:proofErr w:type="spellEnd"/>
            <w:r>
              <w:rPr>
                <w:rFonts w:ascii="Times" w:hAnsi="Times"/>
              </w:rPr>
              <w:t xml:space="preserve"> thrombus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1/27 (4)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 (0)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0.25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</w:t>
            </w:r>
            <w:proofErr w:type="spellStart"/>
            <w:r>
              <w:rPr>
                <w:rFonts w:ascii="Times" w:hAnsi="Times"/>
              </w:rPr>
              <w:t>Valvular</w:t>
            </w:r>
            <w:proofErr w:type="spellEnd"/>
            <w:r>
              <w:rPr>
                <w:rFonts w:ascii="Times" w:hAnsi="Times"/>
              </w:rPr>
              <w:t xml:space="preserve"> abnormality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3/27 (11)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1/81 (1)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0.05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</w:t>
            </w:r>
            <w:proofErr w:type="spellStart"/>
            <w:r>
              <w:rPr>
                <w:rFonts w:ascii="Times" w:hAnsi="Times"/>
              </w:rPr>
              <w:t>Intracardiac</w:t>
            </w:r>
            <w:proofErr w:type="spellEnd"/>
            <w:r>
              <w:rPr>
                <w:rFonts w:ascii="Times" w:hAnsi="Times"/>
              </w:rPr>
              <w:t xml:space="preserve"> tumor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n/a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n/a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n/a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Aortic arch plaque &gt;4mm and/or ulcerated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 (0)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3/81 (4)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0.57</w:t>
            </w:r>
          </w:p>
        </w:tc>
      </w:tr>
      <w:tr w:rsidR="00CB4EEE" w:rsidTr="00CB4EEE">
        <w:trPr>
          <w:trHeight w:val="515"/>
        </w:trPr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ROPE score, median (IQR)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 (5-6) (n=27)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5 (4-7) (n=81)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0.59</w:t>
            </w:r>
          </w:p>
        </w:tc>
      </w:tr>
    </w:tbl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/>
    <w:p w:rsidR="00CB4EEE" w:rsidRDefault="00CB4EEE" w:rsidP="00CB4EEE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Supplementary Table 4. Reasons for deferral of PFO closure.</w:t>
      </w:r>
    </w:p>
    <w:tbl>
      <w:tblPr>
        <w:tblW w:w="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945"/>
        <w:gridCol w:w="2415"/>
      </w:tblGrid>
      <w:tr w:rsidR="00CB4EEE" w:rsidTr="00CB4EEE">
        <w:trPr>
          <w:trHeight w:val="515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  <w:b/>
              </w:rPr>
            </w:pPr>
            <w:r>
              <w:rPr>
                <w:rFonts w:ascii="Times" w:hAnsi="Times"/>
                <w:b/>
              </w:rPr>
              <w:t>PFO closure not performed (n=23)</w:t>
            </w:r>
          </w:p>
        </w:tc>
      </w:tr>
      <w:tr w:rsidR="00CB4EEE" w:rsidTr="00CB4EEE">
        <w:trPr>
          <w:trHeight w:val="515"/>
        </w:trPr>
        <w:tc>
          <w:tcPr>
            <w:tcW w:w="9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>Primary reason, no. (%)</w:t>
            </w:r>
          </w:p>
        </w:tc>
      </w:tr>
      <w:tr w:rsidR="00CB4EEE" w:rsidTr="00CB4EEE">
        <w:trPr>
          <w:trHeight w:val="515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Patient lost to follow-up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6 (26)</w:t>
            </w:r>
          </w:p>
        </w:tc>
      </w:tr>
      <w:tr w:rsidR="00CB4EEE" w:rsidTr="00CB4EEE">
        <w:trPr>
          <w:trHeight w:val="515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PFO deemed too small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4 (17)</w:t>
            </w:r>
          </w:p>
        </w:tc>
      </w:tr>
      <w:tr w:rsidR="00CB4EEE" w:rsidTr="00CB4EEE">
        <w:trPr>
          <w:trHeight w:val="515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  <w:vertAlign w:val="superscript"/>
              </w:rPr>
            </w:pPr>
            <w:r>
              <w:rPr>
                <w:rFonts w:ascii="Times" w:hAnsi="Times"/>
              </w:rPr>
              <w:t xml:space="preserve">   Anticoagulation pursued in lieu of </w:t>
            </w:r>
            <w:proofErr w:type="spellStart"/>
            <w:r>
              <w:rPr>
                <w:rFonts w:ascii="Times" w:hAnsi="Times"/>
              </w:rPr>
              <w:t>closure</w:t>
            </w:r>
            <w:r>
              <w:rPr>
                <w:rFonts w:ascii="Times" w:hAnsi="Times"/>
                <w:vertAlign w:val="superscript"/>
              </w:rPr>
              <w:t>a</w:t>
            </w:r>
            <w:proofErr w:type="spellEnd"/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4 (17)</w:t>
            </w:r>
          </w:p>
        </w:tc>
      </w:tr>
      <w:tr w:rsidR="00CB4EEE" w:rsidTr="00CB4EEE">
        <w:trPr>
          <w:trHeight w:val="515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Patient declined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2 (9)</w:t>
            </w:r>
          </w:p>
        </w:tc>
      </w:tr>
      <w:tr w:rsidR="00CB4EEE" w:rsidTr="00CB4EEE">
        <w:trPr>
          <w:trHeight w:val="515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No mention of PFO closure in outpatient follow-up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 (9)</w:t>
            </w:r>
          </w:p>
        </w:tc>
      </w:tr>
      <w:tr w:rsidR="00CB4EEE" w:rsidTr="00CB4EEE">
        <w:trPr>
          <w:trHeight w:val="515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 xml:space="preserve">   PFO not visualized on repeat transthoracic </w:t>
            </w:r>
            <w:proofErr w:type="spellStart"/>
            <w:r>
              <w:rPr>
                <w:rFonts w:ascii="Times" w:hAnsi="Times"/>
              </w:rPr>
              <w:t>echocardiography</w:t>
            </w:r>
            <w:r>
              <w:rPr>
                <w:rFonts w:ascii="Times" w:hAnsi="Times"/>
                <w:vertAlign w:val="superscript"/>
              </w:rPr>
              <w:t>b</w:t>
            </w:r>
            <w:proofErr w:type="spellEnd"/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1 (4)</w:t>
            </w:r>
          </w:p>
        </w:tc>
      </w:tr>
      <w:tr w:rsidR="00CB4EEE" w:rsidTr="00CB4EEE">
        <w:trPr>
          <w:trHeight w:val="515"/>
        </w:trPr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   PFO closure deferred by provider for other/unclear </w:t>
            </w:r>
            <w:proofErr w:type="spellStart"/>
            <w:r>
              <w:rPr>
                <w:rFonts w:ascii="Times" w:hAnsi="Times"/>
              </w:rPr>
              <w:t>reasons</w:t>
            </w:r>
            <w:r>
              <w:rPr>
                <w:rFonts w:ascii="Times" w:hAnsi="Times"/>
                <w:vertAlign w:val="superscript"/>
              </w:rPr>
              <w:t>c</w:t>
            </w:r>
            <w:proofErr w:type="spellEnd"/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B4EEE" w:rsidRDefault="00CB4EEE">
            <w:pPr>
              <w:widowControl w:val="0"/>
              <w:jc w:val="center"/>
              <w:rPr>
                <w:rFonts w:ascii="Times" w:hAnsi="Times"/>
              </w:rPr>
            </w:pPr>
            <w:r>
              <w:rPr>
                <w:rFonts w:ascii="Times" w:hAnsi="Times"/>
              </w:rPr>
              <w:t>3 (13)</w:t>
            </w:r>
          </w:p>
        </w:tc>
      </w:tr>
    </w:tbl>
    <w:p w:rsidR="00CB4EEE" w:rsidRDefault="00CB4EEE" w:rsidP="00CB4EEE">
      <w:pPr>
        <w:rPr>
          <w:rFonts w:ascii="Times" w:hAnsi="Times"/>
          <w:sz w:val="24"/>
          <w:szCs w:val="24"/>
        </w:rPr>
      </w:pPr>
      <w:proofErr w:type="spellStart"/>
      <w:r>
        <w:rPr>
          <w:rFonts w:ascii="Times" w:hAnsi="Times"/>
          <w:sz w:val="24"/>
          <w:szCs w:val="24"/>
          <w:vertAlign w:val="superscript"/>
        </w:rPr>
        <w:t>a</w:t>
      </w:r>
      <w:r>
        <w:rPr>
          <w:rFonts w:ascii="Times" w:hAnsi="Times"/>
          <w:sz w:val="24"/>
          <w:szCs w:val="24"/>
        </w:rPr>
        <w:t>Two</w:t>
      </w:r>
      <w:proofErr w:type="spellEnd"/>
      <w:r>
        <w:rPr>
          <w:rFonts w:ascii="Times" w:hAnsi="Times"/>
          <w:sz w:val="24"/>
          <w:szCs w:val="24"/>
        </w:rPr>
        <w:t xml:space="preserve"> patients anticoagulated for associated lower extremity deep vein thrombosis. Two patients without deep vein thrombosis on ultrasound were empirically anticoagulated.</w:t>
      </w:r>
    </w:p>
    <w:p w:rsidR="00CB4EEE" w:rsidRDefault="00CB4EEE" w:rsidP="00CB4EEE">
      <w:pPr>
        <w:rPr>
          <w:rFonts w:ascii="Times" w:hAnsi="Times"/>
          <w:sz w:val="24"/>
          <w:szCs w:val="24"/>
        </w:rPr>
      </w:pPr>
      <w:proofErr w:type="spellStart"/>
      <w:r>
        <w:rPr>
          <w:rFonts w:ascii="Times" w:hAnsi="Times"/>
          <w:sz w:val="24"/>
          <w:szCs w:val="24"/>
          <w:vertAlign w:val="superscript"/>
        </w:rPr>
        <w:t>b</w:t>
      </w:r>
      <w:r>
        <w:rPr>
          <w:rFonts w:ascii="Times" w:hAnsi="Times"/>
          <w:sz w:val="24"/>
          <w:szCs w:val="24"/>
        </w:rPr>
        <w:t>Dual</w:t>
      </w:r>
      <w:proofErr w:type="spellEnd"/>
      <w:r>
        <w:rPr>
          <w:rFonts w:ascii="Times" w:hAnsi="Times"/>
          <w:sz w:val="24"/>
          <w:szCs w:val="24"/>
        </w:rPr>
        <w:t xml:space="preserve"> antiplatelet therapy was initiated in this patient after the PFO was identified on TEE, however PFO closure was not pursued at follow-up because it was not visualized on repeat transthoracic echocardiogram.</w:t>
      </w:r>
    </w:p>
    <w:p w:rsidR="00CB4EEE" w:rsidRDefault="00CB4EEE" w:rsidP="00CB4EEE">
      <w:pPr>
        <w:rPr>
          <w:rFonts w:ascii="Times" w:hAnsi="Times"/>
          <w:sz w:val="24"/>
          <w:szCs w:val="24"/>
        </w:rPr>
      </w:pPr>
      <w:proofErr w:type="spellStart"/>
      <w:r>
        <w:rPr>
          <w:rFonts w:ascii="Times" w:hAnsi="Times"/>
          <w:sz w:val="24"/>
          <w:szCs w:val="24"/>
          <w:vertAlign w:val="superscript"/>
        </w:rPr>
        <w:t>c</w:t>
      </w:r>
      <w:r>
        <w:rPr>
          <w:rFonts w:ascii="Times" w:hAnsi="Times"/>
          <w:sz w:val="24"/>
          <w:szCs w:val="24"/>
        </w:rPr>
        <w:t>Dual</w:t>
      </w:r>
      <w:proofErr w:type="spellEnd"/>
      <w:r>
        <w:rPr>
          <w:rFonts w:ascii="Times" w:hAnsi="Times"/>
          <w:sz w:val="24"/>
          <w:szCs w:val="24"/>
        </w:rPr>
        <w:t xml:space="preserve"> antiplatelet therapy was initiated in one patient, however PFO closure was not pursued at follow-up due to concern that the cause of stroke may also have been migraine-related.</w:t>
      </w:r>
    </w:p>
    <w:p w:rsidR="00CB4EEE" w:rsidRDefault="00CB4EEE" w:rsidP="00CB4EEE">
      <w:pPr>
        <w:rPr>
          <w:rFonts w:ascii="Times" w:hAnsi="Times"/>
          <w:sz w:val="24"/>
          <w:szCs w:val="24"/>
        </w:rPr>
      </w:pPr>
    </w:p>
    <w:p w:rsidR="00593616" w:rsidRDefault="00CB4EEE" w:rsidP="00CB4EEE">
      <w:r>
        <w:rPr>
          <w:rFonts w:ascii="Times" w:hAnsi="Times"/>
          <w:sz w:val="24"/>
          <w:szCs w:val="24"/>
        </w:rPr>
        <w:t xml:space="preserve">PFO denotes patent foramen </w:t>
      </w:r>
      <w:proofErr w:type="spellStart"/>
      <w:r>
        <w:rPr>
          <w:rFonts w:ascii="Times" w:hAnsi="Times"/>
          <w:sz w:val="24"/>
          <w:szCs w:val="24"/>
        </w:rPr>
        <w:t>ovale</w:t>
      </w:r>
      <w:proofErr w:type="spellEnd"/>
      <w:r>
        <w:rPr>
          <w:rFonts w:ascii="Times" w:hAnsi="Times"/>
          <w:sz w:val="24"/>
          <w:szCs w:val="24"/>
        </w:rPr>
        <w:t xml:space="preserve">, and TEE </w:t>
      </w:r>
      <w:proofErr w:type="spellStart"/>
      <w:r>
        <w:rPr>
          <w:rFonts w:ascii="Times" w:hAnsi="Times"/>
          <w:sz w:val="24"/>
          <w:szCs w:val="24"/>
        </w:rPr>
        <w:t>transesophageal</w:t>
      </w:r>
      <w:proofErr w:type="spellEnd"/>
      <w:r>
        <w:rPr>
          <w:rFonts w:ascii="Times" w:hAnsi="Times"/>
          <w:sz w:val="24"/>
          <w:szCs w:val="24"/>
        </w:rPr>
        <w:t xml:space="preserve"> echocardiography.</w:t>
      </w:r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">
    <w:panose1 w:val="00000500000000000000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EEE"/>
    <w:rsid w:val="00295487"/>
    <w:rsid w:val="0066079B"/>
    <w:rsid w:val="0081617B"/>
    <w:rsid w:val="00CB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88A9F6-5997-4494-9C15-F170DE2FA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EEE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68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799</Words>
  <Characters>4557</Characters>
  <Application>Microsoft Office Word</Application>
  <DocSecurity>0</DocSecurity>
  <Lines>37</Lines>
  <Paragraphs>10</Paragraphs>
  <ScaleCrop>false</ScaleCrop>
  <Company>Springer Nature</Company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2021-02-07T10:32:00Z</dcterms:created>
  <dcterms:modified xsi:type="dcterms:W3CDTF">2021-02-07T10:36:00Z</dcterms:modified>
</cp:coreProperties>
</file>