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5271A" w14:textId="1FEDE406" w:rsidR="00B43182" w:rsidRDefault="00B43182" w:rsidP="00B43182">
      <w:pPr>
        <w:spacing w:line="360" w:lineRule="auto"/>
        <w:rPr>
          <w:rFonts w:eastAsia="Calibri"/>
          <w:b/>
          <w:bCs/>
          <w:color w:val="000000" w:themeColor="text1"/>
          <w:kern w:val="24"/>
          <w:sz w:val="20"/>
          <w:szCs w:val="20"/>
          <w:lang w:val="en-US"/>
        </w:rPr>
      </w:pPr>
      <w:r w:rsidRPr="00E51B73">
        <w:rPr>
          <w:noProof/>
          <w:color w:val="000000" w:themeColor="text1"/>
          <w:sz w:val="20"/>
          <w:szCs w:val="20"/>
          <w:lang w:val="en-US" w:eastAsia="en-US"/>
        </w:rPr>
        <w:drawing>
          <wp:anchor distT="0" distB="0" distL="114300" distR="114300" simplePos="0" relativeHeight="251660288" behindDoc="1" locked="0" layoutInCell="1" allowOverlap="1" wp14:anchorId="3FBA0176" wp14:editId="39039D5A">
            <wp:simplePos x="0" y="0"/>
            <wp:positionH relativeFrom="column">
              <wp:posOffset>462915</wp:posOffset>
            </wp:positionH>
            <wp:positionV relativeFrom="paragraph">
              <wp:posOffset>519</wp:posOffset>
            </wp:positionV>
            <wp:extent cx="4478655" cy="6640830"/>
            <wp:effectExtent l="0" t="0" r="0" b="0"/>
            <wp:wrapSquare wrapText="bothSides"/>
            <wp:docPr id="15" name="Picture 15" descr="A picture containing floor, colorful, til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A picture containing floor, colorful, tiled&#10;&#10;Description automatically generated"/>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8655" cy="6640830"/>
                    </a:xfrm>
                    <a:prstGeom prst="rect">
                      <a:avLst/>
                    </a:prstGeom>
                    <a:noFill/>
                  </pic:spPr>
                </pic:pic>
              </a:graphicData>
            </a:graphic>
            <wp14:sizeRelH relativeFrom="page">
              <wp14:pctWidth>0</wp14:pctWidth>
            </wp14:sizeRelH>
            <wp14:sizeRelV relativeFrom="page">
              <wp14:pctHeight>0</wp14:pctHeight>
            </wp14:sizeRelV>
          </wp:anchor>
        </w:drawing>
      </w:r>
    </w:p>
    <w:p w14:paraId="00A4BD03" w14:textId="0111D512" w:rsidR="00B43182" w:rsidRDefault="00B43182" w:rsidP="00B43182">
      <w:pPr>
        <w:spacing w:line="360" w:lineRule="auto"/>
        <w:rPr>
          <w:rFonts w:eastAsia="Calibri"/>
          <w:b/>
          <w:bCs/>
          <w:color w:val="000000" w:themeColor="text1"/>
          <w:kern w:val="24"/>
          <w:sz w:val="20"/>
          <w:szCs w:val="20"/>
          <w:lang w:val="en-US"/>
        </w:rPr>
      </w:pPr>
    </w:p>
    <w:p w14:paraId="0335D2D7" w14:textId="77777777" w:rsidR="00B43182" w:rsidRDefault="00B43182" w:rsidP="00B43182">
      <w:pPr>
        <w:spacing w:line="360" w:lineRule="auto"/>
        <w:rPr>
          <w:rFonts w:eastAsia="Calibri"/>
          <w:b/>
          <w:bCs/>
          <w:color w:val="000000" w:themeColor="text1"/>
          <w:kern w:val="24"/>
          <w:sz w:val="20"/>
          <w:szCs w:val="20"/>
          <w:lang w:val="en-US"/>
        </w:rPr>
      </w:pPr>
    </w:p>
    <w:p w14:paraId="16E9EC8E" w14:textId="77777777" w:rsidR="00B43182" w:rsidRDefault="00B43182" w:rsidP="00B43182">
      <w:pPr>
        <w:spacing w:line="360" w:lineRule="auto"/>
        <w:rPr>
          <w:rFonts w:eastAsia="Calibri"/>
          <w:b/>
          <w:bCs/>
          <w:color w:val="000000" w:themeColor="text1"/>
          <w:kern w:val="24"/>
          <w:sz w:val="20"/>
          <w:szCs w:val="20"/>
          <w:lang w:val="en-US"/>
        </w:rPr>
      </w:pPr>
    </w:p>
    <w:p w14:paraId="4715E798" w14:textId="77777777" w:rsidR="00B43182" w:rsidRDefault="00B43182" w:rsidP="00B43182">
      <w:pPr>
        <w:spacing w:line="360" w:lineRule="auto"/>
        <w:rPr>
          <w:rFonts w:eastAsia="Calibri"/>
          <w:b/>
          <w:bCs/>
          <w:color w:val="000000" w:themeColor="text1"/>
          <w:kern w:val="24"/>
          <w:sz w:val="20"/>
          <w:szCs w:val="20"/>
          <w:lang w:val="en-US"/>
        </w:rPr>
      </w:pPr>
    </w:p>
    <w:p w14:paraId="15CC2B50" w14:textId="77777777" w:rsidR="00B43182" w:rsidRDefault="00B43182" w:rsidP="00B43182">
      <w:pPr>
        <w:spacing w:line="360" w:lineRule="auto"/>
        <w:rPr>
          <w:rFonts w:eastAsia="Calibri"/>
          <w:b/>
          <w:bCs/>
          <w:color w:val="000000" w:themeColor="text1"/>
          <w:kern w:val="24"/>
          <w:sz w:val="20"/>
          <w:szCs w:val="20"/>
          <w:lang w:val="en-US"/>
        </w:rPr>
      </w:pPr>
    </w:p>
    <w:p w14:paraId="0E0F12BC" w14:textId="77777777" w:rsidR="00B43182" w:rsidRDefault="00B43182" w:rsidP="00B43182">
      <w:pPr>
        <w:spacing w:line="360" w:lineRule="auto"/>
        <w:rPr>
          <w:rFonts w:eastAsia="Calibri"/>
          <w:b/>
          <w:bCs/>
          <w:color w:val="000000" w:themeColor="text1"/>
          <w:kern w:val="24"/>
          <w:sz w:val="20"/>
          <w:szCs w:val="20"/>
          <w:lang w:val="en-US"/>
        </w:rPr>
      </w:pPr>
    </w:p>
    <w:p w14:paraId="243C4B95" w14:textId="77777777" w:rsidR="00B43182" w:rsidRDefault="00B43182" w:rsidP="00B43182">
      <w:pPr>
        <w:spacing w:line="360" w:lineRule="auto"/>
        <w:rPr>
          <w:rFonts w:eastAsia="Calibri"/>
          <w:b/>
          <w:bCs/>
          <w:color w:val="000000" w:themeColor="text1"/>
          <w:kern w:val="24"/>
          <w:sz w:val="20"/>
          <w:szCs w:val="20"/>
          <w:lang w:val="en-US"/>
        </w:rPr>
      </w:pPr>
    </w:p>
    <w:p w14:paraId="1A99C090" w14:textId="77777777" w:rsidR="00B43182" w:rsidRDefault="00B43182" w:rsidP="00B43182">
      <w:pPr>
        <w:spacing w:line="360" w:lineRule="auto"/>
        <w:rPr>
          <w:rFonts w:eastAsia="Calibri"/>
          <w:b/>
          <w:bCs/>
          <w:color w:val="000000" w:themeColor="text1"/>
          <w:kern w:val="24"/>
          <w:sz w:val="20"/>
          <w:szCs w:val="20"/>
          <w:lang w:val="en-US"/>
        </w:rPr>
      </w:pPr>
    </w:p>
    <w:p w14:paraId="344FCEA8" w14:textId="77777777" w:rsidR="00B43182" w:rsidRDefault="00B43182" w:rsidP="00B43182">
      <w:pPr>
        <w:spacing w:line="360" w:lineRule="auto"/>
        <w:rPr>
          <w:rFonts w:eastAsia="Calibri"/>
          <w:b/>
          <w:bCs/>
          <w:color w:val="000000" w:themeColor="text1"/>
          <w:kern w:val="24"/>
          <w:sz w:val="20"/>
          <w:szCs w:val="20"/>
          <w:lang w:val="en-US"/>
        </w:rPr>
      </w:pPr>
    </w:p>
    <w:p w14:paraId="4BE930F6" w14:textId="77777777" w:rsidR="00B43182" w:rsidRDefault="00B43182" w:rsidP="00B43182">
      <w:pPr>
        <w:spacing w:line="360" w:lineRule="auto"/>
        <w:rPr>
          <w:rFonts w:eastAsia="Calibri"/>
          <w:b/>
          <w:bCs/>
          <w:color w:val="000000" w:themeColor="text1"/>
          <w:kern w:val="24"/>
          <w:sz w:val="20"/>
          <w:szCs w:val="20"/>
          <w:lang w:val="en-US"/>
        </w:rPr>
      </w:pPr>
    </w:p>
    <w:p w14:paraId="6F1176B8" w14:textId="77777777" w:rsidR="00B43182" w:rsidRDefault="00B43182" w:rsidP="00B43182">
      <w:pPr>
        <w:spacing w:line="360" w:lineRule="auto"/>
        <w:rPr>
          <w:rFonts w:eastAsia="Calibri"/>
          <w:b/>
          <w:bCs/>
          <w:color w:val="000000" w:themeColor="text1"/>
          <w:kern w:val="24"/>
          <w:sz w:val="20"/>
          <w:szCs w:val="20"/>
          <w:lang w:val="en-US"/>
        </w:rPr>
      </w:pPr>
    </w:p>
    <w:p w14:paraId="1D6119ED" w14:textId="77777777" w:rsidR="00B43182" w:rsidRDefault="00B43182" w:rsidP="00B43182">
      <w:pPr>
        <w:spacing w:line="360" w:lineRule="auto"/>
        <w:rPr>
          <w:rFonts w:eastAsia="Calibri"/>
          <w:b/>
          <w:bCs/>
          <w:color w:val="000000" w:themeColor="text1"/>
          <w:kern w:val="24"/>
          <w:sz w:val="20"/>
          <w:szCs w:val="20"/>
          <w:lang w:val="en-US"/>
        </w:rPr>
      </w:pPr>
    </w:p>
    <w:p w14:paraId="0BD5D154" w14:textId="77777777" w:rsidR="00B43182" w:rsidRDefault="00B43182" w:rsidP="00B43182">
      <w:pPr>
        <w:spacing w:line="360" w:lineRule="auto"/>
        <w:rPr>
          <w:rFonts w:eastAsia="Calibri"/>
          <w:b/>
          <w:bCs/>
          <w:color w:val="000000" w:themeColor="text1"/>
          <w:kern w:val="24"/>
          <w:sz w:val="20"/>
          <w:szCs w:val="20"/>
          <w:lang w:val="en-US"/>
        </w:rPr>
      </w:pPr>
    </w:p>
    <w:p w14:paraId="48ABA85A" w14:textId="77777777" w:rsidR="00B43182" w:rsidRDefault="00B43182" w:rsidP="00B43182">
      <w:pPr>
        <w:spacing w:line="360" w:lineRule="auto"/>
        <w:rPr>
          <w:rFonts w:eastAsia="Calibri"/>
          <w:b/>
          <w:bCs/>
          <w:color w:val="000000" w:themeColor="text1"/>
          <w:kern w:val="24"/>
          <w:sz w:val="20"/>
          <w:szCs w:val="20"/>
          <w:lang w:val="en-US"/>
        </w:rPr>
      </w:pPr>
    </w:p>
    <w:p w14:paraId="7E1A6161" w14:textId="77777777" w:rsidR="00B43182" w:rsidRDefault="00B43182" w:rsidP="00B43182">
      <w:pPr>
        <w:spacing w:line="360" w:lineRule="auto"/>
        <w:rPr>
          <w:rFonts w:eastAsia="Calibri"/>
          <w:b/>
          <w:bCs/>
          <w:color w:val="000000" w:themeColor="text1"/>
          <w:kern w:val="24"/>
          <w:sz w:val="20"/>
          <w:szCs w:val="20"/>
          <w:lang w:val="en-US"/>
        </w:rPr>
      </w:pPr>
    </w:p>
    <w:p w14:paraId="637D492E" w14:textId="77777777" w:rsidR="00B43182" w:rsidRDefault="00B43182" w:rsidP="00B43182">
      <w:pPr>
        <w:spacing w:line="360" w:lineRule="auto"/>
        <w:rPr>
          <w:rFonts w:eastAsia="Calibri"/>
          <w:b/>
          <w:bCs/>
          <w:color w:val="000000" w:themeColor="text1"/>
          <w:kern w:val="24"/>
          <w:sz w:val="20"/>
          <w:szCs w:val="20"/>
          <w:lang w:val="en-US"/>
        </w:rPr>
      </w:pPr>
    </w:p>
    <w:p w14:paraId="7340E455" w14:textId="77777777" w:rsidR="00B43182" w:rsidRDefault="00B43182" w:rsidP="00B43182">
      <w:pPr>
        <w:spacing w:line="360" w:lineRule="auto"/>
        <w:rPr>
          <w:rFonts w:eastAsia="Calibri"/>
          <w:b/>
          <w:bCs/>
          <w:color w:val="000000" w:themeColor="text1"/>
          <w:kern w:val="24"/>
          <w:sz w:val="20"/>
          <w:szCs w:val="20"/>
          <w:lang w:val="en-US"/>
        </w:rPr>
      </w:pPr>
    </w:p>
    <w:p w14:paraId="441E2E13" w14:textId="77777777" w:rsidR="00B43182" w:rsidRDefault="00B43182" w:rsidP="00B43182">
      <w:pPr>
        <w:spacing w:line="360" w:lineRule="auto"/>
        <w:rPr>
          <w:rFonts w:eastAsia="Calibri"/>
          <w:b/>
          <w:bCs/>
          <w:color w:val="000000" w:themeColor="text1"/>
          <w:kern w:val="24"/>
          <w:sz w:val="20"/>
          <w:szCs w:val="20"/>
          <w:lang w:val="en-US"/>
        </w:rPr>
      </w:pPr>
    </w:p>
    <w:p w14:paraId="58224784" w14:textId="77777777" w:rsidR="00B43182" w:rsidRDefault="00B43182" w:rsidP="00B43182">
      <w:pPr>
        <w:spacing w:line="360" w:lineRule="auto"/>
        <w:rPr>
          <w:rFonts w:eastAsia="Calibri"/>
          <w:b/>
          <w:bCs/>
          <w:color w:val="000000" w:themeColor="text1"/>
          <w:kern w:val="24"/>
          <w:sz w:val="20"/>
          <w:szCs w:val="20"/>
          <w:lang w:val="en-US"/>
        </w:rPr>
      </w:pPr>
    </w:p>
    <w:p w14:paraId="49E146AA" w14:textId="77777777" w:rsidR="00B43182" w:rsidRDefault="00B43182" w:rsidP="00B43182">
      <w:pPr>
        <w:spacing w:line="360" w:lineRule="auto"/>
        <w:rPr>
          <w:rFonts w:eastAsia="Calibri"/>
          <w:b/>
          <w:bCs/>
          <w:color w:val="000000" w:themeColor="text1"/>
          <w:kern w:val="24"/>
          <w:sz w:val="20"/>
          <w:szCs w:val="20"/>
          <w:lang w:val="en-US"/>
        </w:rPr>
      </w:pPr>
    </w:p>
    <w:p w14:paraId="374E60F8" w14:textId="77777777" w:rsidR="00B43182" w:rsidRDefault="00B43182" w:rsidP="00B43182">
      <w:pPr>
        <w:spacing w:line="360" w:lineRule="auto"/>
        <w:rPr>
          <w:rFonts w:eastAsia="Calibri"/>
          <w:b/>
          <w:bCs/>
          <w:color w:val="000000" w:themeColor="text1"/>
          <w:kern w:val="24"/>
          <w:sz w:val="20"/>
          <w:szCs w:val="20"/>
          <w:lang w:val="en-US"/>
        </w:rPr>
      </w:pPr>
    </w:p>
    <w:p w14:paraId="4E51A65F" w14:textId="77777777" w:rsidR="00B43182" w:rsidRDefault="00B43182" w:rsidP="00B43182">
      <w:pPr>
        <w:spacing w:line="360" w:lineRule="auto"/>
        <w:rPr>
          <w:rFonts w:eastAsia="Calibri"/>
          <w:b/>
          <w:bCs/>
          <w:color w:val="000000" w:themeColor="text1"/>
          <w:kern w:val="24"/>
          <w:sz w:val="20"/>
          <w:szCs w:val="20"/>
          <w:lang w:val="en-US"/>
        </w:rPr>
      </w:pPr>
    </w:p>
    <w:p w14:paraId="1A62B0E9" w14:textId="77777777" w:rsidR="00B43182" w:rsidRDefault="00B43182" w:rsidP="00B43182">
      <w:pPr>
        <w:spacing w:line="360" w:lineRule="auto"/>
        <w:rPr>
          <w:rFonts w:eastAsia="Calibri"/>
          <w:b/>
          <w:bCs/>
          <w:color w:val="000000" w:themeColor="text1"/>
          <w:kern w:val="24"/>
          <w:sz w:val="20"/>
          <w:szCs w:val="20"/>
          <w:lang w:val="en-US"/>
        </w:rPr>
      </w:pPr>
    </w:p>
    <w:p w14:paraId="7309CCBB" w14:textId="77777777" w:rsidR="00B43182" w:rsidRDefault="00B43182" w:rsidP="00B43182">
      <w:pPr>
        <w:spacing w:line="360" w:lineRule="auto"/>
        <w:rPr>
          <w:rFonts w:eastAsia="Calibri"/>
          <w:b/>
          <w:bCs/>
          <w:color w:val="000000" w:themeColor="text1"/>
          <w:kern w:val="24"/>
          <w:sz w:val="20"/>
          <w:szCs w:val="20"/>
          <w:lang w:val="en-US"/>
        </w:rPr>
      </w:pPr>
    </w:p>
    <w:p w14:paraId="4DCC3CD8" w14:textId="77777777" w:rsidR="00B43182" w:rsidRDefault="00B43182" w:rsidP="00B43182">
      <w:pPr>
        <w:spacing w:line="360" w:lineRule="auto"/>
        <w:rPr>
          <w:rFonts w:eastAsia="Calibri"/>
          <w:b/>
          <w:bCs/>
          <w:color w:val="000000" w:themeColor="text1"/>
          <w:kern w:val="24"/>
          <w:sz w:val="20"/>
          <w:szCs w:val="20"/>
          <w:lang w:val="en-US"/>
        </w:rPr>
      </w:pPr>
    </w:p>
    <w:p w14:paraId="53493330" w14:textId="77777777" w:rsidR="00B43182" w:rsidRDefault="00B43182" w:rsidP="00B43182">
      <w:pPr>
        <w:spacing w:line="360" w:lineRule="auto"/>
        <w:rPr>
          <w:rFonts w:eastAsia="Calibri"/>
          <w:b/>
          <w:bCs/>
          <w:color w:val="000000" w:themeColor="text1"/>
          <w:kern w:val="24"/>
          <w:sz w:val="20"/>
          <w:szCs w:val="20"/>
          <w:lang w:val="en-US"/>
        </w:rPr>
      </w:pPr>
    </w:p>
    <w:p w14:paraId="6935478A" w14:textId="77777777" w:rsidR="00B43182" w:rsidRDefault="00B43182" w:rsidP="00B43182">
      <w:pPr>
        <w:spacing w:line="360" w:lineRule="auto"/>
        <w:rPr>
          <w:rFonts w:eastAsia="Calibri"/>
          <w:b/>
          <w:bCs/>
          <w:color w:val="000000" w:themeColor="text1"/>
          <w:kern w:val="24"/>
          <w:sz w:val="20"/>
          <w:szCs w:val="20"/>
          <w:lang w:val="en-US"/>
        </w:rPr>
      </w:pPr>
    </w:p>
    <w:p w14:paraId="5A53847F" w14:textId="77777777" w:rsidR="00B43182" w:rsidRDefault="00B43182" w:rsidP="00B43182">
      <w:pPr>
        <w:spacing w:line="360" w:lineRule="auto"/>
        <w:rPr>
          <w:rFonts w:eastAsia="Calibri"/>
          <w:b/>
          <w:bCs/>
          <w:color w:val="000000" w:themeColor="text1"/>
          <w:kern w:val="24"/>
          <w:sz w:val="20"/>
          <w:szCs w:val="20"/>
          <w:lang w:val="en-US"/>
        </w:rPr>
      </w:pPr>
    </w:p>
    <w:p w14:paraId="44F0DE6D" w14:textId="77777777" w:rsidR="00B43182" w:rsidRDefault="00B43182" w:rsidP="00B43182">
      <w:pPr>
        <w:spacing w:line="360" w:lineRule="auto"/>
        <w:rPr>
          <w:rFonts w:eastAsia="Calibri"/>
          <w:b/>
          <w:bCs/>
          <w:color w:val="000000" w:themeColor="text1"/>
          <w:kern w:val="24"/>
          <w:sz w:val="20"/>
          <w:szCs w:val="20"/>
          <w:lang w:val="en-US"/>
        </w:rPr>
      </w:pPr>
    </w:p>
    <w:p w14:paraId="61F50D01" w14:textId="77777777" w:rsidR="00B43182" w:rsidRDefault="00B43182" w:rsidP="00B43182">
      <w:pPr>
        <w:spacing w:line="360" w:lineRule="auto"/>
        <w:rPr>
          <w:rFonts w:eastAsia="Calibri"/>
          <w:b/>
          <w:bCs/>
          <w:color w:val="000000" w:themeColor="text1"/>
          <w:kern w:val="24"/>
          <w:sz w:val="20"/>
          <w:szCs w:val="20"/>
          <w:lang w:val="en-US"/>
        </w:rPr>
      </w:pPr>
    </w:p>
    <w:p w14:paraId="46EB7499" w14:textId="47AB3154" w:rsidR="00B43182" w:rsidRPr="00E51B73" w:rsidRDefault="00B43182" w:rsidP="00B43182">
      <w:pPr>
        <w:spacing w:line="360" w:lineRule="auto"/>
        <w:rPr>
          <w:rFonts w:eastAsia="Calibri"/>
          <w:b/>
          <w:bCs/>
          <w:color w:val="000000" w:themeColor="text1"/>
          <w:kern w:val="24"/>
          <w:sz w:val="20"/>
          <w:szCs w:val="20"/>
          <w:lang w:val="en-US"/>
        </w:rPr>
      </w:pPr>
      <w:r w:rsidRPr="00E51B73">
        <w:rPr>
          <w:rFonts w:eastAsia="Calibri"/>
          <w:b/>
          <w:bCs/>
          <w:color w:val="000000" w:themeColor="text1"/>
          <w:kern w:val="24"/>
          <w:sz w:val="20"/>
          <w:szCs w:val="20"/>
          <w:lang w:val="en-US"/>
        </w:rPr>
        <w:t xml:space="preserve">Supplementary Data 1. Analysis by immunohistochemistry of IgG and IgM deposits in MS patients. </w:t>
      </w:r>
      <w:r w:rsidRPr="00E51B73">
        <w:rPr>
          <w:rFonts w:eastAsia="Calibri"/>
          <w:color w:val="000000" w:themeColor="text1"/>
          <w:kern w:val="24"/>
          <w:sz w:val="20"/>
          <w:szCs w:val="20"/>
          <w:lang w:val="en-US"/>
        </w:rPr>
        <w:t>Serial sections of a sample from control group (A-B) and NAWM (C, D) and chronic active lesion (E-H) from a MS patient. Labeling for IgG (A, C, E, G) and IgM (B, D, F, H). Representative examples of IgG (C, E) and IgM (D, F) deposits on oligodendrocyte like cells. Pictures showed IgG (G) and IgM (H) deposits on axon like structures. Scale bar=25 µm</w:t>
      </w:r>
    </w:p>
    <w:p w14:paraId="51E4DB16" w14:textId="77777777" w:rsidR="00B43182" w:rsidRPr="00E51B73"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p>
    <w:p w14:paraId="53B5BC19" w14:textId="77777777" w:rsidR="00B43182" w:rsidRPr="00E51B73"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p>
    <w:p w14:paraId="7DFDF481" w14:textId="77777777" w:rsidR="00B43182" w:rsidRPr="00E51B73"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p>
    <w:p w14:paraId="1299E882" w14:textId="77777777" w:rsidR="00B43182" w:rsidRPr="00E51B73"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p>
    <w:p w14:paraId="35798F94" w14:textId="77777777" w:rsidR="00B43182" w:rsidRPr="00E51B73"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p>
    <w:p w14:paraId="1385FE21" w14:textId="77777777" w:rsidR="00B43182" w:rsidRPr="00E51B73" w:rsidRDefault="00B43182" w:rsidP="00B43182">
      <w:pPr>
        <w:pStyle w:val="NormalWeb"/>
        <w:spacing w:before="0" w:beforeAutospacing="0" w:after="0" w:afterAutospacing="0" w:line="360" w:lineRule="auto"/>
        <w:jc w:val="both"/>
        <w:textAlignment w:val="baseline"/>
        <w:rPr>
          <w:rFonts w:eastAsia="Calibri"/>
          <w:b/>
          <w:bCs/>
          <w:color w:val="000000" w:themeColor="text1"/>
          <w:kern w:val="24"/>
          <w:sz w:val="20"/>
          <w:szCs w:val="20"/>
          <w:lang w:val="en-US"/>
        </w:rPr>
      </w:pPr>
      <w:r w:rsidRPr="00E51B73">
        <w:rPr>
          <w:rFonts w:eastAsia="Calibri"/>
          <w:b/>
          <w:bCs/>
          <w:noProof/>
          <w:color w:val="000000" w:themeColor="text1"/>
          <w:kern w:val="24"/>
          <w:sz w:val="20"/>
          <w:szCs w:val="20"/>
          <w:lang w:val="en-US" w:eastAsia="en-US"/>
        </w:rPr>
        <w:drawing>
          <wp:anchor distT="0" distB="0" distL="114300" distR="114300" simplePos="0" relativeHeight="251661312" behindDoc="0" locked="0" layoutInCell="1" allowOverlap="1" wp14:anchorId="16AD5425" wp14:editId="1281DDF8">
            <wp:simplePos x="0" y="0"/>
            <wp:positionH relativeFrom="column">
              <wp:posOffset>-746125</wp:posOffset>
            </wp:positionH>
            <wp:positionV relativeFrom="paragraph">
              <wp:posOffset>2540</wp:posOffset>
            </wp:positionV>
            <wp:extent cx="6676390" cy="3390265"/>
            <wp:effectExtent l="0" t="0" r="0" b="0"/>
            <wp:wrapSquare wrapText="bothSides"/>
            <wp:docPr id="18" name="Picture 18" descr="A screenshot of a compute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medium confidence"/>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6390" cy="3390265"/>
                    </a:xfrm>
                    <a:prstGeom prst="rect">
                      <a:avLst/>
                    </a:prstGeom>
                    <a:noFill/>
                  </pic:spPr>
                </pic:pic>
              </a:graphicData>
            </a:graphic>
            <wp14:sizeRelH relativeFrom="page">
              <wp14:pctWidth>0</wp14:pctWidth>
            </wp14:sizeRelH>
            <wp14:sizeRelV relativeFrom="page">
              <wp14:pctHeight>0</wp14:pctHeight>
            </wp14:sizeRelV>
          </wp:anchor>
        </w:drawing>
      </w:r>
    </w:p>
    <w:p w14:paraId="1672F7E8" w14:textId="77777777" w:rsidR="00B43182" w:rsidRPr="00E51B73"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r w:rsidRPr="00E51B73">
        <w:rPr>
          <w:rFonts w:eastAsia="Calibri"/>
          <w:b/>
          <w:bCs/>
          <w:color w:val="000000" w:themeColor="text1"/>
          <w:kern w:val="24"/>
          <w:sz w:val="20"/>
          <w:szCs w:val="20"/>
          <w:lang w:val="en-US"/>
        </w:rPr>
        <w:t xml:space="preserve">Supplementary Data 2. Characterization of the structures showing oxidative stress in MS patients. </w:t>
      </w:r>
      <w:r w:rsidRPr="00E51B73">
        <w:rPr>
          <w:rFonts w:eastAsia="Calibri"/>
          <w:color w:val="000000" w:themeColor="text1"/>
          <w:kern w:val="24"/>
          <w:sz w:val="20"/>
          <w:szCs w:val="20"/>
          <w:lang w:val="en-US"/>
        </w:rPr>
        <w:t>Fluorescent microscopy high magnification images from the edge of a chronic active lesion from MS patient (A-E). Staining for EO6 (A, D, green), oligodendrocyte nuclei (Olig-2) (B, red), and neurofilament (NF) (E, red). Overlays showed that oligodendrocytes (C) and axons (F) located in lesions were stained for EO6. Scale bar=25µm.</w:t>
      </w:r>
    </w:p>
    <w:p w14:paraId="539D306F"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5057F228"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58F1CE95"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4F8F131A"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3EDCB8A4"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34A45082"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1EB15868"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149944B5"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56ED8CB3"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723B8AA9"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71437B37"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44DAD6B4"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r w:rsidRPr="00E51B73">
        <w:rPr>
          <w:noProof/>
          <w:color w:val="000000" w:themeColor="text1"/>
          <w:sz w:val="20"/>
          <w:szCs w:val="20"/>
          <w:lang w:val="en-US" w:eastAsia="en-US"/>
        </w:rPr>
        <w:lastRenderedPageBreak/>
        <w:drawing>
          <wp:anchor distT="0" distB="0" distL="114300" distR="114300" simplePos="0" relativeHeight="251659264" behindDoc="0" locked="0" layoutInCell="1" allowOverlap="1" wp14:anchorId="1B2D345C" wp14:editId="303E68EB">
            <wp:simplePos x="0" y="0"/>
            <wp:positionH relativeFrom="column">
              <wp:posOffset>-348615</wp:posOffset>
            </wp:positionH>
            <wp:positionV relativeFrom="paragraph">
              <wp:posOffset>277495</wp:posOffset>
            </wp:positionV>
            <wp:extent cx="6209665" cy="3142615"/>
            <wp:effectExtent l="0" t="0" r="0" b="0"/>
            <wp:wrapSquare wrapText="bothSides"/>
            <wp:docPr id="13" name="Picture 13" descr="A screenshot of a computer&#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low confidence"/>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9665" cy="3142615"/>
                    </a:xfrm>
                    <a:prstGeom prst="rect">
                      <a:avLst/>
                    </a:prstGeom>
                    <a:noFill/>
                  </pic:spPr>
                </pic:pic>
              </a:graphicData>
            </a:graphic>
            <wp14:sizeRelH relativeFrom="page">
              <wp14:pctWidth>0</wp14:pctWidth>
            </wp14:sizeRelH>
            <wp14:sizeRelV relativeFrom="page">
              <wp14:pctHeight>0</wp14:pctHeight>
            </wp14:sizeRelV>
          </wp:anchor>
        </w:drawing>
      </w:r>
    </w:p>
    <w:p w14:paraId="1A6B9C9F" w14:textId="0C796A46" w:rsidR="00B43182"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r w:rsidRPr="00E51B73">
        <w:rPr>
          <w:rFonts w:eastAsia="Calibri"/>
          <w:b/>
          <w:bCs/>
          <w:color w:val="000000" w:themeColor="text1"/>
          <w:kern w:val="24"/>
          <w:sz w:val="20"/>
          <w:szCs w:val="20"/>
          <w:lang w:val="en-US"/>
        </w:rPr>
        <w:t xml:space="preserve">Supplementary Data 3. Characterization of the structures showing oxidative stress in ALS (A-C) and FTD (D-F) patients. </w:t>
      </w:r>
      <w:r w:rsidRPr="00E51B73">
        <w:rPr>
          <w:rFonts w:eastAsia="Calibri"/>
          <w:color w:val="000000" w:themeColor="text1"/>
          <w:kern w:val="24"/>
          <w:sz w:val="20"/>
          <w:szCs w:val="20"/>
          <w:lang w:val="en-US"/>
        </w:rPr>
        <w:t>Fluorescent microscopy high magnification images from injured areas. Staining for EO6 (A, D, green), and neurofilament (NF) (B, E), red). Overlays showed that axons located in impaired areas were stained for EO6 in ALS patients (C) and FTD (F) patients. Scale bar=25µm</w:t>
      </w:r>
    </w:p>
    <w:p w14:paraId="28EEBF0C" w14:textId="6A23EB00" w:rsidR="00B43182" w:rsidRDefault="00B43182" w:rsidP="00B43182">
      <w:pPr>
        <w:pStyle w:val="NormalWeb"/>
        <w:spacing w:before="0" w:beforeAutospacing="0" w:after="0" w:afterAutospacing="0" w:line="360" w:lineRule="auto"/>
        <w:jc w:val="both"/>
        <w:textAlignment w:val="baseline"/>
        <w:rPr>
          <w:rFonts w:eastAsia="Calibri"/>
          <w:color w:val="000000" w:themeColor="text1"/>
          <w:kern w:val="24"/>
          <w:sz w:val="20"/>
          <w:szCs w:val="20"/>
          <w:lang w:val="en-US"/>
        </w:rPr>
      </w:pPr>
    </w:p>
    <w:p w14:paraId="0A1EBAFC"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p>
    <w:p w14:paraId="57F80008" w14:textId="77777777" w:rsidR="00B43182" w:rsidRPr="00E51B73" w:rsidRDefault="00B43182" w:rsidP="00B43182">
      <w:pPr>
        <w:pStyle w:val="NormalWeb"/>
        <w:spacing w:before="0" w:beforeAutospacing="0" w:after="0" w:afterAutospacing="0" w:line="360" w:lineRule="auto"/>
        <w:jc w:val="both"/>
        <w:textAlignment w:val="baseline"/>
        <w:rPr>
          <w:color w:val="000000" w:themeColor="text1"/>
          <w:sz w:val="20"/>
          <w:szCs w:val="20"/>
          <w:lang w:val="en-US"/>
        </w:rPr>
      </w:pPr>
      <w:r w:rsidRPr="00E51B73">
        <w:rPr>
          <w:rFonts w:eastAsia="Calibri"/>
          <w:b/>
          <w:bCs/>
          <w:noProof/>
          <w:color w:val="000000" w:themeColor="text1"/>
          <w:kern w:val="24"/>
          <w:sz w:val="20"/>
          <w:szCs w:val="20"/>
          <w:lang w:val="en-US" w:eastAsia="en-US"/>
        </w:rPr>
        <w:lastRenderedPageBreak/>
        <w:drawing>
          <wp:anchor distT="0" distB="0" distL="114300" distR="114300" simplePos="0" relativeHeight="251663360" behindDoc="0" locked="0" layoutInCell="1" allowOverlap="1" wp14:anchorId="2EB56DB5" wp14:editId="013E8064">
            <wp:simplePos x="0" y="0"/>
            <wp:positionH relativeFrom="column">
              <wp:posOffset>-283845</wp:posOffset>
            </wp:positionH>
            <wp:positionV relativeFrom="paragraph">
              <wp:posOffset>-2540</wp:posOffset>
            </wp:positionV>
            <wp:extent cx="5971540" cy="6790690"/>
            <wp:effectExtent l="0" t="0" r="0" b="0"/>
            <wp:wrapSquare wrapText="bothSides"/>
            <wp:docPr id="11" name="Picture 11" descr="A screenshot of a compute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medium confidenc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1540" cy="6790690"/>
                    </a:xfrm>
                    <a:prstGeom prst="rect">
                      <a:avLst/>
                    </a:prstGeom>
                    <a:noFill/>
                  </pic:spPr>
                </pic:pic>
              </a:graphicData>
            </a:graphic>
            <wp14:sizeRelH relativeFrom="page">
              <wp14:pctWidth>0</wp14:pctWidth>
            </wp14:sizeRelH>
            <wp14:sizeRelV relativeFrom="page">
              <wp14:pctHeight>0</wp14:pctHeight>
            </wp14:sizeRelV>
          </wp:anchor>
        </w:drawing>
      </w:r>
    </w:p>
    <w:p w14:paraId="2D644273" w14:textId="67708256" w:rsidR="00A340D3" w:rsidRPr="00B43182" w:rsidRDefault="00B43182" w:rsidP="00B43182">
      <w:pPr>
        <w:pStyle w:val="NormalWeb"/>
        <w:spacing w:before="0" w:beforeAutospacing="0" w:after="0" w:afterAutospacing="0" w:line="360" w:lineRule="auto"/>
        <w:jc w:val="both"/>
        <w:textAlignment w:val="baseline"/>
        <w:rPr>
          <w:color w:val="000000" w:themeColor="text1"/>
          <w:sz w:val="20"/>
          <w:szCs w:val="20"/>
          <w:lang w:val="en-GB"/>
        </w:rPr>
      </w:pPr>
      <w:r w:rsidRPr="00E51B73">
        <w:rPr>
          <w:rFonts w:eastAsia="Calibri"/>
          <w:b/>
          <w:bCs/>
          <w:color w:val="000000" w:themeColor="text1"/>
          <w:kern w:val="24"/>
          <w:sz w:val="20"/>
          <w:szCs w:val="20"/>
          <w:lang w:val="en-US"/>
        </w:rPr>
        <w:t>Supplementary Data 4. Identification of the structures showing deposits of antibodies in MS patients</w:t>
      </w:r>
      <w:r w:rsidRPr="00E51B73">
        <w:rPr>
          <w:rFonts w:eastAsia="Calibri"/>
          <w:color w:val="000000" w:themeColor="text1"/>
          <w:kern w:val="24"/>
          <w:sz w:val="20"/>
          <w:szCs w:val="20"/>
          <w:lang w:val="en-US"/>
        </w:rPr>
        <w:t xml:space="preserve">. Fluorescent microscopy high magnification images from the center of a chronic active lesion (A-I) from MS patients. Staining for IgG (A, G green) IgM (D, J, green), Olig2 (B, E) and neurofilament (NF) (H, K) red). Overlays showed that Olig2 positive cells were positive stained for IgG (C) and IgM (F). Double immunofluorescence demonstrated that axons (Neu positive) were IgG positive (I, yellow) and IgM positive (L, yellow). </w:t>
      </w:r>
      <w:r w:rsidRPr="00E51B73">
        <w:rPr>
          <w:rFonts w:eastAsia="Calibri"/>
          <w:color w:val="000000" w:themeColor="text1"/>
          <w:kern w:val="24"/>
          <w:sz w:val="20"/>
          <w:szCs w:val="20"/>
          <w:lang w:val="en-GB"/>
        </w:rPr>
        <w:t xml:space="preserve">Scale bar=25µm. </w:t>
      </w:r>
    </w:p>
    <w:sectPr w:rsidR="00A340D3" w:rsidRPr="00B43182" w:rsidSect="002B5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82"/>
    <w:rsid w:val="00114675"/>
    <w:rsid w:val="002B53FA"/>
    <w:rsid w:val="00A340D3"/>
    <w:rsid w:val="00B43182"/>
    <w:rsid w:val="00CB3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B1C3"/>
  <w15:chartTrackingRefBased/>
  <w15:docId w15:val="{74B95FAD-A1F5-6343-918B-BE104A5B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182"/>
    <w:rPr>
      <w:rFonts w:ascii="Times New Roman" w:eastAsia="Times New Roman" w:hAnsi="Times New Roman" w:cs="Times New Roman"/>
      <w:lang w:val="es-ES"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31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2021-03-02T17:00:00Z</dcterms:created>
  <dcterms:modified xsi:type="dcterms:W3CDTF">2021-03-02T17:04:00Z</dcterms:modified>
</cp:coreProperties>
</file>