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cs="Times New Roman"/>
          <w:b/>
          <w:bCs/>
          <w:color w:val="000000" w:themeColor="text1"/>
          <w:kern w:val="0"/>
          <w:sz w:val="28"/>
          <w:szCs w:val="28"/>
          <w:shd w:val="clear" w:color="auto" w:fill="FFFFFF"/>
          <w:lang w:val="zh-CN"/>
          <w14:textFill>
            <w14:solidFill>
              <w14:schemeClr w14:val="tx1"/>
            </w14:solidFill>
          </w14:textFill>
        </w:rPr>
      </w:pPr>
      <w:bookmarkStart w:id="0" w:name="_Hlk81687116"/>
      <w:bookmarkStart w:id="1" w:name="_Hlk79350782"/>
      <w:r>
        <w:t xml:space="preserve"> </w:t>
      </w:r>
      <w:bookmarkEnd w:id="0"/>
    </w:p>
    <w:p>
      <w:pPr>
        <w:rPr>
          <w:rFonts w:hint="default"/>
          <w:lang w:val="en-US" w:eastAsia="zh-CN"/>
        </w:rPr>
      </w:pPr>
    </w:p>
    <w:p>
      <w:pPr>
        <w:rPr>
          <w:rFonts w:hint="default"/>
          <w:lang w:val="en-US" w:eastAsia="zh-CN"/>
        </w:rPr>
      </w:pPr>
    </w:p>
    <w:p>
      <w:pPr>
        <w:pStyle w:val="3"/>
        <w:keepNext w:val="0"/>
        <w:keepLines w:val="0"/>
        <w:widowControl/>
        <w:suppressLineNumbers w:val="0"/>
        <w:shd w:val="clear" w:fill="FCFCFC"/>
        <w:spacing w:before="0" w:beforeAutospacing="0" w:after="210" w:afterAutospacing="0" w:line="21" w:lineRule="atLeast"/>
        <w:ind w:left="0" w:firstLine="0"/>
        <w:jc w:val="center"/>
        <w:rPr>
          <w:rFonts w:ascii="Georgia" w:hAnsi="Georgia" w:eastAsia="Georgia" w:cs="Georgia"/>
          <w:i w:val="0"/>
          <w:iCs w:val="0"/>
          <w:caps w:val="0"/>
          <w:color w:val="333333"/>
          <w:spacing w:val="0"/>
        </w:rPr>
      </w:pPr>
      <w:r>
        <w:rPr>
          <w:rFonts w:hint="default" w:ascii="Georgia" w:hAnsi="Georgia" w:eastAsia="Georgia" w:cs="Georgia"/>
          <w:i w:val="0"/>
          <w:iCs w:val="0"/>
          <w:caps w:val="0"/>
          <w:color w:val="333333"/>
          <w:spacing w:val="0"/>
          <w:shd w:val="clear" w:fill="FCFCFC"/>
        </w:rPr>
        <w:t>Supplementary Information</w:t>
      </w:r>
    </w:p>
    <w:p>
      <w:pPr>
        <w:keepNext w:val="0"/>
        <w:keepLines w:val="0"/>
        <w:pageBreakBefore w:val="0"/>
        <w:kinsoku/>
        <w:wordWrap/>
        <w:overflowPunct/>
        <w:topLinePunct w:val="0"/>
        <w:autoSpaceDE/>
        <w:autoSpaceDN/>
        <w:bidi w:val="0"/>
        <w:adjustRightInd/>
        <w:spacing w:line="360" w:lineRule="auto"/>
        <w:jc w:val="center"/>
        <w:textAlignment w:val="auto"/>
        <w:rPr>
          <w:rFonts w:ascii="Times New Roman" w:hAnsi="Times New Roman" w:cs="Times New Roman"/>
          <w:b w:val="0"/>
          <w:bCs w:val="0"/>
          <w:color w:val="000000" w:themeColor="text1"/>
          <w:sz w:val="24"/>
          <w:szCs w:val="24"/>
          <w14:textFill>
            <w14:solidFill>
              <w14:schemeClr w14:val="tx1"/>
            </w14:solidFill>
          </w14:textFill>
        </w:rPr>
      </w:pPr>
      <w:bookmarkStart w:id="2" w:name="OLE_LINK3"/>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N</w:t>
      </w:r>
      <w:r>
        <w:rPr>
          <w:rFonts w:ascii="Times New Roman" w:hAnsi="Times New Roman" w:cs="Times New Roman"/>
          <w:b w:val="0"/>
          <w:bCs w:val="0"/>
          <w:color w:val="000000" w:themeColor="text1"/>
          <w:sz w:val="28"/>
          <w:szCs w:val="28"/>
          <w14:textFill>
            <w14:solidFill>
              <w14:schemeClr w14:val="tx1"/>
            </w14:solidFill>
          </w14:textFill>
        </w:rPr>
        <w:t>early or nanoscale natural amorphous particles</w:t>
      </w:r>
      <w:bookmarkStart w:id="3" w:name="_Hlk89804896"/>
      <w:r>
        <w:rPr>
          <w:rFonts w:ascii="Times New Roman" w:hAnsi="Times New Roman" w:cs="Times New Roman"/>
          <w:b w:val="0"/>
          <w:bCs w:val="0"/>
          <w:color w:val="000000" w:themeColor="text1"/>
          <w:sz w:val="28"/>
          <w:szCs w:val="28"/>
          <w14:textFill>
            <w14:solidFill>
              <w14:schemeClr w14:val="tx1"/>
            </w14:solidFill>
          </w14:textFill>
        </w:rPr>
        <w:t xml:space="preserve"> in the critical zone</w:t>
      </w:r>
      <w:bookmarkEnd w:id="3"/>
      <w:r>
        <w:rPr>
          <w:rFonts w:ascii="Times New Roman" w:hAnsi="Times New Roman" w:cs="Times New Roman"/>
          <w:b w:val="0"/>
          <w:bCs w:val="0"/>
          <w:color w:val="000000" w:themeColor="text1"/>
          <w:sz w:val="28"/>
          <w:szCs w:val="28"/>
          <w14:textFill>
            <w14:solidFill>
              <w14:schemeClr w14:val="tx1"/>
            </w14:solidFill>
          </w14:textFill>
        </w:rPr>
        <w:t xml:space="preserve"> </w:t>
      </w:r>
      <w:r>
        <w:rPr>
          <w:rFonts w:hint="eastAsia" w:ascii="Times New Roman" w:hAnsi="Times New Roman" w:cs="Times New Roman"/>
          <w:b w:val="0"/>
          <w:bCs w:val="0"/>
          <w:color w:val="000000" w:themeColor="text1"/>
          <w:sz w:val="28"/>
          <w:szCs w:val="28"/>
          <w:lang w:val="en-US" w:eastAsia="zh-CN"/>
          <w14:textFill>
            <w14:solidFill>
              <w14:schemeClr w14:val="tx1"/>
            </w14:solidFill>
          </w14:textFill>
        </w:rPr>
        <w:t xml:space="preserve">and biosphere </w:t>
      </w:r>
    </w:p>
    <w:bookmarkEnd w:id="2"/>
    <w:p>
      <w:pPr>
        <w:keepNext w:val="0"/>
        <w:keepLines w:val="0"/>
        <w:pageBreakBefore w:val="0"/>
        <w:kinsoku/>
        <w:wordWrap/>
        <w:overflowPunct/>
        <w:topLinePunct w:val="0"/>
        <w:autoSpaceDE/>
        <w:autoSpaceDN/>
        <w:bidi w:val="0"/>
        <w:adjustRightInd/>
        <w:spacing w:line="360" w:lineRule="auto"/>
        <w:jc w:val="center"/>
        <w:textAlignment w:val="auto"/>
        <w:rPr>
          <w:rFonts w:ascii="Times New Roman" w:hAnsi="Times New Roman" w:cs="Times New Roman"/>
          <w:b w:val="0"/>
          <w:bCs w:val="0"/>
          <w:color w:val="000000" w:themeColor="text1"/>
          <w:sz w:val="24"/>
          <w:szCs w:val="24"/>
          <w:vertAlign w:val="superscript"/>
          <w14:textFill>
            <w14:solidFill>
              <w14:schemeClr w14:val="tx1"/>
            </w14:solidFill>
          </w14:textFill>
        </w:rPr>
      </w:pPr>
      <w:r>
        <w:rPr>
          <w:rFonts w:ascii="Times New Roman" w:hAnsi="Times New Roman" w:cs="Times New Roman"/>
          <w:b w:val="0"/>
          <w:bCs w:val="0"/>
          <w:color w:val="000000" w:themeColor="text1"/>
          <w:sz w:val="24"/>
          <w:szCs w:val="24"/>
          <w14:textFill>
            <w14:solidFill>
              <w14:schemeClr w14:val="tx1"/>
            </w14:solidFill>
          </w14:textFill>
        </w:rPr>
        <w:t>Meiqu Lu</w:t>
      </w:r>
      <w:r>
        <w:rPr>
          <w:rFonts w:ascii="Times New Roman" w:hAnsi="Times New Roman" w:cs="Times New Roman"/>
          <w:b w:val="0"/>
          <w:bCs w:val="0"/>
          <w:color w:val="0070C0"/>
          <w:sz w:val="24"/>
          <w:szCs w:val="24"/>
          <w:vertAlign w:val="superscript"/>
        </w:rPr>
        <w:t>a,b,c,d</w:t>
      </w:r>
      <w:r>
        <w:rPr>
          <w:rFonts w:ascii="Times New Roman" w:hAnsi="Times New Roman" w:cs="Times New Roman"/>
          <w:b w:val="0"/>
          <w:bCs w:val="0"/>
          <w:color w:val="000000" w:themeColor="text1"/>
          <w:sz w:val="24"/>
          <w:szCs w:val="24"/>
          <w14:textFill>
            <w14:solidFill>
              <w14:schemeClr w14:val="tx1"/>
            </w14:solidFill>
          </w14:textFill>
        </w:rPr>
        <w:t>, Jianjin Cao</w:t>
      </w:r>
      <w:r>
        <w:rPr>
          <w:rFonts w:ascii="Times New Roman" w:hAnsi="Times New Roman" w:cs="Times New Roman"/>
          <w:b w:val="0"/>
          <w:bCs w:val="0"/>
          <w:color w:val="0070C0"/>
          <w:sz w:val="24"/>
          <w:szCs w:val="24"/>
          <w:vertAlign w:val="superscript"/>
        </w:rPr>
        <w:t>a,b,c,d,*</w:t>
      </w:r>
      <w:r>
        <w:rPr>
          <w:rFonts w:ascii="Times New Roman" w:hAnsi="Times New Roman" w:cs="Times New Roman"/>
          <w:b w:val="0"/>
          <w:bCs w:val="0"/>
          <w:color w:val="000000" w:themeColor="text1"/>
          <w:sz w:val="24"/>
          <w:szCs w:val="24"/>
          <w14:textFill>
            <w14:solidFill>
              <w14:schemeClr w14:val="tx1"/>
            </w14:solidFill>
          </w14:textFill>
        </w:rPr>
        <w:t>, Guai Hu</w:t>
      </w:r>
      <w:r>
        <w:rPr>
          <w:rFonts w:ascii="Times New Roman" w:hAnsi="Times New Roman" w:cs="Times New Roman"/>
          <w:b w:val="0"/>
          <w:bCs w:val="0"/>
          <w:color w:val="000000" w:themeColor="text1"/>
          <w:sz w:val="24"/>
          <w:szCs w:val="24"/>
          <w:vertAlign w:val="superscript"/>
          <w14:textFill>
            <w14:solidFill>
              <w14:schemeClr w14:val="tx1"/>
            </w14:solidFill>
          </w14:textFill>
        </w:rPr>
        <w:t xml:space="preserve"> </w:t>
      </w:r>
      <w:r>
        <w:rPr>
          <w:rFonts w:ascii="Times New Roman" w:hAnsi="Times New Roman" w:cs="Times New Roman"/>
          <w:b w:val="0"/>
          <w:bCs w:val="0"/>
          <w:color w:val="0070C0"/>
          <w:sz w:val="24"/>
          <w:szCs w:val="24"/>
          <w:vertAlign w:val="superscript"/>
        </w:rPr>
        <w:t>a,b,c,d</w:t>
      </w:r>
      <w:r>
        <w:rPr>
          <w:rFonts w:ascii="Times New Roman" w:hAnsi="Times New Roman" w:cs="Times New Roman"/>
          <w:b w:val="0"/>
          <w:bCs w:val="0"/>
          <w:color w:val="000000" w:themeColor="text1"/>
          <w:sz w:val="24"/>
          <w:szCs w:val="24"/>
          <w14:textFill>
            <w14:solidFill>
              <w14:schemeClr w14:val="tx1"/>
            </w14:solidFill>
          </w14:textFill>
        </w:rPr>
        <w:t>, Zeyu Wang</w:t>
      </w:r>
      <w:r>
        <w:rPr>
          <w:rFonts w:ascii="Times New Roman" w:hAnsi="Times New Roman" w:cs="Times New Roman"/>
          <w:b w:val="0"/>
          <w:bCs w:val="0"/>
          <w:color w:val="0070C0"/>
          <w:sz w:val="24"/>
          <w:szCs w:val="24"/>
          <w:vertAlign w:val="superscript"/>
        </w:rPr>
        <w:t>a,b,c,d</w:t>
      </w:r>
      <w:r>
        <w:rPr>
          <w:rFonts w:ascii="Times New Roman" w:hAnsi="Times New Roman" w:cs="Times New Roman"/>
          <w:b w:val="0"/>
          <w:bCs w:val="0"/>
          <w:color w:val="000000" w:themeColor="text1"/>
          <w:sz w:val="24"/>
          <w:szCs w:val="24"/>
          <w14:textFill>
            <w14:solidFill>
              <w14:schemeClr w14:val="tx1"/>
            </w14:solidFill>
          </w14:textFill>
        </w:rPr>
        <w:t>, Shaoting Ma</w:t>
      </w:r>
      <w:r>
        <w:rPr>
          <w:rFonts w:ascii="Times New Roman" w:hAnsi="Times New Roman" w:cs="Times New Roman"/>
          <w:b w:val="0"/>
          <w:bCs w:val="0"/>
          <w:color w:val="0070C0"/>
          <w:sz w:val="24"/>
          <w:szCs w:val="24"/>
          <w:vertAlign w:val="superscript"/>
        </w:rPr>
        <w:t>a,b,c,d</w:t>
      </w:r>
    </w:p>
    <w:p>
      <w:pPr>
        <w:keepNext w:val="0"/>
        <w:keepLines w:val="0"/>
        <w:pageBreakBefore w:val="0"/>
        <w:kinsoku/>
        <w:wordWrap/>
        <w:overflowPunct/>
        <w:topLinePunct w:val="0"/>
        <w:autoSpaceDE/>
        <w:autoSpaceDN/>
        <w:bidi w:val="0"/>
        <w:adjustRightInd/>
        <w:spacing w:line="360" w:lineRule="auto"/>
        <w:jc w:val="center"/>
        <w:textAlignment w:val="auto"/>
        <w:rPr>
          <w:rFonts w:ascii="Times New Roman" w:hAnsi="Times New Roman" w:cs="Times New Roman"/>
          <w:b w:val="0"/>
          <w:bCs w:val="0"/>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pacing w:line="360" w:lineRule="auto"/>
        <w:jc w:val="center"/>
        <w:textAlignment w:val="auto"/>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a School of Earth Sciences and Engineering, Sun Yat-sen University, Guangzhou 510275, China</w:t>
      </w:r>
    </w:p>
    <w:p>
      <w:pPr>
        <w:keepNext w:val="0"/>
        <w:keepLines w:val="0"/>
        <w:pageBreakBefore w:val="0"/>
        <w:kinsoku/>
        <w:wordWrap/>
        <w:overflowPunct/>
        <w:topLinePunct w:val="0"/>
        <w:autoSpaceDE/>
        <w:autoSpaceDN/>
        <w:bidi w:val="0"/>
        <w:adjustRightInd/>
        <w:spacing w:line="360" w:lineRule="auto"/>
        <w:jc w:val="center"/>
        <w:textAlignment w:val="auto"/>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b Guangdong Provincial Key Laboratory of Mineral Resources and Geological Processes, Guangzhou 510275, China</w:t>
      </w:r>
    </w:p>
    <w:p>
      <w:pPr>
        <w:keepNext w:val="0"/>
        <w:keepLines w:val="0"/>
        <w:pageBreakBefore w:val="0"/>
        <w:kinsoku/>
        <w:wordWrap/>
        <w:overflowPunct/>
        <w:topLinePunct w:val="0"/>
        <w:autoSpaceDE/>
        <w:autoSpaceDN/>
        <w:bidi w:val="0"/>
        <w:adjustRightInd/>
        <w:spacing w:line="360" w:lineRule="auto"/>
        <w:jc w:val="center"/>
        <w:textAlignment w:val="auto"/>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c Guangdong Provincial Key Laboratory of Geodynamics and Geohazards, Guangzhou 510275, China</w:t>
      </w:r>
    </w:p>
    <w:p>
      <w:pPr>
        <w:keepNext w:val="0"/>
        <w:keepLines w:val="0"/>
        <w:pageBreakBefore w:val="0"/>
        <w:kinsoku/>
        <w:wordWrap/>
        <w:overflowPunct/>
        <w:topLinePunct w:val="0"/>
        <w:autoSpaceDE/>
        <w:autoSpaceDN/>
        <w:bidi w:val="0"/>
        <w:adjustRightInd/>
        <w:spacing w:line="360" w:lineRule="auto"/>
        <w:jc w:val="center"/>
        <w:textAlignment w:val="auto"/>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d Southern Laboratory of Ocean Science and Engineering (Guangdong, Zhuhai, 519000)</w:t>
      </w:r>
    </w:p>
    <w:p>
      <w:pPr>
        <w:keepNext w:val="0"/>
        <w:keepLines w:val="0"/>
        <w:pageBreakBefore w:val="0"/>
        <w:kinsoku/>
        <w:wordWrap/>
        <w:overflowPunct/>
        <w:topLinePunct w:val="0"/>
        <w:autoSpaceDE/>
        <w:autoSpaceDN/>
        <w:bidi w:val="0"/>
        <w:adjustRightInd/>
        <w:snapToGrid w:val="0"/>
        <w:spacing w:line="360" w:lineRule="auto"/>
        <w:jc w:val="left"/>
        <w:textAlignment w:val="auto"/>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vertAlign w:val="superscript"/>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Corresponding author: J.J. Cao, School of Earth Sciences and Engineering, Sun Yat-sen University, Guangzhou 510275, China.</w:t>
      </w:r>
    </w:p>
    <w:p>
      <w:pPr>
        <w:keepNext w:val="0"/>
        <w:keepLines w:val="0"/>
        <w:pageBreakBefore w:val="0"/>
        <w:kinsoku/>
        <w:wordWrap/>
        <w:overflowPunct/>
        <w:topLinePunct w:val="0"/>
        <w:autoSpaceDE/>
        <w:autoSpaceDN/>
        <w:bidi w:val="0"/>
        <w:adjustRightInd/>
        <w:spacing w:line="360" w:lineRule="auto"/>
        <w:textAlignment w:val="auto"/>
        <w:rPr>
          <w:rFonts w:hint="eastAsia"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 xml:space="preserve">E-mail: </w:t>
      </w:r>
      <w:bookmarkStart w:id="4" w:name="_Hlk511517287"/>
      <w:r>
        <w:rPr>
          <w:rFonts w:ascii="Times New Roman" w:hAnsi="Times New Roman" w:eastAsia="宋体" w:cs="Times New Roman"/>
          <w:color w:val="000000" w:themeColor="text1"/>
          <w:sz w:val="24"/>
          <w:szCs w:val="24"/>
          <w14:textFill>
            <w14:solidFill>
              <w14:schemeClr w14:val="tx1"/>
            </w14:solidFill>
          </w14:textFill>
        </w:rPr>
        <w:t>eescjj@mail.sysu.edu.cn</w:t>
      </w:r>
      <w:bookmarkEnd w:id="4"/>
    </w:p>
    <w:p>
      <w:pPr>
        <w:rPr>
          <w:rFonts w:hint="default"/>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center"/>
        <w:rPr>
          <w:rFonts w:hint="default"/>
          <w:lang w:val="en-US" w:eastAsia="zh-CN"/>
        </w:rPr>
      </w:pPr>
      <w:r>
        <w:rPr>
          <w:rFonts w:hint="default"/>
          <w:lang w:val="en-US" w:eastAsia="zh-CN"/>
        </w:rPr>
        <w:drawing>
          <wp:inline distT="0" distB="0" distL="114300" distR="114300">
            <wp:extent cx="3582670" cy="6586855"/>
            <wp:effectExtent l="0" t="0" r="17780" b="4445"/>
            <wp:docPr id="9" name="图片 1" descr="S-Fig.1c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S-Fig.1cdr"/>
                    <pic:cNvPicPr>
                      <a:picLocks noChangeAspect="1"/>
                    </pic:cNvPicPr>
                  </pic:nvPicPr>
                  <pic:blipFill>
                    <a:blip r:embed="rId5"/>
                    <a:stretch>
                      <a:fillRect/>
                    </a:stretch>
                  </pic:blipFill>
                  <pic:spPr>
                    <a:xfrm>
                      <a:off x="0" y="0"/>
                      <a:ext cx="3582670" cy="6586855"/>
                    </a:xfrm>
                    <a:prstGeom prst="rect">
                      <a:avLst/>
                    </a:prstGeom>
                    <a:noFill/>
                    <a:ln>
                      <a:noFill/>
                    </a:ln>
                  </pic:spPr>
                </pic:pic>
              </a:graphicData>
            </a:graphic>
          </wp:inline>
        </w:drawing>
      </w: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Figure</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 xml:space="preserve"> S1 </w:t>
      </w:r>
      <w:r>
        <w:rPr>
          <w:rFonts w:ascii="Times New Roman" w:hAnsi="Times New Roman" w:cs="Times New Roman"/>
          <w:color w:val="000000" w:themeColor="text1"/>
          <w:sz w:val="18"/>
          <w:szCs w:val="18"/>
          <w14:textFill>
            <w14:solidFill>
              <w14:schemeClr w14:val="tx1"/>
            </w14:solidFill>
          </w14:textFill>
        </w:rPr>
        <w:t xml:space="preserve"> Spectra (a, e, h, and l)</w:t>
      </w:r>
      <w:r>
        <w:rPr>
          <w:rFonts w:ascii="Times New Roman" w:hAnsi="Times New Roman" w:cs="Times New Roman"/>
          <w:sz w:val="18"/>
          <w:szCs w:val="18"/>
        </w:rPr>
        <w:t>, TEM images (b, f, i, and m), SAED patterns (c, g, j, and n), and HRTEM images (ID10, d; ID12, k) of P–O-bearing nearly or NNAPs in the Dabaoshan (ID10), Chaihulanzi (ID11), and Qujia (ID12) deposits and Cl–(O)-bearing nearly or NNAPs in the Dongshengmiao deposit (ID13).</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jc w:val="center"/>
        <w:rPr>
          <w:rFonts w:hint="default"/>
          <w:lang w:val="en-US" w:eastAsia="zh-CN"/>
        </w:rPr>
      </w:pPr>
      <w:r>
        <w:rPr>
          <w:rFonts w:hint="default"/>
          <w:lang w:val="en-US" w:eastAsia="zh-CN"/>
        </w:rPr>
        <w:drawing>
          <wp:inline distT="0" distB="0" distL="114300" distR="114300">
            <wp:extent cx="4947285" cy="3405505"/>
            <wp:effectExtent l="0" t="0" r="5715" b="4445"/>
            <wp:docPr id="11" name="图片 2" descr="S-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S-Fig.2"/>
                    <pic:cNvPicPr>
                      <a:picLocks noChangeAspect="1"/>
                    </pic:cNvPicPr>
                  </pic:nvPicPr>
                  <pic:blipFill>
                    <a:blip r:embed="rId6"/>
                    <a:stretch>
                      <a:fillRect/>
                    </a:stretch>
                  </pic:blipFill>
                  <pic:spPr>
                    <a:xfrm>
                      <a:off x="0" y="0"/>
                      <a:ext cx="4947285" cy="3405505"/>
                    </a:xfrm>
                    <a:prstGeom prst="rect">
                      <a:avLst/>
                    </a:prstGeom>
                    <a:noFill/>
                    <a:ln>
                      <a:noFill/>
                    </a:ln>
                  </pic:spPr>
                </pic:pic>
              </a:graphicData>
            </a:graphic>
          </wp:inline>
        </w:drawing>
      </w:r>
    </w:p>
    <w:p>
      <w:pPr>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Figure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S2</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TEM images (a and c) and SAED patterns (b and d) of Cl</w:t>
      </w:r>
      <w:r>
        <w:rPr>
          <w:rFonts w:ascii="Times New Roman" w:hAnsi="Times New Roman" w:cs="Times New Roman"/>
          <w:sz w:val="18"/>
          <w:szCs w:val="18"/>
        </w:rPr>
        <w:t>–(O)</w:t>
      </w:r>
      <w:r>
        <w:rPr>
          <w:rFonts w:ascii="Times New Roman" w:hAnsi="Times New Roman" w:cs="Times New Roman"/>
          <w:color w:val="000000" w:themeColor="text1"/>
          <w:sz w:val="18"/>
          <w:szCs w:val="18"/>
          <w14:textFill>
            <w14:solidFill>
              <w14:schemeClr w14:val="tx1"/>
            </w14:solidFill>
          </w14:textFill>
        </w:rPr>
        <w:t>-bearing nearly or NNAPs in the Dabaoshan (ID14) and Panlong deposits (ID15).</w:t>
      </w: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TEM images (e, g, i, and k) and SAED patterns (f, h, j, and l) of oxide nearly or NNAPs in the Dongshengmiao deposit (ID16–19).</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jc w:val="center"/>
        <w:rPr>
          <w:rFonts w:hint="default"/>
          <w:lang w:val="en-US" w:eastAsia="zh-CN"/>
        </w:rPr>
      </w:pPr>
      <w:r>
        <w:rPr>
          <w:rFonts w:hint="default"/>
          <w:lang w:val="en-US" w:eastAsia="zh-CN"/>
        </w:rPr>
        <w:drawing>
          <wp:inline distT="0" distB="0" distL="114300" distR="114300">
            <wp:extent cx="4700905" cy="2355850"/>
            <wp:effectExtent l="0" t="0" r="4445" b="6350"/>
            <wp:docPr id="12" name="图片 3" descr="S-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S-Fig.3"/>
                    <pic:cNvPicPr>
                      <a:picLocks noChangeAspect="1"/>
                    </pic:cNvPicPr>
                  </pic:nvPicPr>
                  <pic:blipFill>
                    <a:blip r:embed="rId7"/>
                    <a:stretch>
                      <a:fillRect/>
                    </a:stretch>
                  </pic:blipFill>
                  <pic:spPr>
                    <a:xfrm>
                      <a:off x="0" y="0"/>
                      <a:ext cx="4700905" cy="2355850"/>
                    </a:xfrm>
                    <a:prstGeom prst="rect">
                      <a:avLst/>
                    </a:prstGeom>
                    <a:noFill/>
                    <a:ln>
                      <a:noFill/>
                    </a:ln>
                  </pic:spPr>
                </pic:pic>
              </a:graphicData>
            </a:graphic>
          </wp:inline>
        </w:drawing>
      </w: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Figure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S3</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ascii="Times New Roman" w:hAnsi="Times New Roman" w:cs="Times New Roman"/>
          <w:sz w:val="18"/>
          <w:szCs w:val="18"/>
        </w:rPr>
        <w:t>TEM images (a and c) and SAED patterns (b and d) of Cu–Zn–(Pb)-carrying oxide nearly or NNAPs in Kangjiawan deposit (ID20 and ID21).</w:t>
      </w:r>
    </w:p>
    <w:p>
      <w:pPr>
        <w:bidi w:val="0"/>
        <w:rPr>
          <w:rFonts w:hint="default" w:ascii="Calibri" w:hAnsi="Calibri" w:eastAsia="宋体" w:cs="Times New Roman"/>
          <w:kern w:val="2"/>
          <w:sz w:val="21"/>
          <w:szCs w:val="24"/>
          <w:lang w:val="en-US" w:eastAsia="zh-CN" w:bidi="ar-SA"/>
        </w:rPr>
      </w:pPr>
    </w:p>
    <w:p>
      <w:pPr>
        <w:bidi w:val="0"/>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jc w:val="center"/>
        <w:rPr>
          <w:rFonts w:hint="default"/>
          <w:lang w:val="en-US" w:eastAsia="zh-CN"/>
        </w:rPr>
      </w:pPr>
      <w:r>
        <w:rPr>
          <w:rFonts w:hint="default"/>
          <w:lang w:val="en-US" w:eastAsia="zh-CN"/>
        </w:rPr>
        <w:drawing>
          <wp:inline distT="0" distB="0" distL="114300" distR="114300">
            <wp:extent cx="3368040" cy="4939665"/>
            <wp:effectExtent l="0" t="0" r="3810" b="13335"/>
            <wp:docPr id="16" name="图片 4" descr="S-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S-Fig.4"/>
                    <pic:cNvPicPr>
                      <a:picLocks noChangeAspect="1"/>
                    </pic:cNvPicPr>
                  </pic:nvPicPr>
                  <pic:blipFill>
                    <a:blip r:embed="rId8"/>
                    <a:stretch>
                      <a:fillRect/>
                    </a:stretch>
                  </pic:blipFill>
                  <pic:spPr>
                    <a:xfrm>
                      <a:off x="0" y="0"/>
                      <a:ext cx="3368040" cy="4939665"/>
                    </a:xfrm>
                    <a:prstGeom prst="rect">
                      <a:avLst/>
                    </a:prstGeom>
                    <a:noFill/>
                    <a:ln>
                      <a:noFill/>
                    </a:ln>
                  </pic:spPr>
                </pic:pic>
              </a:graphicData>
            </a:graphic>
          </wp:inline>
        </w:drawing>
      </w: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Figure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S4</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ascii="Times New Roman" w:hAnsi="Times New Roman" w:cs="Times New Roman"/>
          <w:sz w:val="18"/>
          <w:szCs w:val="18"/>
        </w:rPr>
        <w:t>TEM images (a, c, e, i, and l), SAED patterns (b, d, f, j, and m), HRTEM images (ID24, g; ID26, l) and EDS spectra (ID25, h; ID26, k) of oxide nearly or NNAPs in Kangjiawan (ID22, ID23), and Dabaoshan (ID24~ID26) deposit.</w:t>
      </w: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jc w:val="center"/>
        <w:rPr>
          <w:rFonts w:hint="default"/>
          <w:lang w:val="en-US" w:eastAsia="zh-CN"/>
        </w:rPr>
      </w:pPr>
      <w:r>
        <w:rPr>
          <w:rFonts w:hint="default"/>
          <w:lang w:val="en-US" w:eastAsia="zh-CN"/>
        </w:rPr>
        <w:drawing>
          <wp:inline distT="0" distB="0" distL="114300" distR="114300">
            <wp:extent cx="4389120" cy="3008630"/>
            <wp:effectExtent l="0" t="0" r="11430" b="1270"/>
            <wp:docPr id="13" name="图片 5" descr="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fig7"/>
                    <pic:cNvPicPr>
                      <a:picLocks noChangeAspect="1"/>
                    </pic:cNvPicPr>
                  </pic:nvPicPr>
                  <pic:blipFill>
                    <a:blip r:embed="rId9"/>
                    <a:stretch>
                      <a:fillRect/>
                    </a:stretch>
                  </pic:blipFill>
                  <pic:spPr>
                    <a:xfrm>
                      <a:off x="0" y="0"/>
                      <a:ext cx="4389120" cy="3008630"/>
                    </a:xfrm>
                    <a:prstGeom prst="rect">
                      <a:avLst/>
                    </a:prstGeom>
                    <a:noFill/>
                    <a:ln>
                      <a:noFill/>
                    </a:ln>
                  </pic:spPr>
                </pic:pic>
              </a:graphicData>
            </a:graphic>
          </wp:inline>
        </w:drawing>
      </w:r>
    </w:p>
    <w:p>
      <w:pPr>
        <w:rPr>
          <w:rFonts w:hint="default"/>
          <w:lang w:val="en-US" w:eastAsia="zh-CN"/>
        </w:rPr>
      </w:pPr>
    </w:p>
    <w:p>
      <w:pPr>
        <w:widowControl/>
        <w:spacing w:line="480" w:lineRule="auto"/>
        <w:jc w:val="center"/>
        <w:rPr>
          <w:rFonts w:ascii="Times New Roman" w:hAnsi="Times New Roman" w:cs="Times New Roman"/>
          <w:sz w:val="18"/>
          <w:szCs w:val="18"/>
        </w:rPr>
      </w:pPr>
      <w:r>
        <w:rPr>
          <w:rFonts w:ascii="Times New Roman" w:hAnsi="Times New Roman" w:eastAsia="等线" w:cs="Times New Roman"/>
          <w:color w:val="000000" w:themeColor="text1"/>
          <w:kern w:val="0"/>
          <w:szCs w:val="21"/>
          <w14:textFill>
            <w14:solidFill>
              <w14:schemeClr w14:val="tx1"/>
            </w14:solidFill>
          </w14:textFill>
        </w:rPr>
        <w:t xml:space="preserve">Figure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S5</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ascii="Times New Roman" w:hAnsi="Times New Roman" w:cs="Times New Roman"/>
          <w:sz w:val="18"/>
          <w:szCs w:val="18"/>
        </w:rPr>
        <w:t>EDS spectrum (a), TEM image, SAED pattern, and HRTEM image of W-carrying oxide nearly or NNAPs in Qujia deposit (ID27). Similar particles: TEM images (e, g, and i) and SAED patterns (f, h, and j) of W-carrying oxide nearly or NNAPs in Qujia deposit (ID28–30).</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p>
      <w:pPr>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3992880" cy="4117975"/>
            <wp:effectExtent l="0" t="0" r="7620" b="15875"/>
            <wp:docPr id="17" name="图片 6"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fig8"/>
                    <pic:cNvPicPr>
                      <a:picLocks noChangeAspect="1"/>
                    </pic:cNvPicPr>
                  </pic:nvPicPr>
                  <pic:blipFill>
                    <a:blip r:embed="rId10"/>
                    <a:stretch>
                      <a:fillRect/>
                    </a:stretch>
                  </pic:blipFill>
                  <pic:spPr>
                    <a:xfrm>
                      <a:off x="0" y="0"/>
                      <a:ext cx="3992880" cy="4117975"/>
                    </a:xfrm>
                    <a:prstGeom prst="rect">
                      <a:avLst/>
                    </a:prstGeom>
                    <a:noFill/>
                    <a:ln>
                      <a:noFill/>
                    </a:ln>
                  </pic:spPr>
                </pic:pic>
              </a:graphicData>
            </a:graphic>
          </wp:inline>
        </w:drawing>
      </w: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Figure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S6</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ascii="Times New Roman" w:hAnsi="Times New Roman" w:cs="Times New Roman"/>
          <w:sz w:val="18"/>
          <w:szCs w:val="18"/>
        </w:rPr>
        <w:t>TEM images (a, c, e, and g) and SAED patterns (b, d, f, and h) of oxide nearly or NNAPs in the Qujia (ID31), Chaihulanzi deposits (ID32 and 33), and Weilasituo deposit (ID34).</w:t>
      </w: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r>
        <w:rPr>
          <w:rFonts w:hint="default" w:ascii="宋体" w:hAnsi="宋体" w:cs="宋体"/>
          <w:sz w:val="24"/>
          <w:szCs w:val="24"/>
          <w:lang w:val="en-US" w:eastAsia="zh-CN"/>
        </w:rPr>
        <w:drawing>
          <wp:inline distT="0" distB="0" distL="114300" distR="114300">
            <wp:extent cx="5273040" cy="2698750"/>
            <wp:effectExtent l="0" t="0" r="3810" b="6350"/>
            <wp:docPr id="14" name="图片 7" descr="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fig9"/>
                    <pic:cNvPicPr>
                      <a:picLocks noChangeAspect="1"/>
                    </pic:cNvPicPr>
                  </pic:nvPicPr>
                  <pic:blipFill>
                    <a:blip r:embed="rId11"/>
                    <a:stretch>
                      <a:fillRect/>
                    </a:stretch>
                  </pic:blipFill>
                  <pic:spPr>
                    <a:xfrm>
                      <a:off x="0" y="0"/>
                      <a:ext cx="5273040" cy="2698750"/>
                    </a:xfrm>
                    <a:prstGeom prst="rect">
                      <a:avLst/>
                    </a:prstGeom>
                    <a:noFill/>
                    <a:ln>
                      <a:noFill/>
                    </a:ln>
                  </pic:spPr>
                </pic:pic>
              </a:graphicData>
            </a:graphic>
          </wp:inline>
        </w:drawing>
      </w: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Figure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S7</w:t>
      </w:r>
      <w:r>
        <w:rPr>
          <w:rFonts w:ascii="Times New Roman" w:hAnsi="Times New Roman" w:eastAsia="等线" w:cs="Times New Roman"/>
          <w:color w:val="000000" w:themeColor="text1"/>
          <w:kern w:val="0"/>
          <w:szCs w:val="21"/>
          <w14:textFill>
            <w14:solidFill>
              <w14:schemeClr w14:val="tx1"/>
            </w14:solidFill>
          </w14:textFill>
        </w:rPr>
        <w:t xml:space="preserve"> </w:t>
      </w:r>
      <w:r>
        <w:rPr>
          <w:rFonts w:ascii="Times New Roman" w:hAnsi="Times New Roman" w:cs="Times New Roman"/>
          <w:sz w:val="18"/>
          <w:szCs w:val="18"/>
        </w:rPr>
        <w:t>TEM images (a, c, and e) and SAED patterns (b, d, and f) of oxide nearly or NNAPs in Shijiangshan deposit (ID35, ID36, ID37). TEM images (g, i, and l), SAED patterns (h, j, and m), and HRTEM images (ID39, k; ID40, n) of nearly or NNAPs in background areas in Huizhou (ID38), Qingyuan (ID39) and Heyuan (ID40).</w:t>
      </w: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eastAsia" w:ascii="宋体" w:hAnsi="宋体" w:cs="宋体"/>
          <w:sz w:val="24"/>
          <w:szCs w:val="24"/>
          <w:lang w:val="en-US" w:eastAsia="zh-CN"/>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4812665" cy="4210050"/>
            <wp:effectExtent l="0" t="0" r="6985" b="0"/>
            <wp:docPr id="15" name="图片 8" descr="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descr="Figure10"/>
                    <pic:cNvPicPr>
                      <a:picLocks noChangeAspect="1"/>
                    </pic:cNvPicPr>
                  </pic:nvPicPr>
                  <pic:blipFill>
                    <a:blip r:embed="rId12"/>
                    <a:stretch>
                      <a:fillRect/>
                    </a:stretch>
                  </pic:blipFill>
                  <pic:spPr>
                    <a:xfrm>
                      <a:off x="0" y="0"/>
                      <a:ext cx="4812665" cy="4210050"/>
                    </a:xfrm>
                    <a:prstGeom prst="rect">
                      <a:avLst/>
                    </a:prstGeom>
                    <a:noFill/>
                    <a:ln>
                      <a:noFill/>
                    </a:ln>
                  </pic:spPr>
                </pic:pic>
              </a:graphicData>
            </a:graphic>
          </wp:inline>
        </w:drawing>
      </w: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Figure</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 xml:space="preserve"> S8</w:t>
      </w:r>
      <w:r>
        <w:rPr>
          <w:rFonts w:ascii="Times New Roman" w:hAnsi="Times New Roman" w:eastAsia="等线" w:cs="Times New Roman"/>
          <w:color w:val="000000" w:themeColor="text1"/>
          <w:kern w:val="0"/>
          <w:szCs w:val="21"/>
          <w14:textFill>
            <w14:solidFill>
              <w14:schemeClr w14:val="tx1"/>
            </w14:solidFill>
          </w14:textFill>
        </w:rPr>
        <w:t xml:space="preserve"> </w:t>
      </w:r>
      <w:r>
        <w:rPr>
          <w:rStyle w:val="31"/>
          <w:rFonts w:ascii="Times New Roman" w:hAnsi="Times New Roman" w:cs="Times New Roman"/>
          <w:sz w:val="18"/>
          <w:szCs w:val="18"/>
        </w:rPr>
        <w:t>Schematic diagram: nearly or NNAPs carrying a high content of ore-related elements were found in the surface media of deposits but not in the background areas.</w:t>
      </w:r>
    </w:p>
    <w:p>
      <w:pPr>
        <w:rPr>
          <w:rFonts w:hint="default" w:ascii="宋体" w:hAnsi="宋体" w:eastAsia="宋体" w:cs="宋体"/>
          <w:sz w:val="24"/>
          <w:szCs w:val="24"/>
          <w:lang w:val="en-US" w:eastAsia="zh-CN"/>
        </w:rPr>
      </w:pPr>
    </w:p>
    <w:p>
      <w:pPr>
        <w:pStyle w:val="7"/>
        <w:spacing w:line="480" w:lineRule="auto"/>
        <w:ind w:left="420" w:hanging="420" w:hangingChars="150"/>
        <w:rPr>
          <w:rFonts w:ascii="Times New Roman" w:hAnsi="Times New Roman" w:cs="Times New Roman"/>
          <w:b/>
          <w:bCs/>
          <w:color w:val="000000" w:themeColor="text1"/>
          <w:kern w:val="0"/>
          <w:sz w:val="28"/>
          <w:szCs w:val="28"/>
          <w:shd w:val="clear" w:color="auto" w:fill="FFFFFF"/>
          <w:lang w:val="zh-CN"/>
          <w14:textFill>
            <w14:solidFill>
              <w14:schemeClr w14:val="tx1"/>
            </w14:solidFill>
          </w14:textFill>
        </w:rPr>
      </w:pPr>
    </w:p>
    <w:p>
      <w:pPr>
        <w:spacing w:line="480" w:lineRule="auto"/>
        <w:ind w:firstLine="560" w:firstLineChars="200"/>
        <w:rPr>
          <w:rFonts w:ascii="Times New Roman" w:hAnsi="Times New Roman" w:cs="Times New Roman"/>
          <w:b/>
          <w:bCs/>
          <w:color w:val="333333"/>
          <w:sz w:val="28"/>
          <w:szCs w:val="28"/>
        </w:rPr>
      </w:pPr>
    </w:p>
    <w:p>
      <w:pPr>
        <w:spacing w:line="480" w:lineRule="auto"/>
        <w:ind w:firstLine="560" w:firstLineChars="200"/>
        <w:rPr>
          <w:rFonts w:ascii="Times New Roman" w:hAnsi="Times New Roman" w:cs="Times New Roman"/>
          <w:b/>
          <w:bCs/>
          <w:color w:val="333333"/>
          <w:sz w:val="28"/>
          <w:szCs w:val="28"/>
        </w:rPr>
      </w:pPr>
    </w:p>
    <w:p>
      <w:pPr>
        <w:spacing w:line="480" w:lineRule="auto"/>
        <w:ind w:firstLine="560" w:firstLineChars="200"/>
        <w:rPr>
          <w:rFonts w:ascii="Times New Roman" w:hAnsi="Times New Roman" w:cs="Times New Roman"/>
          <w:b/>
          <w:bCs/>
          <w:color w:val="333333"/>
          <w:sz w:val="28"/>
          <w:szCs w:val="28"/>
        </w:rPr>
      </w:pPr>
    </w:p>
    <w:p>
      <w:pPr>
        <w:spacing w:line="480" w:lineRule="auto"/>
        <w:ind w:firstLine="560" w:firstLineChars="200"/>
        <w:rPr>
          <w:rFonts w:ascii="Times New Roman" w:hAnsi="Times New Roman" w:cs="Times New Roman"/>
          <w:b/>
          <w:bCs/>
          <w:color w:val="333333"/>
          <w:sz w:val="28"/>
          <w:szCs w:val="28"/>
        </w:rPr>
      </w:pPr>
    </w:p>
    <w:p>
      <w:pPr>
        <w:spacing w:line="480" w:lineRule="auto"/>
        <w:ind w:firstLine="560" w:firstLineChars="200"/>
        <w:rPr>
          <w:rFonts w:ascii="Times New Roman" w:hAnsi="Times New Roman" w:cs="Times New Roman"/>
          <w:b/>
          <w:bCs/>
          <w:color w:val="333333"/>
          <w:sz w:val="28"/>
          <w:szCs w:val="28"/>
        </w:rPr>
      </w:pPr>
    </w:p>
    <w:p>
      <w:pPr>
        <w:spacing w:line="480" w:lineRule="auto"/>
        <w:ind w:firstLine="560" w:firstLineChars="200"/>
        <w:rPr>
          <w:rFonts w:ascii="Times New Roman" w:hAnsi="Times New Roman" w:cs="Times New Roman"/>
          <w:b/>
          <w:bCs/>
          <w:color w:val="333333"/>
          <w:sz w:val="28"/>
          <w:szCs w:val="28"/>
        </w:rPr>
      </w:pPr>
    </w:p>
    <w:p>
      <w:pPr>
        <w:spacing w:line="480" w:lineRule="auto"/>
        <w:ind w:firstLine="560" w:firstLineChars="200"/>
        <w:rPr>
          <w:rFonts w:ascii="Times New Roman" w:hAnsi="Times New Roman" w:cs="Times New Roman"/>
          <w:b/>
          <w:bCs/>
          <w:color w:val="333333"/>
          <w:sz w:val="28"/>
          <w:szCs w:val="28"/>
        </w:rPr>
      </w:pPr>
    </w:p>
    <w:p>
      <w:pPr>
        <w:spacing w:line="480" w:lineRule="auto"/>
        <w:ind w:firstLine="560" w:firstLineChars="200"/>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333333"/>
          <w:sz w:val="28"/>
          <w:szCs w:val="28"/>
        </w:rPr>
        <w:t>Tables with captions</w:t>
      </w:r>
    </w:p>
    <w:p>
      <w:pPr>
        <w:spacing w:line="480" w:lineRule="auto"/>
        <w:rPr>
          <w:rFonts w:ascii="Times New Roman" w:hAnsi="Times New Roman" w:cs="Times New Roman"/>
          <w:color w:val="000000" w:themeColor="text1"/>
          <w:sz w:val="24"/>
          <w:szCs w:val="24"/>
          <w14:textFill>
            <w14:solidFill>
              <w14:schemeClr w14:val="tx1"/>
            </w14:solidFill>
          </w14:textFill>
        </w:rPr>
      </w:pP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Table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S1</w:t>
      </w:r>
      <w:r>
        <w:rPr>
          <w:rFonts w:ascii="Times New Roman" w:hAnsi="Times New Roman" w:eastAsia="等线" w:cs="Times New Roman"/>
          <w:color w:val="000000" w:themeColor="text1"/>
          <w:kern w:val="0"/>
          <w:szCs w:val="21"/>
          <w14:textFill>
            <w14:solidFill>
              <w14:schemeClr w14:val="tx1"/>
            </w14:solidFill>
          </w14:textFill>
        </w:rPr>
        <w:t xml:space="preserve"> Detailed information of Cl</w:t>
      </w:r>
      <w:r>
        <w:rPr>
          <w:rStyle w:val="31"/>
          <w:rFonts w:ascii="Times New Roman" w:hAnsi="Times New Roman" w:cs="Times New Roman"/>
          <w:szCs w:val="21"/>
        </w:rPr>
        <w:t>–(O)</w:t>
      </w:r>
      <w:r>
        <w:rPr>
          <w:rFonts w:ascii="Times New Roman" w:hAnsi="Times New Roman" w:eastAsia="等线" w:cs="Times New Roman"/>
          <w:color w:val="000000" w:themeColor="text1"/>
          <w:kern w:val="0"/>
          <w:szCs w:val="21"/>
          <w14:textFill>
            <w14:solidFill>
              <w14:schemeClr w14:val="tx1"/>
            </w14:solidFill>
          </w14:textFill>
        </w:rPr>
        <w:t xml:space="preserve">-bearing nearly or NNAPs (ID13–15) and oxide </w:t>
      </w:r>
      <w:r>
        <w:rPr>
          <w:rFonts w:ascii="Times New Roman" w:hAnsi="Times New Roman" w:cs="Times New Roman"/>
          <w:color w:val="000000" w:themeColor="text1"/>
          <w:szCs w:val="21"/>
          <w14:textFill>
            <w14:solidFill>
              <w14:schemeClr w14:val="tx1"/>
            </w14:solidFill>
          </w14:textFill>
        </w:rPr>
        <w:t>nearly or NNAPs (ID16–25)</w:t>
      </w:r>
    </w:p>
    <w:tbl>
      <w:tblPr>
        <w:tblStyle w:val="12"/>
        <w:tblW w:w="5000" w:type="pct"/>
        <w:jc w:val="center"/>
        <w:tblLayout w:type="autofit"/>
        <w:tblCellMar>
          <w:top w:w="0" w:type="dxa"/>
          <w:left w:w="108" w:type="dxa"/>
          <w:bottom w:w="0" w:type="dxa"/>
          <w:right w:w="108" w:type="dxa"/>
        </w:tblCellMar>
      </w:tblPr>
      <w:tblGrid>
        <w:gridCol w:w="929"/>
        <w:gridCol w:w="604"/>
        <w:gridCol w:w="608"/>
        <w:gridCol w:w="993"/>
        <w:gridCol w:w="612"/>
        <w:gridCol w:w="612"/>
        <w:gridCol w:w="612"/>
        <w:gridCol w:w="612"/>
        <w:gridCol w:w="612"/>
        <w:gridCol w:w="612"/>
        <w:gridCol w:w="612"/>
        <w:gridCol w:w="610"/>
        <w:gridCol w:w="606"/>
        <w:gridCol w:w="608"/>
      </w:tblGrid>
      <w:tr>
        <w:tblPrEx>
          <w:tblCellMar>
            <w:top w:w="0" w:type="dxa"/>
            <w:left w:w="108" w:type="dxa"/>
            <w:bottom w:w="0" w:type="dxa"/>
            <w:right w:w="108" w:type="dxa"/>
          </w:tblCellMar>
        </w:tblPrEx>
        <w:trPr>
          <w:cantSplit/>
          <w:trHeight w:val="227" w:hRule="exact"/>
          <w:jc w:val="center"/>
        </w:trPr>
        <w:tc>
          <w:tcPr>
            <w:tcW w:w="503"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P</w:t>
            </w:r>
            <w:r>
              <w:rPr>
                <w:rFonts w:ascii="Times New Roman" w:hAnsi="Times New Roman" w:eastAsia="等线" w:cs="Times New Roman"/>
                <w:color w:val="000000" w:themeColor="text1"/>
                <w:kern w:val="0"/>
                <w:sz w:val="13"/>
                <w:szCs w:val="13"/>
                <w14:textFill>
                  <w14:solidFill>
                    <w14:schemeClr w14:val="tx1"/>
                  </w14:solidFill>
                </w14:textFill>
              </w:rPr>
              <w:t>article ID</w:t>
            </w:r>
          </w:p>
        </w:tc>
        <w:tc>
          <w:tcPr>
            <w:tcW w:w="32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13</w:t>
            </w:r>
          </w:p>
        </w:tc>
        <w:tc>
          <w:tcPr>
            <w:tcW w:w="329"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14</w:t>
            </w:r>
          </w:p>
        </w:tc>
        <w:tc>
          <w:tcPr>
            <w:tcW w:w="53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w:t>
            </w:r>
          </w:p>
        </w:tc>
        <w:tc>
          <w:tcPr>
            <w:tcW w:w="331"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16</w:t>
            </w:r>
          </w:p>
        </w:tc>
        <w:tc>
          <w:tcPr>
            <w:tcW w:w="331"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17</w:t>
            </w:r>
          </w:p>
        </w:tc>
        <w:tc>
          <w:tcPr>
            <w:tcW w:w="331"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18</w:t>
            </w:r>
          </w:p>
        </w:tc>
        <w:tc>
          <w:tcPr>
            <w:tcW w:w="331"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19</w:t>
            </w:r>
          </w:p>
        </w:tc>
        <w:tc>
          <w:tcPr>
            <w:tcW w:w="331"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20</w:t>
            </w:r>
          </w:p>
        </w:tc>
        <w:tc>
          <w:tcPr>
            <w:tcW w:w="331"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21</w:t>
            </w:r>
          </w:p>
        </w:tc>
        <w:tc>
          <w:tcPr>
            <w:tcW w:w="331"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w:t>
            </w:r>
          </w:p>
        </w:tc>
        <w:tc>
          <w:tcPr>
            <w:tcW w:w="330"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23</w:t>
            </w:r>
          </w:p>
        </w:tc>
        <w:tc>
          <w:tcPr>
            <w:tcW w:w="328"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24</w:t>
            </w:r>
          </w:p>
        </w:tc>
        <w:tc>
          <w:tcPr>
            <w:tcW w:w="328"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25</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Sources</w:t>
            </w:r>
          </w:p>
        </w:tc>
        <w:tc>
          <w:tcPr>
            <w:tcW w:w="656" w:type="pct"/>
            <w:gridSpan w:val="2"/>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D</w:t>
            </w:r>
            <w:r>
              <w:rPr>
                <w:rFonts w:ascii="Times New Roman" w:hAnsi="Times New Roman" w:eastAsia="等线" w:cs="Times New Roman"/>
                <w:color w:val="000000" w:themeColor="text1"/>
                <w:kern w:val="0"/>
                <w:sz w:val="13"/>
                <w:szCs w:val="13"/>
                <w14:textFill>
                  <w14:solidFill>
                    <w14:schemeClr w14:val="tx1"/>
                  </w14:solidFill>
                </w14:textFill>
              </w:rPr>
              <w:t>abaoshan</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P</w:t>
            </w:r>
            <w:r>
              <w:rPr>
                <w:rFonts w:ascii="Times New Roman" w:hAnsi="Times New Roman" w:eastAsia="等线" w:cs="Times New Roman"/>
                <w:color w:val="000000" w:themeColor="text1"/>
                <w:kern w:val="0"/>
                <w:sz w:val="13"/>
                <w:szCs w:val="13"/>
                <w14:textFill>
                  <w14:solidFill>
                    <w14:schemeClr w14:val="tx1"/>
                  </w14:solidFill>
                </w14:textFill>
              </w:rPr>
              <w:t>anlong</w:t>
            </w:r>
          </w:p>
        </w:tc>
        <w:tc>
          <w:tcPr>
            <w:tcW w:w="1324" w:type="pct"/>
            <w:gridSpan w:val="4"/>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D</w:t>
            </w:r>
            <w:r>
              <w:rPr>
                <w:rFonts w:ascii="Times New Roman" w:hAnsi="Times New Roman" w:eastAsia="等线" w:cs="Times New Roman"/>
                <w:color w:val="000000" w:themeColor="text1"/>
                <w:kern w:val="0"/>
                <w:sz w:val="13"/>
                <w:szCs w:val="13"/>
                <w14:textFill>
                  <w14:solidFill>
                    <w14:schemeClr w14:val="tx1"/>
                  </w14:solidFill>
                </w14:textFill>
              </w:rPr>
              <w:t>ongshengmiao</w:t>
            </w:r>
          </w:p>
        </w:tc>
        <w:tc>
          <w:tcPr>
            <w:tcW w:w="1323" w:type="pct"/>
            <w:gridSpan w:val="4"/>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K</w:t>
            </w:r>
            <w:r>
              <w:rPr>
                <w:rFonts w:ascii="Times New Roman" w:hAnsi="Times New Roman" w:eastAsia="等线" w:cs="Times New Roman"/>
                <w:color w:val="000000" w:themeColor="text1"/>
                <w:kern w:val="0"/>
                <w:sz w:val="13"/>
                <w:szCs w:val="13"/>
                <w14:textFill>
                  <w14:solidFill>
                    <w14:schemeClr w14:val="tx1"/>
                  </w14:solidFill>
                </w14:textFill>
              </w:rPr>
              <w:t>angjiawan</w:t>
            </w:r>
          </w:p>
        </w:tc>
        <w:tc>
          <w:tcPr>
            <w:tcW w:w="656" w:type="pct"/>
            <w:gridSpan w:val="2"/>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D</w:t>
            </w:r>
            <w:r>
              <w:rPr>
                <w:rFonts w:ascii="Times New Roman" w:hAnsi="Times New Roman" w:eastAsia="等线" w:cs="Times New Roman"/>
                <w:color w:val="000000" w:themeColor="text1"/>
                <w:kern w:val="0"/>
                <w:sz w:val="13"/>
                <w:szCs w:val="13"/>
                <w14:textFill>
                  <w14:solidFill>
                    <w14:schemeClr w14:val="tx1"/>
                  </w14:solidFill>
                </w14:textFill>
              </w:rPr>
              <w:t>abaoshan</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single" w:color="auto" w:sz="4" w:space="0"/>
              <w:right w:val="nil"/>
            </w:tcBorders>
            <w:shd w:val="clear" w:color="auto" w:fill="auto"/>
            <w:noWrap/>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M</w:t>
            </w:r>
            <w:r>
              <w:rPr>
                <w:rFonts w:ascii="Times New Roman" w:hAnsi="Times New Roman" w:eastAsia="等线" w:cs="Times New Roman"/>
                <w:color w:val="000000" w:themeColor="text1"/>
                <w:kern w:val="0"/>
                <w:sz w:val="13"/>
                <w:szCs w:val="13"/>
                <w14:textFill>
                  <w14:solidFill>
                    <w14:schemeClr w14:val="tx1"/>
                  </w14:solidFill>
                </w14:textFill>
              </w:rPr>
              <w:t>edia</w:t>
            </w:r>
          </w:p>
        </w:tc>
        <w:tc>
          <w:tcPr>
            <w:tcW w:w="656" w:type="pct"/>
            <w:gridSpan w:val="2"/>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S</w:t>
            </w:r>
            <w:r>
              <w:rPr>
                <w:rFonts w:ascii="Times New Roman" w:hAnsi="Times New Roman" w:eastAsia="等线" w:cs="Times New Roman"/>
                <w:color w:val="000000" w:themeColor="text1"/>
                <w:kern w:val="0"/>
                <w:sz w:val="13"/>
                <w:szCs w:val="13"/>
                <w14:textFill>
                  <w14:solidFill>
                    <w14:schemeClr w14:val="tx1"/>
                  </w14:solidFill>
                </w14:textFill>
              </w:rPr>
              <w:t>oil</w:t>
            </w:r>
          </w:p>
        </w:tc>
        <w:tc>
          <w:tcPr>
            <w:tcW w:w="537" w:type="pct"/>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 xml:space="preserve">Plant tissue </w:t>
            </w:r>
          </w:p>
        </w:tc>
        <w:tc>
          <w:tcPr>
            <w:tcW w:w="3304" w:type="pct"/>
            <w:gridSpan w:val="10"/>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Ascending gas</w:t>
            </w:r>
          </w:p>
        </w:tc>
      </w:tr>
      <w:tr>
        <w:tblPrEx>
          <w:tblCellMar>
            <w:top w:w="0" w:type="dxa"/>
            <w:left w:w="108" w:type="dxa"/>
            <w:bottom w:w="0" w:type="dxa"/>
            <w:right w:w="108" w:type="dxa"/>
          </w:tblCellMar>
        </w:tblPrEx>
        <w:trPr>
          <w:cantSplit/>
          <w:trHeight w:val="227" w:hRule="exact"/>
          <w:jc w:val="center"/>
        </w:trPr>
        <w:tc>
          <w:tcPr>
            <w:tcW w:w="503"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w（O）</w:t>
            </w:r>
          </w:p>
        </w:tc>
        <w:tc>
          <w:tcPr>
            <w:tcW w:w="32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9.19</w:t>
            </w:r>
          </w:p>
        </w:tc>
        <w:tc>
          <w:tcPr>
            <w:tcW w:w="329"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30.97</w:t>
            </w:r>
          </w:p>
        </w:tc>
        <w:tc>
          <w:tcPr>
            <w:tcW w:w="53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28.91</w:t>
            </w:r>
          </w:p>
        </w:tc>
        <w:tc>
          <w:tcPr>
            <w:tcW w:w="331"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60.95</w:t>
            </w:r>
          </w:p>
        </w:tc>
        <w:tc>
          <w:tcPr>
            <w:tcW w:w="331"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51.53</w:t>
            </w:r>
          </w:p>
        </w:tc>
        <w:tc>
          <w:tcPr>
            <w:tcW w:w="331"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17.5</w:t>
            </w:r>
          </w:p>
        </w:tc>
        <w:tc>
          <w:tcPr>
            <w:tcW w:w="331"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35.91</w:t>
            </w:r>
          </w:p>
        </w:tc>
        <w:tc>
          <w:tcPr>
            <w:tcW w:w="331"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50.99</w:t>
            </w:r>
          </w:p>
        </w:tc>
        <w:tc>
          <w:tcPr>
            <w:tcW w:w="331"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48.86</w:t>
            </w:r>
          </w:p>
        </w:tc>
        <w:tc>
          <w:tcPr>
            <w:tcW w:w="330"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29.05</w:t>
            </w:r>
          </w:p>
        </w:tc>
        <w:tc>
          <w:tcPr>
            <w:tcW w:w="328"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46.93</w:t>
            </w:r>
          </w:p>
        </w:tc>
        <w:tc>
          <w:tcPr>
            <w:tcW w:w="328"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33.43</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a（O）</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18.81</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43.81</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51.77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74.66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73.79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55.18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58.47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69.44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65.74</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66.39</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70.57</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55.43</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w（Fe）</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5.89</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1.11</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4.45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9.19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3.62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a（Fe）</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3.45</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0.45</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3.77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1.41</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w（Cu）</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6.58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10.67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6.9</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6.72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a（Cu）</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2.69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3.66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2.34</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3.86</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w（P）</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10.15</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0.47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0.65</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0.57</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a（P）</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10.73</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0.35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0.45</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0.49</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w（S）</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15.56</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0.75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5.14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3.62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4.01</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3.28</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0.78</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a（S）</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15.89</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0.67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3.67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2.94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1.03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2.69</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3.75</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0.59</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w（Ca）</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15.51</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2.56</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89.94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1.89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0.36</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a（Ca）</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12.66</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1.45</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88.78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1.08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1.32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0.24</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w（Zn）</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3.31</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1.33</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48.99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6.39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13.36</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61.27</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a（Zn）</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1.66</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0.46</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21.46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2.54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0.75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4.92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40.62</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w（Al）</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3.31</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0.03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0.25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0.68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a（Al）</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2.77</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0.02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0.21</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0.65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w（K）</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22.86</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0.55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15.73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6.65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3.16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11.12</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2.93</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a（K）</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19.13</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0.32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20.3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4.43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1.76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6.12</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1.98</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w</w:t>
            </w:r>
            <w:r>
              <w:rPr>
                <w:rFonts w:ascii="Times New Roman" w:hAnsi="Times New Roman" w:eastAsia="等线" w:cs="Times New Roman"/>
                <w:color w:val="000000" w:themeColor="text1"/>
                <w:kern w:val="0"/>
                <w:sz w:val="13"/>
                <w:szCs w:val="13"/>
                <w14:textFill>
                  <w14:solidFill>
                    <w14:schemeClr w14:val="tx1"/>
                  </w14:solidFill>
                </w14:textFill>
              </w:rPr>
              <w:t xml:space="preserve"> (Mg）</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2.24</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0.83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0.76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0.1</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1.13</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a（Mg）</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2.09</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0.78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0.81</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0.09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w（Si）</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0.09</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2.79</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33.39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13.68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0.94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16.24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25.4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22.69</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6.39</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0.83</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a（Si）</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0.11</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2.25</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23.3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11.16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1.69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15.06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19.7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17.39</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8.32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0.79</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w（Cl）</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14.45</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23.37</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10.05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0.32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0.39</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0.56</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a（Cl）</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13.34</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14.91</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11.21</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0.24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0.24</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1.35</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0.42</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w（Na）</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2.93</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32.27</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19.13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0.99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3.48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6.46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2.24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5.34</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4.55</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7.82</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a（Na）</w:t>
            </w:r>
          </w:p>
        </w:tc>
        <w:tc>
          <w:tcPr>
            <w:tcW w:w="32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4.18</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31.77</w:t>
            </w:r>
          </w:p>
        </w:tc>
        <w:tc>
          <w:tcPr>
            <w:tcW w:w="53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23.84</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0.98</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7.56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7.32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2.12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7.24</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8.19</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w</w:t>
            </w:r>
            <w:r>
              <w:rPr>
                <w:rFonts w:ascii="Times New Roman" w:hAnsi="Times New Roman" w:eastAsia="等线" w:cs="Times New Roman"/>
                <w:color w:val="000000" w:themeColor="text1"/>
                <w:kern w:val="0"/>
                <w:sz w:val="13"/>
                <w:szCs w:val="13"/>
                <w14:textFill>
                  <w14:solidFill>
                    <w14:schemeClr w14:val="tx1"/>
                  </w14:solidFill>
                </w14:textFill>
              </w:rPr>
              <w:t>（Mn）</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0.87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7.85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a（Mn）</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0.36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3.72</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w（Cr）</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25.74</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a（Cr）</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0.43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11.91</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hint="eastAsia" w:ascii="Times New Roman" w:hAnsi="Times New Roman" w:eastAsia="等线" w:cs="Times New Roman"/>
                <w:color w:val="000000" w:themeColor="text1"/>
                <w:kern w:val="0"/>
                <w:sz w:val="13"/>
                <w:szCs w:val="13"/>
                <w14:textFill>
                  <w14:solidFill>
                    <w14:schemeClr w14:val="tx1"/>
                  </w14:solidFill>
                </w14:textFill>
              </w:rPr>
              <w:t>w</w:t>
            </w:r>
            <w:r>
              <w:rPr>
                <w:rFonts w:ascii="Times New Roman" w:hAnsi="Times New Roman" w:eastAsia="等线" w:cs="Times New Roman"/>
                <w:color w:val="000000" w:themeColor="text1"/>
                <w:kern w:val="0"/>
                <w:sz w:val="13"/>
                <w:szCs w:val="13"/>
                <w14:textFill>
                  <w14:solidFill>
                    <w14:schemeClr w14:val="tx1"/>
                  </w14:solidFill>
                </w14:textFill>
              </w:rPr>
              <w:t>（Mo）</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14.55</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a（Mo）</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3.47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w（Pb）</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62.33</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8.49</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44.86</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a（Pb）</w:t>
            </w:r>
          </w:p>
        </w:tc>
        <w:tc>
          <w:tcPr>
            <w:tcW w:w="32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15.17</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1.06</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7.91</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w（As）</w:t>
            </w:r>
          </w:p>
        </w:tc>
        <w:tc>
          <w:tcPr>
            <w:tcW w:w="327" w:type="pct"/>
            <w:tcBorders>
              <w:top w:val="nil"/>
              <w:left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5.1</w:t>
            </w:r>
          </w:p>
        </w:tc>
        <w:tc>
          <w:tcPr>
            <w:tcW w:w="328"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r>
        <w:tblPrEx>
          <w:tblCellMar>
            <w:top w:w="0" w:type="dxa"/>
            <w:left w:w="108" w:type="dxa"/>
            <w:bottom w:w="0" w:type="dxa"/>
            <w:right w:w="108" w:type="dxa"/>
          </w:tblCellMar>
        </w:tblPrEx>
        <w:trPr>
          <w:cantSplit/>
          <w:trHeight w:val="227" w:hRule="exact"/>
          <w:jc w:val="center"/>
        </w:trPr>
        <w:tc>
          <w:tcPr>
            <w:tcW w:w="503" w:type="pct"/>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a（As）</w:t>
            </w:r>
          </w:p>
        </w:tc>
        <w:tc>
          <w:tcPr>
            <w:tcW w:w="327" w:type="pct"/>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9" w:type="pct"/>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537" w:type="pct"/>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1"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30"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2.49</w:t>
            </w:r>
          </w:p>
        </w:tc>
        <w:tc>
          <w:tcPr>
            <w:tcW w:w="328"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c>
          <w:tcPr>
            <w:tcW w:w="328"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3"/>
                <w:szCs w:val="13"/>
                <w14:textFill>
                  <w14:solidFill>
                    <w14:schemeClr w14:val="tx1"/>
                  </w14:solidFill>
                </w14:textFill>
              </w:rPr>
            </w:pPr>
            <w:r>
              <w:rPr>
                <w:rFonts w:ascii="Times New Roman" w:hAnsi="Times New Roman" w:eastAsia="等线" w:cs="Times New Roman"/>
                <w:color w:val="000000" w:themeColor="text1"/>
                <w:kern w:val="0"/>
                <w:sz w:val="13"/>
                <w:szCs w:val="13"/>
                <w14:textFill>
                  <w14:solidFill>
                    <w14:schemeClr w14:val="tx1"/>
                  </w14:solidFill>
                </w14:textFill>
              </w:rPr>
              <w:t>0</w:t>
            </w:r>
          </w:p>
        </w:tc>
      </w:tr>
    </w:tbl>
    <w:p>
      <w:pPr>
        <w:spacing w:line="480" w:lineRule="auto"/>
        <w:ind w:firstLine="480" w:firstLineChars="200"/>
        <w:rPr>
          <w:rFonts w:ascii="Times New Roman" w:hAnsi="Times New Roman" w:cs="Times New Roman"/>
          <w:sz w:val="24"/>
          <w:szCs w:val="24"/>
        </w:rPr>
      </w:pPr>
    </w:p>
    <w:p>
      <w:pPr>
        <w:widowControl/>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pPr>
        <w:spacing w:line="480" w:lineRule="auto"/>
        <w:ind w:firstLine="480" w:firstLineChars="200"/>
        <w:rPr>
          <w:rFonts w:ascii="Times New Roman" w:hAnsi="Times New Roman" w:cs="Times New Roman"/>
          <w:color w:val="000000" w:themeColor="text1"/>
          <w:sz w:val="24"/>
          <w:szCs w:val="24"/>
          <w14:textFill>
            <w14:solidFill>
              <w14:schemeClr w14:val="tx1"/>
            </w14:solidFill>
          </w14:textFill>
        </w:rPr>
      </w:pPr>
    </w:p>
    <w:p>
      <w:pPr>
        <w:widowControl/>
        <w:spacing w:line="480" w:lineRule="auto"/>
        <w:jc w:val="center"/>
        <w:rPr>
          <w:rFonts w:ascii="Times New Roman" w:hAnsi="Times New Roman" w:eastAsia="等线" w:cs="Times New Roman"/>
          <w:color w:val="000000" w:themeColor="text1"/>
          <w:kern w:val="0"/>
          <w:szCs w:val="21"/>
          <w14:textFill>
            <w14:solidFill>
              <w14:schemeClr w14:val="tx1"/>
            </w14:solidFill>
          </w14:textFill>
        </w:rPr>
      </w:pPr>
      <w:r>
        <w:rPr>
          <w:rFonts w:ascii="Times New Roman" w:hAnsi="Times New Roman" w:eastAsia="等线" w:cs="Times New Roman"/>
          <w:color w:val="000000" w:themeColor="text1"/>
          <w:kern w:val="0"/>
          <w:szCs w:val="21"/>
          <w14:textFill>
            <w14:solidFill>
              <w14:schemeClr w14:val="tx1"/>
            </w14:solidFill>
          </w14:textFill>
        </w:rPr>
        <w:t xml:space="preserve">Table </w:t>
      </w:r>
      <w:r>
        <w:rPr>
          <w:rFonts w:hint="eastAsia" w:ascii="Times New Roman" w:hAnsi="Times New Roman" w:eastAsia="等线" w:cs="Times New Roman"/>
          <w:color w:val="000000" w:themeColor="text1"/>
          <w:kern w:val="0"/>
          <w:szCs w:val="21"/>
          <w:lang w:val="en-US" w:eastAsia="zh-CN"/>
          <w14:textFill>
            <w14:solidFill>
              <w14:schemeClr w14:val="tx1"/>
            </w14:solidFill>
          </w14:textFill>
        </w:rPr>
        <w:t>S2</w:t>
      </w:r>
      <w:r>
        <w:rPr>
          <w:rFonts w:ascii="Times New Roman" w:hAnsi="Times New Roman" w:eastAsia="等线" w:cs="Times New Roman"/>
          <w:color w:val="000000" w:themeColor="text1"/>
          <w:kern w:val="0"/>
          <w:szCs w:val="21"/>
          <w14:textFill>
            <w14:solidFill>
              <w14:schemeClr w14:val="tx1"/>
            </w14:solidFill>
          </w14:textFill>
        </w:rPr>
        <w:t xml:space="preserve"> Detailed information of oxide nearly or NNAPs (ID26–40)</w:t>
      </w:r>
    </w:p>
    <w:tbl>
      <w:tblPr>
        <w:tblStyle w:val="12"/>
        <w:tblW w:w="10383" w:type="dxa"/>
        <w:jc w:val="center"/>
        <w:tblLayout w:type="autofit"/>
        <w:tblCellMar>
          <w:top w:w="0" w:type="dxa"/>
          <w:left w:w="108" w:type="dxa"/>
          <w:bottom w:w="0" w:type="dxa"/>
          <w:right w:w="108" w:type="dxa"/>
        </w:tblCellMar>
      </w:tblPr>
      <w:tblGrid>
        <w:gridCol w:w="870"/>
        <w:gridCol w:w="883"/>
        <w:gridCol w:w="554"/>
        <w:gridCol w:w="554"/>
        <w:gridCol w:w="554"/>
        <w:gridCol w:w="554"/>
        <w:gridCol w:w="554"/>
        <w:gridCol w:w="554"/>
        <w:gridCol w:w="554"/>
        <w:gridCol w:w="866"/>
        <w:gridCol w:w="554"/>
        <w:gridCol w:w="554"/>
        <w:gridCol w:w="554"/>
        <w:gridCol w:w="733"/>
        <w:gridCol w:w="808"/>
        <w:gridCol w:w="683"/>
      </w:tblGrid>
      <w:tr>
        <w:tblPrEx>
          <w:tblCellMar>
            <w:top w:w="0" w:type="dxa"/>
            <w:left w:w="108" w:type="dxa"/>
            <w:bottom w:w="0" w:type="dxa"/>
            <w:right w:w="108" w:type="dxa"/>
          </w:tblCellMar>
        </w:tblPrEx>
        <w:trPr>
          <w:trHeight w:val="215" w:hRule="exact"/>
          <w:jc w:val="center"/>
        </w:trPr>
        <w:tc>
          <w:tcPr>
            <w:tcW w:w="419"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Particle ID</w:t>
            </w:r>
          </w:p>
        </w:tc>
        <w:tc>
          <w:tcPr>
            <w:tcW w:w="425"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26</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27</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28</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29</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30</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31</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32</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33</w:t>
            </w:r>
          </w:p>
        </w:tc>
        <w:tc>
          <w:tcPr>
            <w:tcW w:w="41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34</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35</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36</w:t>
            </w:r>
          </w:p>
        </w:tc>
        <w:tc>
          <w:tcPr>
            <w:tcW w:w="267"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37</w:t>
            </w:r>
          </w:p>
        </w:tc>
        <w:tc>
          <w:tcPr>
            <w:tcW w:w="353"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38</w:t>
            </w:r>
          </w:p>
        </w:tc>
        <w:tc>
          <w:tcPr>
            <w:tcW w:w="389"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39</w:t>
            </w:r>
          </w:p>
        </w:tc>
        <w:tc>
          <w:tcPr>
            <w:tcW w:w="329"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40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Sources</w:t>
            </w:r>
          </w:p>
        </w:tc>
        <w:tc>
          <w:tcPr>
            <w:tcW w:w="425"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Dabaoshan</w:t>
            </w:r>
          </w:p>
        </w:tc>
        <w:tc>
          <w:tcPr>
            <w:tcW w:w="1334" w:type="pct"/>
            <w:gridSpan w:val="5"/>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Qujia</w:t>
            </w:r>
          </w:p>
        </w:tc>
        <w:tc>
          <w:tcPr>
            <w:tcW w:w="534" w:type="pct"/>
            <w:gridSpan w:val="2"/>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Chaihulanzi</w:t>
            </w:r>
          </w:p>
        </w:tc>
        <w:tc>
          <w:tcPr>
            <w:tcW w:w="417"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Weilasituo</w:t>
            </w:r>
          </w:p>
        </w:tc>
        <w:tc>
          <w:tcPr>
            <w:tcW w:w="800" w:type="pct"/>
            <w:gridSpan w:val="3"/>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Shijiangshan</w:t>
            </w:r>
          </w:p>
        </w:tc>
        <w:tc>
          <w:tcPr>
            <w:tcW w:w="353"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Huizhou</w:t>
            </w:r>
          </w:p>
        </w:tc>
        <w:tc>
          <w:tcPr>
            <w:tcW w:w="38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Qingyuan</w:t>
            </w:r>
          </w:p>
        </w:tc>
        <w:tc>
          <w:tcPr>
            <w:tcW w:w="32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Heyuan</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single" w:color="auto" w:sz="4" w:space="0"/>
              <w:right w:val="nil"/>
            </w:tcBorders>
            <w:shd w:val="clear" w:color="auto" w:fill="auto"/>
            <w:noWrap/>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Media</w:t>
            </w:r>
          </w:p>
        </w:tc>
        <w:tc>
          <w:tcPr>
            <w:tcW w:w="425" w:type="pct"/>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Soil</w:t>
            </w:r>
          </w:p>
        </w:tc>
        <w:tc>
          <w:tcPr>
            <w:tcW w:w="4156" w:type="pct"/>
            <w:gridSpan w:val="14"/>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Groundwater</w:t>
            </w:r>
          </w:p>
        </w:tc>
      </w:tr>
      <w:tr>
        <w:tblPrEx>
          <w:tblCellMar>
            <w:top w:w="0" w:type="dxa"/>
            <w:left w:w="108" w:type="dxa"/>
            <w:bottom w:w="0" w:type="dxa"/>
            <w:right w:w="108" w:type="dxa"/>
          </w:tblCellMar>
        </w:tblPrEx>
        <w:trPr>
          <w:trHeight w:val="215" w:hRule="exact"/>
          <w:jc w:val="center"/>
        </w:trPr>
        <w:tc>
          <w:tcPr>
            <w:tcW w:w="419" w:type="pct"/>
            <w:tcBorders>
              <w:top w:val="single" w:color="auto" w:sz="4" w:space="0"/>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w（O）</w:t>
            </w:r>
          </w:p>
        </w:tc>
        <w:tc>
          <w:tcPr>
            <w:tcW w:w="425"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59.52</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23.32</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22.63</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25.75</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20.83</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13.58</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60.42</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53.09</w:t>
            </w:r>
          </w:p>
        </w:tc>
        <w:tc>
          <w:tcPr>
            <w:tcW w:w="41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82.64</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38.57</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22.82</w:t>
            </w:r>
          </w:p>
        </w:tc>
        <w:tc>
          <w:tcPr>
            <w:tcW w:w="267"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40.74</w:t>
            </w:r>
          </w:p>
        </w:tc>
        <w:tc>
          <w:tcPr>
            <w:tcW w:w="353"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85.49</w:t>
            </w:r>
          </w:p>
        </w:tc>
        <w:tc>
          <w:tcPr>
            <w:tcW w:w="389"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91.5</w:t>
            </w:r>
          </w:p>
        </w:tc>
        <w:tc>
          <w:tcPr>
            <w:tcW w:w="329" w:type="pct"/>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78.64</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a（O）</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71.27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73.7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71.36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73.1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65.2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34.45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80.94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71.56</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93.44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69.13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53.88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71.68</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91.59</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94.97</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87.83</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w（Fe）</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0.68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5.79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6.21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7.88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15.04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33.03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1.81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7.08</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1.09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40.73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40.69</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3.55</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a（Fe）</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0.23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5.24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5.61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6.41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13.49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0.69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2.73</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0.35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20.91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20.51</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1.13</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w（Cu）</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9.97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3.75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5.69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76.75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a（Cu）</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6.36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1.26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2.57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45.62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w（P）</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3.53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0.5</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a（P）</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2.44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0.45</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w（S）</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1.55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1.07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0.42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a（S）</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1.04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0.49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w（Ca）</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1.56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3.55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2.01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2.21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14.11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1.85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1.02</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0.44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0.94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1.32</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2.42</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2.86</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a（Ca）</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1.97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4.47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2.28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2.76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14.29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0.98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0.55</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0.19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0.67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0.93</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1.03</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1.27</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w（Zn）</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9.02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2.59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1.89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a（Zn）</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0.85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2.27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0.83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w（Al）</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7.75</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9.73</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a（Al）</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6.53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6.19</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6.44</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w（K）</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8.82</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1.37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a（K）</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4.87</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0.63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 (Mg）</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1.47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0.87</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a（Mg）</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0.77</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w（Si）</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20.93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12.16</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0.18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1.91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3.12</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12.07</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8.49</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5.19</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a（Si）</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14.28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9.34</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0.12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1.95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3.13</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7.37</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5.02</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3.3</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w（Cl）</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0.93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2.58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0.57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1.77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0.87</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a（Cl）</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1.32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2.95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0.34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0.69</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w（Na）</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8.91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1.32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0.32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1.68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1.03</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1.43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0.78</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a（Na）</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7.43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2.62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1.57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0.96</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1.12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0.95</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w（W）</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69.31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67.59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63.01</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60.65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a（W）</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19.06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18.54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15.56</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16.52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w（Cr）</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1.62</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20.73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a（Cr）</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1.27</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8.54</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w（Co）</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0.73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16.09</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8.11</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a（Co）</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0.23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11.08</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2.97</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 (Mo）</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1.75</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a（Mo）</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0.33</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w（Pb）</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11.94</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a（Pb）</w:t>
            </w:r>
          </w:p>
        </w:tc>
        <w:tc>
          <w:tcPr>
            <w:tcW w:w="425"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1.62</w:t>
            </w:r>
          </w:p>
        </w:tc>
        <w:tc>
          <w:tcPr>
            <w:tcW w:w="353"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w（As）</w:t>
            </w:r>
          </w:p>
        </w:tc>
        <w:tc>
          <w:tcPr>
            <w:tcW w:w="425"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10.24</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r>
        <w:tblPrEx>
          <w:tblCellMar>
            <w:top w:w="0" w:type="dxa"/>
            <w:left w:w="108" w:type="dxa"/>
            <w:bottom w:w="0" w:type="dxa"/>
            <w:right w:w="108" w:type="dxa"/>
          </w:tblCellMar>
        </w:tblPrEx>
        <w:trPr>
          <w:trHeight w:val="215" w:hRule="exact"/>
          <w:jc w:val="center"/>
        </w:trPr>
        <w:tc>
          <w:tcPr>
            <w:tcW w:w="419" w:type="pct"/>
            <w:tcBorders>
              <w:top w:val="nil"/>
              <w:left w:val="nil"/>
              <w:bottom w:val="single" w:color="auto" w:sz="4" w:space="0"/>
              <w:right w:val="nil"/>
            </w:tcBorders>
            <w:shd w:val="clear" w:color="auto" w:fill="auto"/>
            <w:vAlign w:val="center"/>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a（As）</w:t>
            </w:r>
          </w:p>
        </w:tc>
        <w:tc>
          <w:tcPr>
            <w:tcW w:w="425"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41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3.92</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267"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53"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89"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c>
          <w:tcPr>
            <w:tcW w:w="329" w:type="pct"/>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等线" w:cs="Times New Roman"/>
                <w:color w:val="000000" w:themeColor="text1"/>
                <w:kern w:val="0"/>
                <w:sz w:val="15"/>
                <w:szCs w:val="15"/>
                <w14:textFill>
                  <w14:solidFill>
                    <w14:schemeClr w14:val="tx1"/>
                  </w14:solidFill>
                </w14:textFill>
              </w:rPr>
            </w:pPr>
            <w:r>
              <w:rPr>
                <w:rFonts w:ascii="Times New Roman" w:hAnsi="Times New Roman" w:eastAsia="等线" w:cs="Times New Roman"/>
                <w:color w:val="000000" w:themeColor="text1"/>
                <w:kern w:val="0"/>
                <w:sz w:val="15"/>
                <w:szCs w:val="15"/>
                <w14:textFill>
                  <w14:solidFill>
                    <w14:schemeClr w14:val="tx1"/>
                  </w14:solidFill>
                </w14:textFill>
              </w:rPr>
              <w:t>0</w:t>
            </w:r>
          </w:p>
        </w:tc>
      </w:tr>
    </w:tbl>
    <w:p>
      <w:pPr>
        <w:spacing w:line="480" w:lineRule="auto"/>
        <w:ind w:firstLine="480" w:firstLineChars="200"/>
        <w:rPr>
          <w:rFonts w:ascii="Times New Roman" w:hAnsi="Times New Roman" w:cs="Times New Roman"/>
          <w:color w:val="000000" w:themeColor="text1"/>
          <w:sz w:val="24"/>
          <w:szCs w:val="24"/>
          <w14:textFill>
            <w14:solidFill>
              <w14:schemeClr w14:val="tx1"/>
            </w14:solidFill>
          </w14:textFill>
        </w:rPr>
      </w:pPr>
    </w:p>
    <w:bookmarkEnd w:id="1"/>
    <w:p>
      <w:pPr>
        <w:spacing w:line="480" w:lineRule="auto"/>
        <w:rPr>
          <w:rStyle w:val="31"/>
          <w:rFonts w:ascii="Times New Roman" w:hAnsi="Times New Roman" w:cs="Times New Roman"/>
          <w:color w:val="000000" w:themeColor="text1"/>
          <w:sz w:val="24"/>
          <w:szCs w:val="24"/>
          <w14:textFill>
            <w14:solidFill>
              <w14:schemeClr w14:val="tx1"/>
            </w14:solidFill>
          </w14:textFill>
        </w:rPr>
      </w:pPr>
      <w:bookmarkStart w:id="5" w:name="_GoBack"/>
      <w:bookmarkEnd w:id="5"/>
    </w:p>
    <w:sectPr>
      <w:footerReference r:id="rId3" w:type="default"/>
      <w:pgSz w:w="11906" w:h="16838"/>
      <w:pgMar w:top="1440" w:right="1440" w:bottom="1440" w:left="144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dvOT596495f2">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AdvOT596495f2+20">
    <w:altName w:val="Cambria"/>
    <w:panose1 w:val="00000000000000000000"/>
    <w:charset w:val="00"/>
    <w:family w:val="roman"/>
    <w:pitch w:val="default"/>
    <w:sig w:usb0="00000000" w:usb1="00000000" w:usb2="00000000" w:usb3="00000000" w:csb0="00000000" w:csb1="00000000"/>
  </w:font>
  <w:font w:name="KTJ0+ZBVGWQ-4">
    <w:altName w:val="Cambria"/>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2081532"/>
      <w:docPartObj>
        <w:docPartGallery w:val="AutoText"/>
      </w:docPartObj>
    </w:sdtPr>
    <w:sdtContent>
      <w:p>
        <w:pPr>
          <w:pStyle w:val="8"/>
        </w:pPr>
        <w:r>
          <w:fldChar w:fldCharType="begin"/>
        </w:r>
        <w:r>
          <w:instrText xml:space="preserve">PAGE   \* MERGEFORMAT</w:instrText>
        </w:r>
        <w:r>
          <w:fldChar w:fldCharType="separate"/>
        </w:r>
        <w:r>
          <w:rPr>
            <w:lang w:val="zh-CN"/>
          </w:rPr>
          <w:t>14</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zMzI3NjE1MTE0tTRS0lEKTi0uzszPAykwqgUA/yUSViwAAAA="/>
    <w:docVar w:name="commondata" w:val="eyJoZGlkIjoiYWI2N2U3NTM2OWM3ZWUwMjFlOWY2NDUwYTc4ZTFiMWQifQ=="/>
  </w:docVars>
  <w:rsids>
    <w:rsidRoot w:val="00145A6A"/>
    <w:rsid w:val="0000422E"/>
    <w:rsid w:val="0000605C"/>
    <w:rsid w:val="000068F9"/>
    <w:rsid w:val="00007179"/>
    <w:rsid w:val="00010C76"/>
    <w:rsid w:val="0001112C"/>
    <w:rsid w:val="0001142E"/>
    <w:rsid w:val="000131D9"/>
    <w:rsid w:val="0001459A"/>
    <w:rsid w:val="000155A7"/>
    <w:rsid w:val="00015C3A"/>
    <w:rsid w:val="00017276"/>
    <w:rsid w:val="00017466"/>
    <w:rsid w:val="00021029"/>
    <w:rsid w:val="0002161D"/>
    <w:rsid w:val="00021E30"/>
    <w:rsid w:val="00022CA7"/>
    <w:rsid w:val="00022D0D"/>
    <w:rsid w:val="000239C1"/>
    <w:rsid w:val="00024413"/>
    <w:rsid w:val="00024F17"/>
    <w:rsid w:val="0002521C"/>
    <w:rsid w:val="000274C7"/>
    <w:rsid w:val="00031554"/>
    <w:rsid w:val="0003188A"/>
    <w:rsid w:val="00032553"/>
    <w:rsid w:val="000339DA"/>
    <w:rsid w:val="0003554A"/>
    <w:rsid w:val="00036900"/>
    <w:rsid w:val="00036ED9"/>
    <w:rsid w:val="0003787C"/>
    <w:rsid w:val="00040E55"/>
    <w:rsid w:val="00041E8A"/>
    <w:rsid w:val="000426EC"/>
    <w:rsid w:val="000448DE"/>
    <w:rsid w:val="00045364"/>
    <w:rsid w:val="000465C3"/>
    <w:rsid w:val="000472E5"/>
    <w:rsid w:val="00047FED"/>
    <w:rsid w:val="000509D1"/>
    <w:rsid w:val="0005297D"/>
    <w:rsid w:val="00054AD6"/>
    <w:rsid w:val="00054D3B"/>
    <w:rsid w:val="0005531C"/>
    <w:rsid w:val="000571B6"/>
    <w:rsid w:val="00057424"/>
    <w:rsid w:val="00057AA2"/>
    <w:rsid w:val="00062379"/>
    <w:rsid w:val="00062E47"/>
    <w:rsid w:val="0006591E"/>
    <w:rsid w:val="00066F8C"/>
    <w:rsid w:val="0006742D"/>
    <w:rsid w:val="00070666"/>
    <w:rsid w:val="000720F6"/>
    <w:rsid w:val="0007215A"/>
    <w:rsid w:val="000737A2"/>
    <w:rsid w:val="00073A51"/>
    <w:rsid w:val="000751AA"/>
    <w:rsid w:val="000763F2"/>
    <w:rsid w:val="00076881"/>
    <w:rsid w:val="0008256B"/>
    <w:rsid w:val="00083715"/>
    <w:rsid w:val="00084AA0"/>
    <w:rsid w:val="00084C86"/>
    <w:rsid w:val="00090A9E"/>
    <w:rsid w:val="00091103"/>
    <w:rsid w:val="00091ACD"/>
    <w:rsid w:val="00095B3A"/>
    <w:rsid w:val="00097035"/>
    <w:rsid w:val="000A15BA"/>
    <w:rsid w:val="000A3124"/>
    <w:rsid w:val="000A4C1C"/>
    <w:rsid w:val="000A771F"/>
    <w:rsid w:val="000B0133"/>
    <w:rsid w:val="000B2035"/>
    <w:rsid w:val="000B3D71"/>
    <w:rsid w:val="000B3D95"/>
    <w:rsid w:val="000B52B4"/>
    <w:rsid w:val="000B6D40"/>
    <w:rsid w:val="000C2E5D"/>
    <w:rsid w:val="000C4DB9"/>
    <w:rsid w:val="000C6CD2"/>
    <w:rsid w:val="000D06E9"/>
    <w:rsid w:val="000D2E4A"/>
    <w:rsid w:val="000D7815"/>
    <w:rsid w:val="000E0C7D"/>
    <w:rsid w:val="000E2FE0"/>
    <w:rsid w:val="000E5822"/>
    <w:rsid w:val="000F228F"/>
    <w:rsid w:val="000F54C8"/>
    <w:rsid w:val="000F591B"/>
    <w:rsid w:val="000F7364"/>
    <w:rsid w:val="000F76A5"/>
    <w:rsid w:val="000F7DB1"/>
    <w:rsid w:val="001001F2"/>
    <w:rsid w:val="00100E24"/>
    <w:rsid w:val="001017A3"/>
    <w:rsid w:val="001029DB"/>
    <w:rsid w:val="001031C1"/>
    <w:rsid w:val="00104B06"/>
    <w:rsid w:val="00105DFA"/>
    <w:rsid w:val="00105F6A"/>
    <w:rsid w:val="00106658"/>
    <w:rsid w:val="0010671D"/>
    <w:rsid w:val="0011187E"/>
    <w:rsid w:val="00112DEF"/>
    <w:rsid w:val="00115207"/>
    <w:rsid w:val="0011617A"/>
    <w:rsid w:val="00117AE0"/>
    <w:rsid w:val="00121138"/>
    <w:rsid w:val="00121E77"/>
    <w:rsid w:val="001249F6"/>
    <w:rsid w:val="001306C4"/>
    <w:rsid w:val="001315A2"/>
    <w:rsid w:val="001337E1"/>
    <w:rsid w:val="00134996"/>
    <w:rsid w:val="001370BD"/>
    <w:rsid w:val="00137B61"/>
    <w:rsid w:val="00137D6E"/>
    <w:rsid w:val="0014020A"/>
    <w:rsid w:val="00141902"/>
    <w:rsid w:val="001421B3"/>
    <w:rsid w:val="001426E1"/>
    <w:rsid w:val="0014273A"/>
    <w:rsid w:val="001435F1"/>
    <w:rsid w:val="00145A6A"/>
    <w:rsid w:val="00145F82"/>
    <w:rsid w:val="00146975"/>
    <w:rsid w:val="001469D8"/>
    <w:rsid w:val="00147CC1"/>
    <w:rsid w:val="00147E9C"/>
    <w:rsid w:val="001509A1"/>
    <w:rsid w:val="001509F5"/>
    <w:rsid w:val="00151C51"/>
    <w:rsid w:val="00151FC0"/>
    <w:rsid w:val="001533BD"/>
    <w:rsid w:val="0015460A"/>
    <w:rsid w:val="00154976"/>
    <w:rsid w:val="00154E5A"/>
    <w:rsid w:val="001554E2"/>
    <w:rsid w:val="00156BA5"/>
    <w:rsid w:val="0015746C"/>
    <w:rsid w:val="00160763"/>
    <w:rsid w:val="00161034"/>
    <w:rsid w:val="00164B02"/>
    <w:rsid w:val="00166423"/>
    <w:rsid w:val="001702A2"/>
    <w:rsid w:val="00171602"/>
    <w:rsid w:val="00171F2A"/>
    <w:rsid w:val="00172A36"/>
    <w:rsid w:val="001733AD"/>
    <w:rsid w:val="0017496B"/>
    <w:rsid w:val="00177FD0"/>
    <w:rsid w:val="00181480"/>
    <w:rsid w:val="00183C1E"/>
    <w:rsid w:val="001843EC"/>
    <w:rsid w:val="00186548"/>
    <w:rsid w:val="00187392"/>
    <w:rsid w:val="001914EF"/>
    <w:rsid w:val="001924F9"/>
    <w:rsid w:val="00192736"/>
    <w:rsid w:val="001959CB"/>
    <w:rsid w:val="001A128C"/>
    <w:rsid w:val="001A26F6"/>
    <w:rsid w:val="001A2A66"/>
    <w:rsid w:val="001A3787"/>
    <w:rsid w:val="001A6E22"/>
    <w:rsid w:val="001B048B"/>
    <w:rsid w:val="001B27BE"/>
    <w:rsid w:val="001B3048"/>
    <w:rsid w:val="001B4765"/>
    <w:rsid w:val="001B4BB3"/>
    <w:rsid w:val="001B4E16"/>
    <w:rsid w:val="001B542F"/>
    <w:rsid w:val="001B7436"/>
    <w:rsid w:val="001B797D"/>
    <w:rsid w:val="001C4C7A"/>
    <w:rsid w:val="001C5C2A"/>
    <w:rsid w:val="001C7C88"/>
    <w:rsid w:val="001C7E89"/>
    <w:rsid w:val="001D2692"/>
    <w:rsid w:val="001D2AC7"/>
    <w:rsid w:val="001D2D01"/>
    <w:rsid w:val="001D561A"/>
    <w:rsid w:val="001D713D"/>
    <w:rsid w:val="001E08BB"/>
    <w:rsid w:val="001E1062"/>
    <w:rsid w:val="001E5283"/>
    <w:rsid w:val="001E659B"/>
    <w:rsid w:val="001E7DE9"/>
    <w:rsid w:val="001E7EA5"/>
    <w:rsid w:val="001F243D"/>
    <w:rsid w:val="001F2FE9"/>
    <w:rsid w:val="001F4249"/>
    <w:rsid w:val="001F6C88"/>
    <w:rsid w:val="00200AE5"/>
    <w:rsid w:val="00201BFE"/>
    <w:rsid w:val="00202935"/>
    <w:rsid w:val="00203593"/>
    <w:rsid w:val="00206714"/>
    <w:rsid w:val="00211552"/>
    <w:rsid w:val="002120FC"/>
    <w:rsid w:val="002126B8"/>
    <w:rsid w:val="002135C0"/>
    <w:rsid w:val="002142CE"/>
    <w:rsid w:val="00214339"/>
    <w:rsid w:val="00214525"/>
    <w:rsid w:val="00220561"/>
    <w:rsid w:val="00221B99"/>
    <w:rsid w:val="00222FF4"/>
    <w:rsid w:val="0022421F"/>
    <w:rsid w:val="00226DD3"/>
    <w:rsid w:val="00227566"/>
    <w:rsid w:val="00227651"/>
    <w:rsid w:val="00227944"/>
    <w:rsid w:val="00227E6D"/>
    <w:rsid w:val="002300E2"/>
    <w:rsid w:val="00230EBF"/>
    <w:rsid w:val="00231FE8"/>
    <w:rsid w:val="00234307"/>
    <w:rsid w:val="0023497B"/>
    <w:rsid w:val="00235836"/>
    <w:rsid w:val="002443B5"/>
    <w:rsid w:val="0024629D"/>
    <w:rsid w:val="00247F6E"/>
    <w:rsid w:val="002515B8"/>
    <w:rsid w:val="0025238C"/>
    <w:rsid w:val="00255004"/>
    <w:rsid w:val="00255A1A"/>
    <w:rsid w:val="00256CF5"/>
    <w:rsid w:val="0025713D"/>
    <w:rsid w:val="002600FE"/>
    <w:rsid w:val="00261C34"/>
    <w:rsid w:val="002648E5"/>
    <w:rsid w:val="00265B42"/>
    <w:rsid w:val="002662F2"/>
    <w:rsid w:val="0026674B"/>
    <w:rsid w:val="00266C18"/>
    <w:rsid w:val="00267076"/>
    <w:rsid w:val="00267111"/>
    <w:rsid w:val="0027142D"/>
    <w:rsid w:val="00271ED0"/>
    <w:rsid w:val="0027520E"/>
    <w:rsid w:val="0027571C"/>
    <w:rsid w:val="002770D4"/>
    <w:rsid w:val="002778DC"/>
    <w:rsid w:val="00277DFB"/>
    <w:rsid w:val="00280824"/>
    <w:rsid w:val="0028102A"/>
    <w:rsid w:val="002841BD"/>
    <w:rsid w:val="00284D59"/>
    <w:rsid w:val="00285DD5"/>
    <w:rsid w:val="0028675C"/>
    <w:rsid w:val="002911D6"/>
    <w:rsid w:val="00293CE6"/>
    <w:rsid w:val="00293D08"/>
    <w:rsid w:val="00293F35"/>
    <w:rsid w:val="00294B8B"/>
    <w:rsid w:val="00294E94"/>
    <w:rsid w:val="00295879"/>
    <w:rsid w:val="002963BF"/>
    <w:rsid w:val="002A1FD0"/>
    <w:rsid w:val="002A21C3"/>
    <w:rsid w:val="002A3FB1"/>
    <w:rsid w:val="002B03B9"/>
    <w:rsid w:val="002B31FF"/>
    <w:rsid w:val="002B369E"/>
    <w:rsid w:val="002C17EF"/>
    <w:rsid w:val="002C2814"/>
    <w:rsid w:val="002C4DE0"/>
    <w:rsid w:val="002D1735"/>
    <w:rsid w:val="002D5C3F"/>
    <w:rsid w:val="002D636C"/>
    <w:rsid w:val="002D7057"/>
    <w:rsid w:val="002D7633"/>
    <w:rsid w:val="002E0537"/>
    <w:rsid w:val="002E2A5A"/>
    <w:rsid w:val="002E4C2B"/>
    <w:rsid w:val="002E5A7F"/>
    <w:rsid w:val="002E785F"/>
    <w:rsid w:val="002E7C49"/>
    <w:rsid w:val="002F1DE4"/>
    <w:rsid w:val="002F41A6"/>
    <w:rsid w:val="002F7747"/>
    <w:rsid w:val="00305C53"/>
    <w:rsid w:val="0030676F"/>
    <w:rsid w:val="00307735"/>
    <w:rsid w:val="0031111C"/>
    <w:rsid w:val="00312ABE"/>
    <w:rsid w:val="00313ABE"/>
    <w:rsid w:val="00314FD2"/>
    <w:rsid w:val="00316F5C"/>
    <w:rsid w:val="00322F70"/>
    <w:rsid w:val="00323718"/>
    <w:rsid w:val="0032449A"/>
    <w:rsid w:val="0032698E"/>
    <w:rsid w:val="0032706E"/>
    <w:rsid w:val="00330CF4"/>
    <w:rsid w:val="0033234A"/>
    <w:rsid w:val="00332B74"/>
    <w:rsid w:val="00334285"/>
    <w:rsid w:val="00334554"/>
    <w:rsid w:val="00334C69"/>
    <w:rsid w:val="003368C8"/>
    <w:rsid w:val="00336DB4"/>
    <w:rsid w:val="00337EF8"/>
    <w:rsid w:val="00340857"/>
    <w:rsid w:val="00341721"/>
    <w:rsid w:val="00343A25"/>
    <w:rsid w:val="003440C7"/>
    <w:rsid w:val="003445AD"/>
    <w:rsid w:val="00344860"/>
    <w:rsid w:val="00346420"/>
    <w:rsid w:val="00347AAC"/>
    <w:rsid w:val="00347DA7"/>
    <w:rsid w:val="00354BB4"/>
    <w:rsid w:val="00355209"/>
    <w:rsid w:val="003554C8"/>
    <w:rsid w:val="003555D3"/>
    <w:rsid w:val="00356233"/>
    <w:rsid w:val="00356468"/>
    <w:rsid w:val="003601B8"/>
    <w:rsid w:val="00363C66"/>
    <w:rsid w:val="00363CB3"/>
    <w:rsid w:val="00364E42"/>
    <w:rsid w:val="00365095"/>
    <w:rsid w:val="00365300"/>
    <w:rsid w:val="00367401"/>
    <w:rsid w:val="0036761A"/>
    <w:rsid w:val="0036787F"/>
    <w:rsid w:val="00367D02"/>
    <w:rsid w:val="00371786"/>
    <w:rsid w:val="00372835"/>
    <w:rsid w:val="00372F31"/>
    <w:rsid w:val="00373EF6"/>
    <w:rsid w:val="00376254"/>
    <w:rsid w:val="00376A2D"/>
    <w:rsid w:val="00376DAB"/>
    <w:rsid w:val="00376DC9"/>
    <w:rsid w:val="003826EB"/>
    <w:rsid w:val="00383C72"/>
    <w:rsid w:val="00390C34"/>
    <w:rsid w:val="00391859"/>
    <w:rsid w:val="00392085"/>
    <w:rsid w:val="00393A05"/>
    <w:rsid w:val="0039474D"/>
    <w:rsid w:val="00394ADC"/>
    <w:rsid w:val="00396108"/>
    <w:rsid w:val="0039735D"/>
    <w:rsid w:val="00397969"/>
    <w:rsid w:val="003A0F8D"/>
    <w:rsid w:val="003A1864"/>
    <w:rsid w:val="003A4295"/>
    <w:rsid w:val="003A4444"/>
    <w:rsid w:val="003A507E"/>
    <w:rsid w:val="003A5115"/>
    <w:rsid w:val="003A52BF"/>
    <w:rsid w:val="003A6437"/>
    <w:rsid w:val="003B150E"/>
    <w:rsid w:val="003B1D04"/>
    <w:rsid w:val="003B2E26"/>
    <w:rsid w:val="003B2EB8"/>
    <w:rsid w:val="003B3814"/>
    <w:rsid w:val="003B4002"/>
    <w:rsid w:val="003B48E4"/>
    <w:rsid w:val="003B5412"/>
    <w:rsid w:val="003B5A7C"/>
    <w:rsid w:val="003B5A84"/>
    <w:rsid w:val="003B624A"/>
    <w:rsid w:val="003B7EF3"/>
    <w:rsid w:val="003C045D"/>
    <w:rsid w:val="003C2A95"/>
    <w:rsid w:val="003C3020"/>
    <w:rsid w:val="003C459A"/>
    <w:rsid w:val="003C4721"/>
    <w:rsid w:val="003C6AB0"/>
    <w:rsid w:val="003D090C"/>
    <w:rsid w:val="003D2FFC"/>
    <w:rsid w:val="003D30C3"/>
    <w:rsid w:val="003D325A"/>
    <w:rsid w:val="003D3AB4"/>
    <w:rsid w:val="003D43E6"/>
    <w:rsid w:val="003E0508"/>
    <w:rsid w:val="003E13AE"/>
    <w:rsid w:val="003F0E80"/>
    <w:rsid w:val="003F0F32"/>
    <w:rsid w:val="003F1088"/>
    <w:rsid w:val="003F10B5"/>
    <w:rsid w:val="003F1FBC"/>
    <w:rsid w:val="003F21AD"/>
    <w:rsid w:val="003F32DD"/>
    <w:rsid w:val="003F357A"/>
    <w:rsid w:val="003F3A92"/>
    <w:rsid w:val="003F3C4C"/>
    <w:rsid w:val="003F77B9"/>
    <w:rsid w:val="004004F9"/>
    <w:rsid w:val="00400E0A"/>
    <w:rsid w:val="004012A5"/>
    <w:rsid w:val="00403DE3"/>
    <w:rsid w:val="004071B9"/>
    <w:rsid w:val="00417CF6"/>
    <w:rsid w:val="00422FA0"/>
    <w:rsid w:val="00425E85"/>
    <w:rsid w:val="004326BA"/>
    <w:rsid w:val="00434412"/>
    <w:rsid w:val="00435B60"/>
    <w:rsid w:val="00436B2C"/>
    <w:rsid w:val="00437E28"/>
    <w:rsid w:val="0044196A"/>
    <w:rsid w:val="00442822"/>
    <w:rsid w:val="004440CD"/>
    <w:rsid w:val="004462AA"/>
    <w:rsid w:val="00446F9C"/>
    <w:rsid w:val="004477C6"/>
    <w:rsid w:val="00450489"/>
    <w:rsid w:val="00451A84"/>
    <w:rsid w:val="004524A0"/>
    <w:rsid w:val="00453075"/>
    <w:rsid w:val="0045318D"/>
    <w:rsid w:val="00453195"/>
    <w:rsid w:val="00454688"/>
    <w:rsid w:val="004560E6"/>
    <w:rsid w:val="0045669F"/>
    <w:rsid w:val="00457012"/>
    <w:rsid w:val="00457CB5"/>
    <w:rsid w:val="00457CF8"/>
    <w:rsid w:val="00460790"/>
    <w:rsid w:val="0046106A"/>
    <w:rsid w:val="004612B1"/>
    <w:rsid w:val="00461E45"/>
    <w:rsid w:val="0046229C"/>
    <w:rsid w:val="00463D9F"/>
    <w:rsid w:val="00463F33"/>
    <w:rsid w:val="004646D5"/>
    <w:rsid w:val="00465F22"/>
    <w:rsid w:val="00467391"/>
    <w:rsid w:val="004677D9"/>
    <w:rsid w:val="00467FAE"/>
    <w:rsid w:val="00472594"/>
    <w:rsid w:val="00473F06"/>
    <w:rsid w:val="0047528F"/>
    <w:rsid w:val="004755A1"/>
    <w:rsid w:val="0048265F"/>
    <w:rsid w:val="0048376B"/>
    <w:rsid w:val="004838B5"/>
    <w:rsid w:val="0048636F"/>
    <w:rsid w:val="00487056"/>
    <w:rsid w:val="00487BD2"/>
    <w:rsid w:val="004900AF"/>
    <w:rsid w:val="004918EE"/>
    <w:rsid w:val="0049264E"/>
    <w:rsid w:val="00492ABB"/>
    <w:rsid w:val="0049524E"/>
    <w:rsid w:val="004A063C"/>
    <w:rsid w:val="004A06D3"/>
    <w:rsid w:val="004A4288"/>
    <w:rsid w:val="004A50DD"/>
    <w:rsid w:val="004A5784"/>
    <w:rsid w:val="004A5C17"/>
    <w:rsid w:val="004A5C9F"/>
    <w:rsid w:val="004A64A1"/>
    <w:rsid w:val="004B4C50"/>
    <w:rsid w:val="004B4F21"/>
    <w:rsid w:val="004B55DF"/>
    <w:rsid w:val="004B747F"/>
    <w:rsid w:val="004C2660"/>
    <w:rsid w:val="004C2E4B"/>
    <w:rsid w:val="004C4FEE"/>
    <w:rsid w:val="004C6994"/>
    <w:rsid w:val="004C7EEE"/>
    <w:rsid w:val="004D018E"/>
    <w:rsid w:val="004D0338"/>
    <w:rsid w:val="004D16E5"/>
    <w:rsid w:val="004D1E99"/>
    <w:rsid w:val="004D3AEB"/>
    <w:rsid w:val="004D6DBB"/>
    <w:rsid w:val="004D788E"/>
    <w:rsid w:val="004E0C91"/>
    <w:rsid w:val="004E396F"/>
    <w:rsid w:val="004E3A6B"/>
    <w:rsid w:val="004E6883"/>
    <w:rsid w:val="004E7E50"/>
    <w:rsid w:val="004F02FF"/>
    <w:rsid w:val="004F08CD"/>
    <w:rsid w:val="004F0C62"/>
    <w:rsid w:val="004F1FA9"/>
    <w:rsid w:val="004F2086"/>
    <w:rsid w:val="004F4006"/>
    <w:rsid w:val="004F48D5"/>
    <w:rsid w:val="004F6593"/>
    <w:rsid w:val="004F672D"/>
    <w:rsid w:val="004F7B85"/>
    <w:rsid w:val="005021B2"/>
    <w:rsid w:val="0050340B"/>
    <w:rsid w:val="00506437"/>
    <w:rsid w:val="00507FD3"/>
    <w:rsid w:val="00510899"/>
    <w:rsid w:val="00510B63"/>
    <w:rsid w:val="005162FB"/>
    <w:rsid w:val="00516FE3"/>
    <w:rsid w:val="005223AC"/>
    <w:rsid w:val="00522EF0"/>
    <w:rsid w:val="00523ED7"/>
    <w:rsid w:val="00524782"/>
    <w:rsid w:val="00525735"/>
    <w:rsid w:val="0052700C"/>
    <w:rsid w:val="005272D9"/>
    <w:rsid w:val="005301E4"/>
    <w:rsid w:val="005313DC"/>
    <w:rsid w:val="00531884"/>
    <w:rsid w:val="0053248B"/>
    <w:rsid w:val="0053338F"/>
    <w:rsid w:val="00534D46"/>
    <w:rsid w:val="00535447"/>
    <w:rsid w:val="00536DC5"/>
    <w:rsid w:val="00536DE6"/>
    <w:rsid w:val="0054092F"/>
    <w:rsid w:val="00540C91"/>
    <w:rsid w:val="00542223"/>
    <w:rsid w:val="00543E89"/>
    <w:rsid w:val="005518C3"/>
    <w:rsid w:val="00551DCE"/>
    <w:rsid w:val="00552317"/>
    <w:rsid w:val="00552809"/>
    <w:rsid w:val="00552BDF"/>
    <w:rsid w:val="00555648"/>
    <w:rsid w:val="0056384F"/>
    <w:rsid w:val="005673CA"/>
    <w:rsid w:val="00567931"/>
    <w:rsid w:val="00570D4C"/>
    <w:rsid w:val="005716F4"/>
    <w:rsid w:val="00571B4F"/>
    <w:rsid w:val="00571E30"/>
    <w:rsid w:val="00572F04"/>
    <w:rsid w:val="00573D89"/>
    <w:rsid w:val="00573FF1"/>
    <w:rsid w:val="00574359"/>
    <w:rsid w:val="00575117"/>
    <w:rsid w:val="00580945"/>
    <w:rsid w:val="00582992"/>
    <w:rsid w:val="00583BBD"/>
    <w:rsid w:val="00594222"/>
    <w:rsid w:val="0059647A"/>
    <w:rsid w:val="005A0DF4"/>
    <w:rsid w:val="005A1026"/>
    <w:rsid w:val="005A1EA4"/>
    <w:rsid w:val="005A2BAC"/>
    <w:rsid w:val="005A3792"/>
    <w:rsid w:val="005A4D99"/>
    <w:rsid w:val="005A68C3"/>
    <w:rsid w:val="005A754B"/>
    <w:rsid w:val="005B0AB2"/>
    <w:rsid w:val="005B29C3"/>
    <w:rsid w:val="005B30DC"/>
    <w:rsid w:val="005B5A64"/>
    <w:rsid w:val="005C0486"/>
    <w:rsid w:val="005C1E8E"/>
    <w:rsid w:val="005C4E81"/>
    <w:rsid w:val="005C4FFE"/>
    <w:rsid w:val="005C5308"/>
    <w:rsid w:val="005C5C42"/>
    <w:rsid w:val="005C6871"/>
    <w:rsid w:val="005C7250"/>
    <w:rsid w:val="005C7A6C"/>
    <w:rsid w:val="005D1814"/>
    <w:rsid w:val="005D3CE4"/>
    <w:rsid w:val="005D483B"/>
    <w:rsid w:val="005D7287"/>
    <w:rsid w:val="005E02A0"/>
    <w:rsid w:val="005E0380"/>
    <w:rsid w:val="005E041C"/>
    <w:rsid w:val="005E1A51"/>
    <w:rsid w:val="005E206E"/>
    <w:rsid w:val="005E2D23"/>
    <w:rsid w:val="005E45FF"/>
    <w:rsid w:val="005E4EE7"/>
    <w:rsid w:val="005E5AD1"/>
    <w:rsid w:val="005E767B"/>
    <w:rsid w:val="005E7C9E"/>
    <w:rsid w:val="005F0C27"/>
    <w:rsid w:val="005F1C7F"/>
    <w:rsid w:val="005F3276"/>
    <w:rsid w:val="005F3CE2"/>
    <w:rsid w:val="005F44BC"/>
    <w:rsid w:val="005F5598"/>
    <w:rsid w:val="005F6BF0"/>
    <w:rsid w:val="005F6CAA"/>
    <w:rsid w:val="00601572"/>
    <w:rsid w:val="006029C7"/>
    <w:rsid w:val="00603856"/>
    <w:rsid w:val="00606234"/>
    <w:rsid w:val="00606EE0"/>
    <w:rsid w:val="00610E95"/>
    <w:rsid w:val="006117F2"/>
    <w:rsid w:val="00611DAD"/>
    <w:rsid w:val="00616AB0"/>
    <w:rsid w:val="0061771F"/>
    <w:rsid w:val="00620187"/>
    <w:rsid w:val="006201D3"/>
    <w:rsid w:val="00621CA2"/>
    <w:rsid w:val="00621F29"/>
    <w:rsid w:val="00622C4E"/>
    <w:rsid w:val="006263AB"/>
    <w:rsid w:val="006278B8"/>
    <w:rsid w:val="00627CA3"/>
    <w:rsid w:val="006305DE"/>
    <w:rsid w:val="0063089D"/>
    <w:rsid w:val="006318CE"/>
    <w:rsid w:val="006342F9"/>
    <w:rsid w:val="006348B0"/>
    <w:rsid w:val="00636154"/>
    <w:rsid w:val="006379F1"/>
    <w:rsid w:val="006404A5"/>
    <w:rsid w:val="00641931"/>
    <w:rsid w:val="00643083"/>
    <w:rsid w:val="00644464"/>
    <w:rsid w:val="00647909"/>
    <w:rsid w:val="00647F3A"/>
    <w:rsid w:val="0065087D"/>
    <w:rsid w:val="00650AF0"/>
    <w:rsid w:val="00652221"/>
    <w:rsid w:val="00653BB5"/>
    <w:rsid w:val="00654D02"/>
    <w:rsid w:val="006551A2"/>
    <w:rsid w:val="006553A6"/>
    <w:rsid w:val="006559B4"/>
    <w:rsid w:val="00655E04"/>
    <w:rsid w:val="0065679D"/>
    <w:rsid w:val="00657495"/>
    <w:rsid w:val="00657E43"/>
    <w:rsid w:val="00663EB7"/>
    <w:rsid w:val="00664771"/>
    <w:rsid w:val="00665977"/>
    <w:rsid w:val="00665DC2"/>
    <w:rsid w:val="006666F4"/>
    <w:rsid w:val="00670068"/>
    <w:rsid w:val="00670AC4"/>
    <w:rsid w:val="0067126A"/>
    <w:rsid w:val="00671305"/>
    <w:rsid w:val="00671F90"/>
    <w:rsid w:val="006747F9"/>
    <w:rsid w:val="0067480A"/>
    <w:rsid w:val="00675B7A"/>
    <w:rsid w:val="00676E3E"/>
    <w:rsid w:val="00680A73"/>
    <w:rsid w:val="00681AE0"/>
    <w:rsid w:val="00687327"/>
    <w:rsid w:val="00690B92"/>
    <w:rsid w:val="006911E9"/>
    <w:rsid w:val="00692753"/>
    <w:rsid w:val="00692C37"/>
    <w:rsid w:val="00694957"/>
    <w:rsid w:val="00695AC9"/>
    <w:rsid w:val="00696B37"/>
    <w:rsid w:val="006A2EF9"/>
    <w:rsid w:val="006A6FB5"/>
    <w:rsid w:val="006B1D59"/>
    <w:rsid w:val="006B24FF"/>
    <w:rsid w:val="006B4CD8"/>
    <w:rsid w:val="006B4FE0"/>
    <w:rsid w:val="006B53BF"/>
    <w:rsid w:val="006B543B"/>
    <w:rsid w:val="006B6139"/>
    <w:rsid w:val="006C1757"/>
    <w:rsid w:val="006C3C26"/>
    <w:rsid w:val="006C5130"/>
    <w:rsid w:val="006C565F"/>
    <w:rsid w:val="006C5D80"/>
    <w:rsid w:val="006C661C"/>
    <w:rsid w:val="006C74AA"/>
    <w:rsid w:val="006D0789"/>
    <w:rsid w:val="006D3718"/>
    <w:rsid w:val="006D4EB7"/>
    <w:rsid w:val="006E0A42"/>
    <w:rsid w:val="006E286E"/>
    <w:rsid w:val="006E3143"/>
    <w:rsid w:val="006E4E2C"/>
    <w:rsid w:val="006F0B8E"/>
    <w:rsid w:val="006F13A7"/>
    <w:rsid w:val="006F1835"/>
    <w:rsid w:val="006F5E15"/>
    <w:rsid w:val="006F66FD"/>
    <w:rsid w:val="007001D1"/>
    <w:rsid w:val="00704959"/>
    <w:rsid w:val="00710712"/>
    <w:rsid w:val="00710CBF"/>
    <w:rsid w:val="0071175C"/>
    <w:rsid w:val="00711C87"/>
    <w:rsid w:val="00711CED"/>
    <w:rsid w:val="00711FE9"/>
    <w:rsid w:val="007120B9"/>
    <w:rsid w:val="007137A2"/>
    <w:rsid w:val="007148BE"/>
    <w:rsid w:val="00716FB8"/>
    <w:rsid w:val="0071763C"/>
    <w:rsid w:val="0072085E"/>
    <w:rsid w:val="007209F4"/>
    <w:rsid w:val="0072138F"/>
    <w:rsid w:val="007228C4"/>
    <w:rsid w:val="0072290F"/>
    <w:rsid w:val="007251C5"/>
    <w:rsid w:val="00725DFB"/>
    <w:rsid w:val="0072693B"/>
    <w:rsid w:val="00726FFC"/>
    <w:rsid w:val="0072760F"/>
    <w:rsid w:val="0072791C"/>
    <w:rsid w:val="00727A1F"/>
    <w:rsid w:val="00732CCE"/>
    <w:rsid w:val="00733520"/>
    <w:rsid w:val="00733E57"/>
    <w:rsid w:val="00734F38"/>
    <w:rsid w:val="007350F5"/>
    <w:rsid w:val="0073527A"/>
    <w:rsid w:val="00737159"/>
    <w:rsid w:val="007432B2"/>
    <w:rsid w:val="0074365B"/>
    <w:rsid w:val="0074432D"/>
    <w:rsid w:val="0074501D"/>
    <w:rsid w:val="00745444"/>
    <w:rsid w:val="007511B9"/>
    <w:rsid w:val="007525C6"/>
    <w:rsid w:val="00752DDC"/>
    <w:rsid w:val="00753064"/>
    <w:rsid w:val="00756BF1"/>
    <w:rsid w:val="00756F42"/>
    <w:rsid w:val="00760820"/>
    <w:rsid w:val="00761FDB"/>
    <w:rsid w:val="00762B39"/>
    <w:rsid w:val="00762DDC"/>
    <w:rsid w:val="007722B0"/>
    <w:rsid w:val="007723FC"/>
    <w:rsid w:val="0077314F"/>
    <w:rsid w:val="007749E9"/>
    <w:rsid w:val="007758F0"/>
    <w:rsid w:val="0077738D"/>
    <w:rsid w:val="007801F9"/>
    <w:rsid w:val="007826E3"/>
    <w:rsid w:val="0078367E"/>
    <w:rsid w:val="00783A52"/>
    <w:rsid w:val="0078544B"/>
    <w:rsid w:val="00786974"/>
    <w:rsid w:val="00787E96"/>
    <w:rsid w:val="00787EB8"/>
    <w:rsid w:val="00790F29"/>
    <w:rsid w:val="00791749"/>
    <w:rsid w:val="00792189"/>
    <w:rsid w:val="00794F85"/>
    <w:rsid w:val="007977A0"/>
    <w:rsid w:val="00797EF0"/>
    <w:rsid w:val="007A2197"/>
    <w:rsid w:val="007A5A72"/>
    <w:rsid w:val="007A655C"/>
    <w:rsid w:val="007A7B8E"/>
    <w:rsid w:val="007B017B"/>
    <w:rsid w:val="007B1141"/>
    <w:rsid w:val="007B3F53"/>
    <w:rsid w:val="007B6104"/>
    <w:rsid w:val="007B7F36"/>
    <w:rsid w:val="007C0A16"/>
    <w:rsid w:val="007C2013"/>
    <w:rsid w:val="007C2B93"/>
    <w:rsid w:val="007C56B6"/>
    <w:rsid w:val="007C5EF5"/>
    <w:rsid w:val="007C76D9"/>
    <w:rsid w:val="007C7719"/>
    <w:rsid w:val="007C784D"/>
    <w:rsid w:val="007C7DE9"/>
    <w:rsid w:val="007D2D43"/>
    <w:rsid w:val="007D3425"/>
    <w:rsid w:val="007D6B13"/>
    <w:rsid w:val="007D6EB3"/>
    <w:rsid w:val="007E12EF"/>
    <w:rsid w:val="007E26A4"/>
    <w:rsid w:val="007E2E40"/>
    <w:rsid w:val="007E43F9"/>
    <w:rsid w:val="007E5BA7"/>
    <w:rsid w:val="007F1D8B"/>
    <w:rsid w:val="007F2AA2"/>
    <w:rsid w:val="007F2CD7"/>
    <w:rsid w:val="007F30FD"/>
    <w:rsid w:val="007F57F1"/>
    <w:rsid w:val="007F65BC"/>
    <w:rsid w:val="00800A25"/>
    <w:rsid w:val="008016EF"/>
    <w:rsid w:val="00803A41"/>
    <w:rsid w:val="0080456B"/>
    <w:rsid w:val="00804584"/>
    <w:rsid w:val="008066C7"/>
    <w:rsid w:val="00811FCA"/>
    <w:rsid w:val="008121D5"/>
    <w:rsid w:val="00813265"/>
    <w:rsid w:val="00813312"/>
    <w:rsid w:val="00813F73"/>
    <w:rsid w:val="00815E0B"/>
    <w:rsid w:val="00820BBA"/>
    <w:rsid w:val="008236AB"/>
    <w:rsid w:val="008246A7"/>
    <w:rsid w:val="00825C49"/>
    <w:rsid w:val="00825F59"/>
    <w:rsid w:val="00826988"/>
    <w:rsid w:val="00826DCE"/>
    <w:rsid w:val="00831E64"/>
    <w:rsid w:val="008331FC"/>
    <w:rsid w:val="00833BB2"/>
    <w:rsid w:val="00834119"/>
    <w:rsid w:val="008375FF"/>
    <w:rsid w:val="00840185"/>
    <w:rsid w:val="00844206"/>
    <w:rsid w:val="008442DA"/>
    <w:rsid w:val="00846AD7"/>
    <w:rsid w:val="008475D0"/>
    <w:rsid w:val="00851D3A"/>
    <w:rsid w:val="00855881"/>
    <w:rsid w:val="0085589E"/>
    <w:rsid w:val="00857319"/>
    <w:rsid w:val="008600F2"/>
    <w:rsid w:val="00861606"/>
    <w:rsid w:val="008627A9"/>
    <w:rsid w:val="00862FD8"/>
    <w:rsid w:val="00863320"/>
    <w:rsid w:val="00866728"/>
    <w:rsid w:val="00871295"/>
    <w:rsid w:val="00873E18"/>
    <w:rsid w:val="0087498E"/>
    <w:rsid w:val="00875676"/>
    <w:rsid w:val="0087617D"/>
    <w:rsid w:val="0087697D"/>
    <w:rsid w:val="00880648"/>
    <w:rsid w:val="008811C3"/>
    <w:rsid w:val="00882124"/>
    <w:rsid w:val="00884E84"/>
    <w:rsid w:val="008864E4"/>
    <w:rsid w:val="00887274"/>
    <w:rsid w:val="008955EF"/>
    <w:rsid w:val="008964F3"/>
    <w:rsid w:val="00897005"/>
    <w:rsid w:val="00897B7C"/>
    <w:rsid w:val="008A0D23"/>
    <w:rsid w:val="008A183C"/>
    <w:rsid w:val="008A196F"/>
    <w:rsid w:val="008A63C9"/>
    <w:rsid w:val="008A6630"/>
    <w:rsid w:val="008A762C"/>
    <w:rsid w:val="008B1C90"/>
    <w:rsid w:val="008B290F"/>
    <w:rsid w:val="008B54BA"/>
    <w:rsid w:val="008B7103"/>
    <w:rsid w:val="008C28C9"/>
    <w:rsid w:val="008C37E6"/>
    <w:rsid w:val="008C4065"/>
    <w:rsid w:val="008C4CA0"/>
    <w:rsid w:val="008C707B"/>
    <w:rsid w:val="008D005F"/>
    <w:rsid w:val="008D03CC"/>
    <w:rsid w:val="008D0A8C"/>
    <w:rsid w:val="008D1B67"/>
    <w:rsid w:val="008D4767"/>
    <w:rsid w:val="008D47B1"/>
    <w:rsid w:val="008D6BFB"/>
    <w:rsid w:val="008D7702"/>
    <w:rsid w:val="008D7860"/>
    <w:rsid w:val="008E2B44"/>
    <w:rsid w:val="008E35DA"/>
    <w:rsid w:val="008E37FC"/>
    <w:rsid w:val="008E3EE1"/>
    <w:rsid w:val="008E415D"/>
    <w:rsid w:val="008E61DD"/>
    <w:rsid w:val="008E68A1"/>
    <w:rsid w:val="008E6B33"/>
    <w:rsid w:val="008F02E1"/>
    <w:rsid w:val="008F506B"/>
    <w:rsid w:val="008F6DD0"/>
    <w:rsid w:val="008F6EB6"/>
    <w:rsid w:val="00900076"/>
    <w:rsid w:val="00903AA1"/>
    <w:rsid w:val="00905294"/>
    <w:rsid w:val="00905535"/>
    <w:rsid w:val="0090649D"/>
    <w:rsid w:val="00906A6F"/>
    <w:rsid w:val="00910277"/>
    <w:rsid w:val="00914809"/>
    <w:rsid w:val="00915835"/>
    <w:rsid w:val="00915DC4"/>
    <w:rsid w:val="0091680F"/>
    <w:rsid w:val="0092201F"/>
    <w:rsid w:val="00923039"/>
    <w:rsid w:val="00923917"/>
    <w:rsid w:val="00923925"/>
    <w:rsid w:val="00923965"/>
    <w:rsid w:val="00925740"/>
    <w:rsid w:val="009258AD"/>
    <w:rsid w:val="00925BF7"/>
    <w:rsid w:val="00925DFD"/>
    <w:rsid w:val="00926071"/>
    <w:rsid w:val="00930821"/>
    <w:rsid w:val="00931EDA"/>
    <w:rsid w:val="00933801"/>
    <w:rsid w:val="00934936"/>
    <w:rsid w:val="0094030C"/>
    <w:rsid w:val="00942977"/>
    <w:rsid w:val="00942B41"/>
    <w:rsid w:val="00943B3F"/>
    <w:rsid w:val="00946404"/>
    <w:rsid w:val="00947B94"/>
    <w:rsid w:val="009523D4"/>
    <w:rsid w:val="00952ED2"/>
    <w:rsid w:val="009551E1"/>
    <w:rsid w:val="00956353"/>
    <w:rsid w:val="00957488"/>
    <w:rsid w:val="0095764E"/>
    <w:rsid w:val="00960D8E"/>
    <w:rsid w:val="00963534"/>
    <w:rsid w:val="00971747"/>
    <w:rsid w:val="009727FD"/>
    <w:rsid w:val="00973404"/>
    <w:rsid w:val="00975000"/>
    <w:rsid w:val="00975117"/>
    <w:rsid w:val="009764C7"/>
    <w:rsid w:val="00982435"/>
    <w:rsid w:val="009847A0"/>
    <w:rsid w:val="00985866"/>
    <w:rsid w:val="00985975"/>
    <w:rsid w:val="00985A7C"/>
    <w:rsid w:val="009864ED"/>
    <w:rsid w:val="009875D7"/>
    <w:rsid w:val="009876C3"/>
    <w:rsid w:val="00987D08"/>
    <w:rsid w:val="00990EAD"/>
    <w:rsid w:val="00991817"/>
    <w:rsid w:val="00992293"/>
    <w:rsid w:val="0099290C"/>
    <w:rsid w:val="00996869"/>
    <w:rsid w:val="00996D47"/>
    <w:rsid w:val="009A0F7F"/>
    <w:rsid w:val="009A57A8"/>
    <w:rsid w:val="009B04C6"/>
    <w:rsid w:val="009B13FE"/>
    <w:rsid w:val="009B367B"/>
    <w:rsid w:val="009B4B93"/>
    <w:rsid w:val="009B62CA"/>
    <w:rsid w:val="009B6A63"/>
    <w:rsid w:val="009C0A01"/>
    <w:rsid w:val="009C1AD6"/>
    <w:rsid w:val="009C1C2A"/>
    <w:rsid w:val="009C77A2"/>
    <w:rsid w:val="009C77C6"/>
    <w:rsid w:val="009D0112"/>
    <w:rsid w:val="009D058E"/>
    <w:rsid w:val="009D18A3"/>
    <w:rsid w:val="009D24D2"/>
    <w:rsid w:val="009D250B"/>
    <w:rsid w:val="009D3229"/>
    <w:rsid w:val="009D352E"/>
    <w:rsid w:val="009D3859"/>
    <w:rsid w:val="009D6A0F"/>
    <w:rsid w:val="009D712F"/>
    <w:rsid w:val="009E04DC"/>
    <w:rsid w:val="009E0CD9"/>
    <w:rsid w:val="009E30BB"/>
    <w:rsid w:val="009E3826"/>
    <w:rsid w:val="009E3834"/>
    <w:rsid w:val="009E41C9"/>
    <w:rsid w:val="009E43DB"/>
    <w:rsid w:val="009E5A44"/>
    <w:rsid w:val="009E794E"/>
    <w:rsid w:val="009F0E33"/>
    <w:rsid w:val="009F1354"/>
    <w:rsid w:val="00A0028C"/>
    <w:rsid w:val="00A00386"/>
    <w:rsid w:val="00A0091E"/>
    <w:rsid w:val="00A00C2D"/>
    <w:rsid w:val="00A05CDF"/>
    <w:rsid w:val="00A05F3C"/>
    <w:rsid w:val="00A06F08"/>
    <w:rsid w:val="00A07CA5"/>
    <w:rsid w:val="00A11586"/>
    <w:rsid w:val="00A1750C"/>
    <w:rsid w:val="00A17DB6"/>
    <w:rsid w:val="00A2099C"/>
    <w:rsid w:val="00A21D29"/>
    <w:rsid w:val="00A22750"/>
    <w:rsid w:val="00A238A3"/>
    <w:rsid w:val="00A26A3F"/>
    <w:rsid w:val="00A27A74"/>
    <w:rsid w:val="00A3050A"/>
    <w:rsid w:val="00A31B55"/>
    <w:rsid w:val="00A33FF4"/>
    <w:rsid w:val="00A34535"/>
    <w:rsid w:val="00A3478F"/>
    <w:rsid w:val="00A34E02"/>
    <w:rsid w:val="00A3634E"/>
    <w:rsid w:val="00A36483"/>
    <w:rsid w:val="00A3735D"/>
    <w:rsid w:val="00A4563C"/>
    <w:rsid w:val="00A50125"/>
    <w:rsid w:val="00A516D5"/>
    <w:rsid w:val="00A51E68"/>
    <w:rsid w:val="00A53AE0"/>
    <w:rsid w:val="00A53BF5"/>
    <w:rsid w:val="00A53ED3"/>
    <w:rsid w:val="00A54943"/>
    <w:rsid w:val="00A54F57"/>
    <w:rsid w:val="00A605C6"/>
    <w:rsid w:val="00A6171B"/>
    <w:rsid w:val="00A6461A"/>
    <w:rsid w:val="00A64B86"/>
    <w:rsid w:val="00A65320"/>
    <w:rsid w:val="00A65825"/>
    <w:rsid w:val="00A65983"/>
    <w:rsid w:val="00A701A1"/>
    <w:rsid w:val="00A72A97"/>
    <w:rsid w:val="00A739D1"/>
    <w:rsid w:val="00A73DB3"/>
    <w:rsid w:val="00A742EF"/>
    <w:rsid w:val="00A74A6A"/>
    <w:rsid w:val="00A769CF"/>
    <w:rsid w:val="00A82132"/>
    <w:rsid w:val="00A838E0"/>
    <w:rsid w:val="00A851A9"/>
    <w:rsid w:val="00A85880"/>
    <w:rsid w:val="00A8747D"/>
    <w:rsid w:val="00A91A24"/>
    <w:rsid w:val="00A92A99"/>
    <w:rsid w:val="00A96F0D"/>
    <w:rsid w:val="00A978B7"/>
    <w:rsid w:val="00AA162F"/>
    <w:rsid w:val="00AA2C51"/>
    <w:rsid w:val="00AA3AD5"/>
    <w:rsid w:val="00AA4C43"/>
    <w:rsid w:val="00AA5D19"/>
    <w:rsid w:val="00AA5F9D"/>
    <w:rsid w:val="00AA7C97"/>
    <w:rsid w:val="00AB3982"/>
    <w:rsid w:val="00AB509B"/>
    <w:rsid w:val="00AB57E0"/>
    <w:rsid w:val="00AB6DC9"/>
    <w:rsid w:val="00AB7801"/>
    <w:rsid w:val="00AB7A3C"/>
    <w:rsid w:val="00AC0B30"/>
    <w:rsid w:val="00AC2AF3"/>
    <w:rsid w:val="00AC383C"/>
    <w:rsid w:val="00AC3CFD"/>
    <w:rsid w:val="00AC5354"/>
    <w:rsid w:val="00AC617D"/>
    <w:rsid w:val="00AC6558"/>
    <w:rsid w:val="00AC666F"/>
    <w:rsid w:val="00AC69A6"/>
    <w:rsid w:val="00AC72C3"/>
    <w:rsid w:val="00AD27F1"/>
    <w:rsid w:val="00AD55C4"/>
    <w:rsid w:val="00AD7295"/>
    <w:rsid w:val="00AE1202"/>
    <w:rsid w:val="00AE1DDF"/>
    <w:rsid w:val="00AE2599"/>
    <w:rsid w:val="00AE26C9"/>
    <w:rsid w:val="00AE2950"/>
    <w:rsid w:val="00AE52EB"/>
    <w:rsid w:val="00AE6E1C"/>
    <w:rsid w:val="00AE7DFF"/>
    <w:rsid w:val="00AF1A0F"/>
    <w:rsid w:val="00AF1D3A"/>
    <w:rsid w:val="00AF5779"/>
    <w:rsid w:val="00AF5F64"/>
    <w:rsid w:val="00AF650B"/>
    <w:rsid w:val="00AF7198"/>
    <w:rsid w:val="00B012EE"/>
    <w:rsid w:val="00B02733"/>
    <w:rsid w:val="00B03C76"/>
    <w:rsid w:val="00B04803"/>
    <w:rsid w:val="00B04AC8"/>
    <w:rsid w:val="00B07193"/>
    <w:rsid w:val="00B0720C"/>
    <w:rsid w:val="00B07BBD"/>
    <w:rsid w:val="00B1060F"/>
    <w:rsid w:val="00B10C55"/>
    <w:rsid w:val="00B10CD5"/>
    <w:rsid w:val="00B122AD"/>
    <w:rsid w:val="00B12CE0"/>
    <w:rsid w:val="00B15CAA"/>
    <w:rsid w:val="00B201C4"/>
    <w:rsid w:val="00B20F60"/>
    <w:rsid w:val="00B215E4"/>
    <w:rsid w:val="00B21ACF"/>
    <w:rsid w:val="00B30916"/>
    <w:rsid w:val="00B30D4F"/>
    <w:rsid w:val="00B31B7B"/>
    <w:rsid w:val="00B31EA5"/>
    <w:rsid w:val="00B326BF"/>
    <w:rsid w:val="00B337CF"/>
    <w:rsid w:val="00B355F1"/>
    <w:rsid w:val="00B37473"/>
    <w:rsid w:val="00B37FF7"/>
    <w:rsid w:val="00B407B5"/>
    <w:rsid w:val="00B4126E"/>
    <w:rsid w:val="00B4288E"/>
    <w:rsid w:val="00B451AA"/>
    <w:rsid w:val="00B46BC0"/>
    <w:rsid w:val="00B47B7B"/>
    <w:rsid w:val="00B47DCE"/>
    <w:rsid w:val="00B544DE"/>
    <w:rsid w:val="00B547B6"/>
    <w:rsid w:val="00B572D5"/>
    <w:rsid w:val="00B607B4"/>
    <w:rsid w:val="00B60962"/>
    <w:rsid w:val="00B617CF"/>
    <w:rsid w:val="00B63C60"/>
    <w:rsid w:val="00B643DC"/>
    <w:rsid w:val="00B66F43"/>
    <w:rsid w:val="00B67A1E"/>
    <w:rsid w:val="00B71F00"/>
    <w:rsid w:val="00B7241B"/>
    <w:rsid w:val="00B7533D"/>
    <w:rsid w:val="00B75A77"/>
    <w:rsid w:val="00B75B4F"/>
    <w:rsid w:val="00B77AB0"/>
    <w:rsid w:val="00B840DE"/>
    <w:rsid w:val="00B84831"/>
    <w:rsid w:val="00B85F15"/>
    <w:rsid w:val="00B8787B"/>
    <w:rsid w:val="00B87FD1"/>
    <w:rsid w:val="00B91D13"/>
    <w:rsid w:val="00B9263E"/>
    <w:rsid w:val="00B940C6"/>
    <w:rsid w:val="00B94506"/>
    <w:rsid w:val="00B94891"/>
    <w:rsid w:val="00B96165"/>
    <w:rsid w:val="00BA179B"/>
    <w:rsid w:val="00BA378A"/>
    <w:rsid w:val="00BA49D7"/>
    <w:rsid w:val="00BA4B8E"/>
    <w:rsid w:val="00BB0706"/>
    <w:rsid w:val="00BB09BF"/>
    <w:rsid w:val="00BB2042"/>
    <w:rsid w:val="00BB39D3"/>
    <w:rsid w:val="00BB3BDF"/>
    <w:rsid w:val="00BB411A"/>
    <w:rsid w:val="00BB479E"/>
    <w:rsid w:val="00BB5068"/>
    <w:rsid w:val="00BB56B7"/>
    <w:rsid w:val="00BB6E2B"/>
    <w:rsid w:val="00BB6E7B"/>
    <w:rsid w:val="00BB77CE"/>
    <w:rsid w:val="00BB7AF3"/>
    <w:rsid w:val="00BC06A0"/>
    <w:rsid w:val="00BC421B"/>
    <w:rsid w:val="00BC66EA"/>
    <w:rsid w:val="00BD190F"/>
    <w:rsid w:val="00BD3DCF"/>
    <w:rsid w:val="00BD402A"/>
    <w:rsid w:val="00BD6003"/>
    <w:rsid w:val="00BD6CF1"/>
    <w:rsid w:val="00BD74BE"/>
    <w:rsid w:val="00BE2A54"/>
    <w:rsid w:val="00BE2AC7"/>
    <w:rsid w:val="00BE3736"/>
    <w:rsid w:val="00BE3996"/>
    <w:rsid w:val="00BE39F4"/>
    <w:rsid w:val="00BE3A8A"/>
    <w:rsid w:val="00BE65B0"/>
    <w:rsid w:val="00BE6E39"/>
    <w:rsid w:val="00BF0FE2"/>
    <w:rsid w:val="00BF1877"/>
    <w:rsid w:val="00BF20E0"/>
    <w:rsid w:val="00BF2307"/>
    <w:rsid w:val="00BF299E"/>
    <w:rsid w:val="00BF3191"/>
    <w:rsid w:val="00BF34BC"/>
    <w:rsid w:val="00BF56A6"/>
    <w:rsid w:val="00BF7803"/>
    <w:rsid w:val="00C01D73"/>
    <w:rsid w:val="00C02030"/>
    <w:rsid w:val="00C04161"/>
    <w:rsid w:val="00C0559A"/>
    <w:rsid w:val="00C062CD"/>
    <w:rsid w:val="00C076F4"/>
    <w:rsid w:val="00C10FC9"/>
    <w:rsid w:val="00C10FE7"/>
    <w:rsid w:val="00C111B6"/>
    <w:rsid w:val="00C130B2"/>
    <w:rsid w:val="00C13749"/>
    <w:rsid w:val="00C13D9F"/>
    <w:rsid w:val="00C16787"/>
    <w:rsid w:val="00C16D36"/>
    <w:rsid w:val="00C17EB5"/>
    <w:rsid w:val="00C2145B"/>
    <w:rsid w:val="00C2163C"/>
    <w:rsid w:val="00C2595C"/>
    <w:rsid w:val="00C268E6"/>
    <w:rsid w:val="00C273D0"/>
    <w:rsid w:val="00C362D4"/>
    <w:rsid w:val="00C3659B"/>
    <w:rsid w:val="00C37375"/>
    <w:rsid w:val="00C40031"/>
    <w:rsid w:val="00C412DA"/>
    <w:rsid w:val="00C44123"/>
    <w:rsid w:val="00C44D94"/>
    <w:rsid w:val="00C45759"/>
    <w:rsid w:val="00C46F40"/>
    <w:rsid w:val="00C4750D"/>
    <w:rsid w:val="00C47C39"/>
    <w:rsid w:val="00C47E6F"/>
    <w:rsid w:val="00C51AC7"/>
    <w:rsid w:val="00C53BBD"/>
    <w:rsid w:val="00C546B3"/>
    <w:rsid w:val="00C54D11"/>
    <w:rsid w:val="00C5650A"/>
    <w:rsid w:val="00C61D91"/>
    <w:rsid w:val="00C6286C"/>
    <w:rsid w:val="00C64223"/>
    <w:rsid w:val="00C65B24"/>
    <w:rsid w:val="00C65C3A"/>
    <w:rsid w:val="00C65D23"/>
    <w:rsid w:val="00C703D5"/>
    <w:rsid w:val="00C70A6E"/>
    <w:rsid w:val="00C71038"/>
    <w:rsid w:val="00C716F9"/>
    <w:rsid w:val="00C724F3"/>
    <w:rsid w:val="00C73DC3"/>
    <w:rsid w:val="00C74165"/>
    <w:rsid w:val="00C7562F"/>
    <w:rsid w:val="00C776AF"/>
    <w:rsid w:val="00C82B39"/>
    <w:rsid w:val="00C84159"/>
    <w:rsid w:val="00C84DFF"/>
    <w:rsid w:val="00C872A7"/>
    <w:rsid w:val="00C87315"/>
    <w:rsid w:val="00C92AC5"/>
    <w:rsid w:val="00C93759"/>
    <w:rsid w:val="00C93DD7"/>
    <w:rsid w:val="00C9478A"/>
    <w:rsid w:val="00C9519A"/>
    <w:rsid w:val="00C953A4"/>
    <w:rsid w:val="00C95AC0"/>
    <w:rsid w:val="00C96098"/>
    <w:rsid w:val="00C9699B"/>
    <w:rsid w:val="00C96CF5"/>
    <w:rsid w:val="00CA1BE8"/>
    <w:rsid w:val="00CA1CD6"/>
    <w:rsid w:val="00CA2978"/>
    <w:rsid w:val="00CA2D71"/>
    <w:rsid w:val="00CA3741"/>
    <w:rsid w:val="00CA3BBE"/>
    <w:rsid w:val="00CA3FCD"/>
    <w:rsid w:val="00CA5F4A"/>
    <w:rsid w:val="00CA7322"/>
    <w:rsid w:val="00CB0541"/>
    <w:rsid w:val="00CB2285"/>
    <w:rsid w:val="00CB25ED"/>
    <w:rsid w:val="00CB2E5A"/>
    <w:rsid w:val="00CB5A10"/>
    <w:rsid w:val="00CB6324"/>
    <w:rsid w:val="00CB6D97"/>
    <w:rsid w:val="00CB7FDC"/>
    <w:rsid w:val="00CC07B0"/>
    <w:rsid w:val="00CC09E0"/>
    <w:rsid w:val="00CC2605"/>
    <w:rsid w:val="00CC2C93"/>
    <w:rsid w:val="00CC4788"/>
    <w:rsid w:val="00CC66D5"/>
    <w:rsid w:val="00CD00E9"/>
    <w:rsid w:val="00CD076F"/>
    <w:rsid w:val="00CD4221"/>
    <w:rsid w:val="00CD4299"/>
    <w:rsid w:val="00CD4DB8"/>
    <w:rsid w:val="00CD5A77"/>
    <w:rsid w:val="00CD5BAE"/>
    <w:rsid w:val="00CD7704"/>
    <w:rsid w:val="00CE010A"/>
    <w:rsid w:val="00CE3870"/>
    <w:rsid w:val="00CE5958"/>
    <w:rsid w:val="00CE7744"/>
    <w:rsid w:val="00CF0582"/>
    <w:rsid w:val="00CF0E3A"/>
    <w:rsid w:val="00CF139C"/>
    <w:rsid w:val="00CF19AF"/>
    <w:rsid w:val="00CF1E7F"/>
    <w:rsid w:val="00CF3B65"/>
    <w:rsid w:val="00CF3F92"/>
    <w:rsid w:val="00CF419A"/>
    <w:rsid w:val="00CF4768"/>
    <w:rsid w:val="00D00BCB"/>
    <w:rsid w:val="00D01AEE"/>
    <w:rsid w:val="00D01C57"/>
    <w:rsid w:val="00D07197"/>
    <w:rsid w:val="00D130AA"/>
    <w:rsid w:val="00D16248"/>
    <w:rsid w:val="00D16E1C"/>
    <w:rsid w:val="00D21E9A"/>
    <w:rsid w:val="00D220EA"/>
    <w:rsid w:val="00D26C33"/>
    <w:rsid w:val="00D2745F"/>
    <w:rsid w:val="00D276A2"/>
    <w:rsid w:val="00D30436"/>
    <w:rsid w:val="00D307F6"/>
    <w:rsid w:val="00D32EDE"/>
    <w:rsid w:val="00D34082"/>
    <w:rsid w:val="00D34439"/>
    <w:rsid w:val="00D3479C"/>
    <w:rsid w:val="00D36A67"/>
    <w:rsid w:val="00D40A25"/>
    <w:rsid w:val="00D456CE"/>
    <w:rsid w:val="00D479ED"/>
    <w:rsid w:val="00D50E70"/>
    <w:rsid w:val="00D544EB"/>
    <w:rsid w:val="00D54803"/>
    <w:rsid w:val="00D553C5"/>
    <w:rsid w:val="00D55567"/>
    <w:rsid w:val="00D56296"/>
    <w:rsid w:val="00D6024C"/>
    <w:rsid w:val="00D61DC3"/>
    <w:rsid w:val="00D6265E"/>
    <w:rsid w:val="00D65133"/>
    <w:rsid w:val="00D65784"/>
    <w:rsid w:val="00D65D4B"/>
    <w:rsid w:val="00D70BE8"/>
    <w:rsid w:val="00D7298E"/>
    <w:rsid w:val="00D72AB9"/>
    <w:rsid w:val="00D74A73"/>
    <w:rsid w:val="00D74FFF"/>
    <w:rsid w:val="00D75554"/>
    <w:rsid w:val="00D758E4"/>
    <w:rsid w:val="00D76260"/>
    <w:rsid w:val="00D77471"/>
    <w:rsid w:val="00D82BCF"/>
    <w:rsid w:val="00D83322"/>
    <w:rsid w:val="00D838BD"/>
    <w:rsid w:val="00D84F6D"/>
    <w:rsid w:val="00D91914"/>
    <w:rsid w:val="00D922D6"/>
    <w:rsid w:val="00D9499E"/>
    <w:rsid w:val="00D95307"/>
    <w:rsid w:val="00D959CE"/>
    <w:rsid w:val="00D968B3"/>
    <w:rsid w:val="00DA1F68"/>
    <w:rsid w:val="00DA7F40"/>
    <w:rsid w:val="00DB0074"/>
    <w:rsid w:val="00DB1798"/>
    <w:rsid w:val="00DB1CDA"/>
    <w:rsid w:val="00DB22C7"/>
    <w:rsid w:val="00DB3528"/>
    <w:rsid w:val="00DB5A86"/>
    <w:rsid w:val="00DB66FC"/>
    <w:rsid w:val="00DC0136"/>
    <w:rsid w:val="00DC3BA0"/>
    <w:rsid w:val="00DC5700"/>
    <w:rsid w:val="00DC5904"/>
    <w:rsid w:val="00DC6094"/>
    <w:rsid w:val="00DC6D41"/>
    <w:rsid w:val="00DC6E79"/>
    <w:rsid w:val="00DC6F37"/>
    <w:rsid w:val="00DC7B92"/>
    <w:rsid w:val="00DC7BA7"/>
    <w:rsid w:val="00DD0C2C"/>
    <w:rsid w:val="00DD1F4E"/>
    <w:rsid w:val="00DD24EB"/>
    <w:rsid w:val="00DD4976"/>
    <w:rsid w:val="00DD7868"/>
    <w:rsid w:val="00DE0DB3"/>
    <w:rsid w:val="00DE3384"/>
    <w:rsid w:val="00DE4219"/>
    <w:rsid w:val="00DE51B0"/>
    <w:rsid w:val="00DE5FB5"/>
    <w:rsid w:val="00DE64EF"/>
    <w:rsid w:val="00DE6C63"/>
    <w:rsid w:val="00DE6F97"/>
    <w:rsid w:val="00DE7262"/>
    <w:rsid w:val="00DE760D"/>
    <w:rsid w:val="00DF02F9"/>
    <w:rsid w:val="00DF087F"/>
    <w:rsid w:val="00DF3482"/>
    <w:rsid w:val="00DF3558"/>
    <w:rsid w:val="00DF49EF"/>
    <w:rsid w:val="00DF4C2E"/>
    <w:rsid w:val="00DF5365"/>
    <w:rsid w:val="00DF576C"/>
    <w:rsid w:val="00DF5A24"/>
    <w:rsid w:val="00DF68F7"/>
    <w:rsid w:val="00E00505"/>
    <w:rsid w:val="00E00613"/>
    <w:rsid w:val="00E02699"/>
    <w:rsid w:val="00E041CB"/>
    <w:rsid w:val="00E04C86"/>
    <w:rsid w:val="00E054A9"/>
    <w:rsid w:val="00E10D7E"/>
    <w:rsid w:val="00E12A87"/>
    <w:rsid w:val="00E133DE"/>
    <w:rsid w:val="00E135CE"/>
    <w:rsid w:val="00E172E0"/>
    <w:rsid w:val="00E21C8F"/>
    <w:rsid w:val="00E244E5"/>
    <w:rsid w:val="00E24E53"/>
    <w:rsid w:val="00E279EE"/>
    <w:rsid w:val="00E302FE"/>
    <w:rsid w:val="00E3100F"/>
    <w:rsid w:val="00E31A3C"/>
    <w:rsid w:val="00E31D9F"/>
    <w:rsid w:val="00E32EC4"/>
    <w:rsid w:val="00E357EE"/>
    <w:rsid w:val="00E35852"/>
    <w:rsid w:val="00E35C80"/>
    <w:rsid w:val="00E40B4A"/>
    <w:rsid w:val="00E41CB8"/>
    <w:rsid w:val="00E4325B"/>
    <w:rsid w:val="00E43260"/>
    <w:rsid w:val="00E442B9"/>
    <w:rsid w:val="00E45BB3"/>
    <w:rsid w:val="00E45C11"/>
    <w:rsid w:val="00E46684"/>
    <w:rsid w:val="00E473E2"/>
    <w:rsid w:val="00E51950"/>
    <w:rsid w:val="00E52350"/>
    <w:rsid w:val="00E5260A"/>
    <w:rsid w:val="00E52B17"/>
    <w:rsid w:val="00E531D0"/>
    <w:rsid w:val="00E53DE0"/>
    <w:rsid w:val="00E53DE4"/>
    <w:rsid w:val="00E55E2E"/>
    <w:rsid w:val="00E60908"/>
    <w:rsid w:val="00E6199B"/>
    <w:rsid w:val="00E646BC"/>
    <w:rsid w:val="00E65FC9"/>
    <w:rsid w:val="00E6677E"/>
    <w:rsid w:val="00E66F30"/>
    <w:rsid w:val="00E7246D"/>
    <w:rsid w:val="00E728F8"/>
    <w:rsid w:val="00E73367"/>
    <w:rsid w:val="00E74D21"/>
    <w:rsid w:val="00E77606"/>
    <w:rsid w:val="00E77A0E"/>
    <w:rsid w:val="00E80320"/>
    <w:rsid w:val="00E81902"/>
    <w:rsid w:val="00E843F2"/>
    <w:rsid w:val="00E84F84"/>
    <w:rsid w:val="00E85125"/>
    <w:rsid w:val="00E91C10"/>
    <w:rsid w:val="00E94072"/>
    <w:rsid w:val="00E942C8"/>
    <w:rsid w:val="00E948C4"/>
    <w:rsid w:val="00E95DF8"/>
    <w:rsid w:val="00EA26F2"/>
    <w:rsid w:val="00EA2FCB"/>
    <w:rsid w:val="00EA303A"/>
    <w:rsid w:val="00EA3AE7"/>
    <w:rsid w:val="00EA3C04"/>
    <w:rsid w:val="00EA447D"/>
    <w:rsid w:val="00EA4535"/>
    <w:rsid w:val="00EA5237"/>
    <w:rsid w:val="00EA53B3"/>
    <w:rsid w:val="00EA5F05"/>
    <w:rsid w:val="00EA7138"/>
    <w:rsid w:val="00EA77DF"/>
    <w:rsid w:val="00EA7E41"/>
    <w:rsid w:val="00EB01A2"/>
    <w:rsid w:val="00EB1A0A"/>
    <w:rsid w:val="00EB3039"/>
    <w:rsid w:val="00EB4C8C"/>
    <w:rsid w:val="00EB6943"/>
    <w:rsid w:val="00EB7A11"/>
    <w:rsid w:val="00EC0B25"/>
    <w:rsid w:val="00EC0B36"/>
    <w:rsid w:val="00EC0ECB"/>
    <w:rsid w:val="00EC1930"/>
    <w:rsid w:val="00EC39DE"/>
    <w:rsid w:val="00EC6C58"/>
    <w:rsid w:val="00EC7A4C"/>
    <w:rsid w:val="00EC7E37"/>
    <w:rsid w:val="00ED111A"/>
    <w:rsid w:val="00ED2433"/>
    <w:rsid w:val="00ED3A8D"/>
    <w:rsid w:val="00EE0941"/>
    <w:rsid w:val="00EE0C0F"/>
    <w:rsid w:val="00EE0C90"/>
    <w:rsid w:val="00EE3CA3"/>
    <w:rsid w:val="00EE4929"/>
    <w:rsid w:val="00EE6788"/>
    <w:rsid w:val="00EE6EE1"/>
    <w:rsid w:val="00EF084F"/>
    <w:rsid w:val="00EF0953"/>
    <w:rsid w:val="00EF0E49"/>
    <w:rsid w:val="00EF1716"/>
    <w:rsid w:val="00EF2497"/>
    <w:rsid w:val="00EF3B07"/>
    <w:rsid w:val="00EF5D45"/>
    <w:rsid w:val="00EF6F12"/>
    <w:rsid w:val="00EF7207"/>
    <w:rsid w:val="00EF783E"/>
    <w:rsid w:val="00EF7F15"/>
    <w:rsid w:val="00F02327"/>
    <w:rsid w:val="00F0389C"/>
    <w:rsid w:val="00F03CD9"/>
    <w:rsid w:val="00F04630"/>
    <w:rsid w:val="00F0681F"/>
    <w:rsid w:val="00F069BA"/>
    <w:rsid w:val="00F12A95"/>
    <w:rsid w:val="00F12AF1"/>
    <w:rsid w:val="00F141B5"/>
    <w:rsid w:val="00F153DA"/>
    <w:rsid w:val="00F15A12"/>
    <w:rsid w:val="00F202A8"/>
    <w:rsid w:val="00F202E4"/>
    <w:rsid w:val="00F216B5"/>
    <w:rsid w:val="00F216E4"/>
    <w:rsid w:val="00F2326F"/>
    <w:rsid w:val="00F23C3A"/>
    <w:rsid w:val="00F23EA8"/>
    <w:rsid w:val="00F24299"/>
    <w:rsid w:val="00F27485"/>
    <w:rsid w:val="00F3485C"/>
    <w:rsid w:val="00F34BC1"/>
    <w:rsid w:val="00F35D5F"/>
    <w:rsid w:val="00F36DA1"/>
    <w:rsid w:val="00F37387"/>
    <w:rsid w:val="00F414D8"/>
    <w:rsid w:val="00F42D15"/>
    <w:rsid w:val="00F465C4"/>
    <w:rsid w:val="00F47245"/>
    <w:rsid w:val="00F47B39"/>
    <w:rsid w:val="00F54A5A"/>
    <w:rsid w:val="00F55F31"/>
    <w:rsid w:val="00F56FFB"/>
    <w:rsid w:val="00F62BC6"/>
    <w:rsid w:val="00F63B1E"/>
    <w:rsid w:val="00F66F46"/>
    <w:rsid w:val="00F67ED7"/>
    <w:rsid w:val="00F702F8"/>
    <w:rsid w:val="00F70CE7"/>
    <w:rsid w:val="00F71D42"/>
    <w:rsid w:val="00F73EA4"/>
    <w:rsid w:val="00F75397"/>
    <w:rsid w:val="00F76334"/>
    <w:rsid w:val="00F77C84"/>
    <w:rsid w:val="00F80949"/>
    <w:rsid w:val="00F81E46"/>
    <w:rsid w:val="00F83DE8"/>
    <w:rsid w:val="00F8439B"/>
    <w:rsid w:val="00F85B09"/>
    <w:rsid w:val="00F90BD1"/>
    <w:rsid w:val="00F90FE8"/>
    <w:rsid w:val="00F92048"/>
    <w:rsid w:val="00F925FE"/>
    <w:rsid w:val="00F945D1"/>
    <w:rsid w:val="00F949D3"/>
    <w:rsid w:val="00F95D30"/>
    <w:rsid w:val="00FA1196"/>
    <w:rsid w:val="00FA1BB7"/>
    <w:rsid w:val="00FA6B5D"/>
    <w:rsid w:val="00FA6F34"/>
    <w:rsid w:val="00FA7A7B"/>
    <w:rsid w:val="00FB09C6"/>
    <w:rsid w:val="00FB2D21"/>
    <w:rsid w:val="00FB3BD9"/>
    <w:rsid w:val="00FB6978"/>
    <w:rsid w:val="00FB75FB"/>
    <w:rsid w:val="00FC00A2"/>
    <w:rsid w:val="00FC2173"/>
    <w:rsid w:val="00FC30FD"/>
    <w:rsid w:val="00FC37BA"/>
    <w:rsid w:val="00FC5892"/>
    <w:rsid w:val="00FC6C54"/>
    <w:rsid w:val="00FD357C"/>
    <w:rsid w:val="00FD3756"/>
    <w:rsid w:val="00FD4DC8"/>
    <w:rsid w:val="00FD5495"/>
    <w:rsid w:val="00FD5604"/>
    <w:rsid w:val="00FD71C5"/>
    <w:rsid w:val="00FD77B3"/>
    <w:rsid w:val="00FD79F9"/>
    <w:rsid w:val="00FE5FB2"/>
    <w:rsid w:val="00FE6D4E"/>
    <w:rsid w:val="00FF632B"/>
    <w:rsid w:val="00FF6F58"/>
    <w:rsid w:val="00FF6FC8"/>
    <w:rsid w:val="179764FD"/>
    <w:rsid w:val="34545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link w:val="2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6"/>
    <w:semiHidden/>
    <w:unhideWhenUsed/>
    <w:uiPriority w:val="99"/>
    <w:rPr>
      <w:sz w:val="20"/>
      <w:szCs w:val="20"/>
    </w:rPr>
  </w:style>
  <w:style w:type="paragraph" w:styleId="6">
    <w:name w:val="Balloon Text"/>
    <w:basedOn w:val="1"/>
    <w:link w:val="35"/>
    <w:semiHidden/>
    <w:unhideWhenUsed/>
    <w:uiPriority w:val="99"/>
    <w:rPr>
      <w:rFonts w:ascii="Segoe UI" w:hAnsi="Segoe UI" w:cs="Segoe UI"/>
      <w:sz w:val="18"/>
      <w:szCs w:val="18"/>
    </w:rPr>
  </w:style>
  <w:style w:type="paragraph" w:styleId="7">
    <w:name w:val="footer"/>
    <w:basedOn w:val="1"/>
    <w:link w:val="22"/>
    <w:unhideWhenUsed/>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34"/>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5"/>
    <w:next w:val="5"/>
    <w:link w:val="37"/>
    <w:semiHidden/>
    <w:unhideWhenUsed/>
    <w:uiPriority w:val="99"/>
    <w:rPr>
      <w:b/>
      <w:bCs/>
    </w:rPr>
  </w:style>
  <w:style w:type="table" w:styleId="13">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qFormat/>
    <w:uiPriority w:val="20"/>
    <w:rPr>
      <w:i/>
      <w:iCs/>
    </w:rPr>
  </w:style>
  <w:style w:type="character" w:styleId="16">
    <w:name w:val="line number"/>
    <w:basedOn w:val="14"/>
    <w:semiHidden/>
    <w:unhideWhenUsed/>
    <w:qFormat/>
    <w:uiPriority w:val="99"/>
  </w:style>
  <w:style w:type="character" w:styleId="17">
    <w:name w:val="Hyperlink"/>
    <w:basedOn w:val="14"/>
    <w:unhideWhenUsed/>
    <w:qFormat/>
    <w:uiPriority w:val="99"/>
    <w:rPr>
      <w:color w:val="0000FF"/>
      <w:u w:val="single"/>
    </w:rPr>
  </w:style>
  <w:style w:type="character" w:styleId="18">
    <w:name w:val="annotation reference"/>
    <w:basedOn w:val="14"/>
    <w:semiHidden/>
    <w:unhideWhenUsed/>
    <w:uiPriority w:val="99"/>
    <w:rPr>
      <w:sz w:val="16"/>
      <w:szCs w:val="16"/>
    </w:rPr>
  </w:style>
  <w:style w:type="character" w:customStyle="1" w:styleId="19">
    <w:name w:val="标题 1 字符"/>
    <w:basedOn w:val="14"/>
    <w:link w:val="2"/>
    <w:qFormat/>
    <w:uiPriority w:val="9"/>
    <w:rPr>
      <w:rFonts w:ascii="宋体" w:hAnsi="宋体" w:eastAsia="宋体" w:cs="宋体"/>
      <w:b/>
      <w:bCs/>
      <w:kern w:val="36"/>
      <w:sz w:val="48"/>
      <w:szCs w:val="48"/>
    </w:rPr>
  </w:style>
  <w:style w:type="character" w:customStyle="1" w:styleId="20">
    <w:name w:val="标题 4 字符"/>
    <w:basedOn w:val="14"/>
    <w:link w:val="4"/>
    <w:semiHidden/>
    <w:qFormat/>
    <w:uiPriority w:val="9"/>
    <w:rPr>
      <w:rFonts w:asciiTheme="majorHAnsi" w:hAnsiTheme="majorHAnsi" w:eastAsiaTheme="majorEastAsia" w:cstheme="majorBidi"/>
      <w:b/>
      <w:bCs/>
      <w:sz w:val="28"/>
      <w:szCs w:val="28"/>
    </w:rPr>
  </w:style>
  <w:style w:type="character" w:customStyle="1" w:styleId="21">
    <w:name w:val="页眉 字符"/>
    <w:basedOn w:val="14"/>
    <w:link w:val="8"/>
    <w:uiPriority w:val="99"/>
    <w:rPr>
      <w:sz w:val="18"/>
      <w:szCs w:val="18"/>
    </w:rPr>
  </w:style>
  <w:style w:type="character" w:customStyle="1" w:styleId="22">
    <w:name w:val="页脚 字符"/>
    <w:basedOn w:val="14"/>
    <w:link w:val="7"/>
    <w:qFormat/>
    <w:uiPriority w:val="99"/>
    <w:rPr>
      <w:sz w:val="18"/>
      <w:szCs w:val="18"/>
    </w:rPr>
  </w:style>
  <w:style w:type="paragraph" w:styleId="23">
    <w:name w:val="List Paragraph"/>
    <w:basedOn w:val="1"/>
    <w:qFormat/>
    <w:uiPriority w:val="34"/>
    <w:pPr>
      <w:ind w:firstLine="420" w:firstLineChars="200"/>
    </w:pPr>
  </w:style>
  <w:style w:type="character" w:customStyle="1" w:styleId="24">
    <w:name w:val="fontstyle01"/>
    <w:basedOn w:val="14"/>
    <w:qFormat/>
    <w:uiPriority w:val="0"/>
    <w:rPr>
      <w:rFonts w:hint="default" w:ascii="AdvOT596495f2" w:hAnsi="AdvOT596495f2"/>
      <w:color w:val="287CA5"/>
      <w:sz w:val="14"/>
      <w:szCs w:val="14"/>
    </w:rPr>
  </w:style>
  <w:style w:type="character" w:customStyle="1" w:styleId="25">
    <w:name w:val="fontstyle21"/>
    <w:basedOn w:val="14"/>
    <w:uiPriority w:val="0"/>
    <w:rPr>
      <w:rFonts w:hint="default" w:ascii="AdvOT596495f2+20" w:hAnsi="AdvOT596495f2+20"/>
      <w:color w:val="287CA5"/>
      <w:sz w:val="14"/>
      <w:szCs w:val="14"/>
    </w:rPr>
  </w:style>
  <w:style w:type="character" w:customStyle="1" w:styleId="26">
    <w:name w:val="text"/>
    <w:basedOn w:val="14"/>
    <w:uiPriority w:val="0"/>
  </w:style>
  <w:style w:type="character" w:customStyle="1" w:styleId="27">
    <w:name w:val="author-ref"/>
    <w:basedOn w:val="14"/>
    <w:uiPriority w:val="0"/>
  </w:style>
  <w:style w:type="character" w:customStyle="1" w:styleId="28">
    <w:name w:val="skip"/>
    <w:basedOn w:val="14"/>
    <w:uiPriority w:val="0"/>
  </w:style>
  <w:style w:type="character" w:customStyle="1" w:styleId="29">
    <w:name w:val="apple-converted-space"/>
    <w:basedOn w:val="14"/>
    <w:uiPriority w:val="0"/>
  </w:style>
  <w:style w:type="character" w:customStyle="1" w:styleId="30">
    <w:name w:val="未处理的提及1"/>
    <w:basedOn w:val="14"/>
    <w:semiHidden/>
    <w:unhideWhenUsed/>
    <w:uiPriority w:val="99"/>
    <w:rPr>
      <w:color w:val="605E5C"/>
      <w:shd w:val="clear" w:color="auto" w:fill="E1DFDD"/>
    </w:rPr>
  </w:style>
  <w:style w:type="character" w:customStyle="1" w:styleId="31">
    <w:name w:val="basic-word"/>
    <w:basedOn w:val="14"/>
    <w:uiPriority w:val="0"/>
  </w:style>
  <w:style w:type="character" w:customStyle="1" w:styleId="32">
    <w:name w:val="fontstyle31"/>
    <w:basedOn w:val="14"/>
    <w:qFormat/>
    <w:uiPriority w:val="0"/>
    <w:rPr>
      <w:rFonts w:hint="default" w:ascii="AdvOT596495f2+20" w:hAnsi="AdvOT596495f2+20"/>
      <w:color w:val="287CA5"/>
      <w:sz w:val="14"/>
      <w:szCs w:val="14"/>
    </w:rPr>
  </w:style>
  <w:style w:type="character" w:customStyle="1" w:styleId="33">
    <w:name w:val="fontstyle11"/>
    <w:basedOn w:val="14"/>
    <w:uiPriority w:val="0"/>
    <w:rPr>
      <w:rFonts w:hint="default" w:ascii="KTJ0+ZBVGWQ-4" w:hAnsi="KTJ0+ZBVGWQ-4"/>
      <w:color w:val="000000"/>
      <w:sz w:val="18"/>
      <w:szCs w:val="18"/>
    </w:rPr>
  </w:style>
  <w:style w:type="character" w:customStyle="1" w:styleId="34">
    <w:name w:val="HTML 预设格式 字符"/>
    <w:basedOn w:val="14"/>
    <w:link w:val="9"/>
    <w:uiPriority w:val="99"/>
    <w:rPr>
      <w:rFonts w:ascii="宋体" w:hAnsi="宋体" w:eastAsia="宋体" w:cs="宋体"/>
      <w:kern w:val="0"/>
      <w:sz w:val="24"/>
      <w:szCs w:val="24"/>
    </w:rPr>
  </w:style>
  <w:style w:type="character" w:customStyle="1" w:styleId="35">
    <w:name w:val="批注框文本 字符"/>
    <w:basedOn w:val="14"/>
    <w:link w:val="6"/>
    <w:semiHidden/>
    <w:uiPriority w:val="99"/>
    <w:rPr>
      <w:rFonts w:ascii="Segoe UI" w:hAnsi="Segoe UI" w:cs="Segoe UI"/>
      <w:sz w:val="18"/>
      <w:szCs w:val="18"/>
    </w:rPr>
  </w:style>
  <w:style w:type="character" w:customStyle="1" w:styleId="36">
    <w:name w:val="批注文字 字符"/>
    <w:basedOn w:val="14"/>
    <w:link w:val="5"/>
    <w:semiHidden/>
    <w:uiPriority w:val="99"/>
    <w:rPr>
      <w:sz w:val="20"/>
      <w:szCs w:val="20"/>
    </w:rPr>
  </w:style>
  <w:style w:type="character" w:customStyle="1" w:styleId="37">
    <w:name w:val="批注主题 字符"/>
    <w:basedOn w:val="36"/>
    <w:link w:val="11"/>
    <w:semiHidden/>
    <w:uiPriority w:val="99"/>
    <w:rPr>
      <w:b/>
      <w:bCs/>
      <w:sz w:val="20"/>
      <w:szCs w:val="20"/>
    </w:rPr>
  </w:style>
  <w:style w:type="paragraph" w:customStyle="1" w:styleId="38">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4.tiff"/><Relationship Id="rId11" Type="http://schemas.openxmlformats.org/officeDocument/2006/relationships/image" Target="media/image3.tiff"/><Relationship Id="rId10" Type="http://schemas.openxmlformats.org/officeDocument/2006/relationships/image" Target="media/image2.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CD00E-DCFF-4CF4-A729-1D31D7A989E7}">
  <ds:schemaRefs/>
</ds:datastoreItem>
</file>

<file path=customXml/itemProps2.xml><?xml version="1.0" encoding="utf-8"?>
<ds:datastoreItem xmlns:ds="http://schemas.openxmlformats.org/officeDocument/2006/customXml" ds:itemID="{2350E5EE-341E-4CEE-9A80-1E18CA66F6D5}">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10514</Words>
  <Characters>53386</Characters>
  <Lines>454</Lines>
  <Paragraphs>127</Paragraphs>
  <TotalTime>1</TotalTime>
  <ScaleCrop>false</ScaleCrop>
  <LinksUpToDate>false</LinksUpToDate>
  <CharactersWithSpaces>61798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2022-03-02T05:37:00Z</dcterms:created>
  <dc:creator>Author</dc:creator>
  <cp:lastModifiedBy>迷彩蛐蛐</cp:lastModifiedBy>
  <dcterms:modified xsi:type="dcterms:W3CDTF">2022-06-26T13:19:08Z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sfLayCNYWfVh</vt:lpwstr>
  </property>
  <property fmtid="{D5CDD505-2E9C-101B-9397-08002B2CF9AE}" pid="3" name="TRFLID">
    <vt:lpwstr>zWmaYoiMiHAVWUqru4Ujog==</vt:lpwstr>
  </property>
  <property fmtid="{D5CDD505-2E9C-101B-9397-08002B2CF9AE}" pid="4" name="KSOProductBuildVer">
    <vt:lpwstr>2052-11.1.0.11744</vt:lpwstr>
  </property>
  <property fmtid="{D5CDD505-2E9C-101B-9397-08002B2CF9AE}" pid="5" name="ICV">
    <vt:lpwstr>6F3F8CA6226649E596433F17D9B65A13</vt:lpwstr>
  </property>
</Properties>
</file>