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Table</w:t>
      </w:r>
      <w:r>
        <w:rPr>
          <w:rFonts w:hint="eastAsia" w:cs="Times New Roman"/>
          <w:b/>
          <w:bCs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bookmarkStart w:id="0" w:name="_GoBack"/>
      <w:bookmarkEnd w:id="0"/>
      <w:r>
        <w:rPr>
          <w:rFonts w:hint="eastAsia" w:cs="Times New Roman"/>
          <w:b/>
          <w:bCs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1 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Comparison of the health states with 2 times or higher DW between Anhui and 8 provinces in China[</w:t>
      </w:r>
      <w:r>
        <w:rPr>
          <w:rFonts w:hint="eastAsia" w:cs="Times New Roman"/>
          <w:b/>
          <w:bCs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17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]</w:t>
      </w:r>
    </w:p>
    <w:tbl>
      <w:tblPr>
        <w:tblStyle w:val="2"/>
        <w:tblW w:w="1015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07"/>
        <w:gridCol w:w="1998"/>
        <w:gridCol w:w="541"/>
        <w:gridCol w:w="718"/>
        <w:gridCol w:w="670"/>
        <w:gridCol w:w="550"/>
        <w:gridCol w:w="580"/>
        <w:gridCol w:w="640"/>
        <w:gridCol w:w="840"/>
        <w:gridCol w:w="60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3007" w:type="dxa"/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Chars="100"/>
              <w:jc w:val="left"/>
              <w:textAlignment w:val="top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Health states</w:t>
            </w:r>
          </w:p>
        </w:tc>
        <w:tc>
          <w:tcPr>
            <w:tcW w:w="1998" w:type="dxa"/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Anhui</w:t>
            </w:r>
          </w:p>
        </w:tc>
        <w:tc>
          <w:tcPr>
            <w:tcW w:w="541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480" w:lineRule="auto"/>
              <w:jc w:val="left"/>
              <w:textAlignment w:val="top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Fu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480" w:lineRule="auto"/>
              <w:jc w:val="left"/>
              <w:textAlignment w:val="top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jian</w:t>
            </w:r>
          </w:p>
        </w:tc>
        <w:tc>
          <w:tcPr>
            <w:tcW w:w="718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480" w:lineRule="auto"/>
              <w:jc w:val="left"/>
              <w:textAlignment w:val="top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Jiangsu</w:t>
            </w:r>
          </w:p>
        </w:tc>
        <w:tc>
          <w:tcPr>
            <w:tcW w:w="670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480" w:lineRule="auto"/>
              <w:jc w:val="left"/>
              <w:textAlignment w:val="top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Liaoning</w:t>
            </w:r>
          </w:p>
        </w:tc>
        <w:tc>
          <w:tcPr>
            <w:tcW w:w="5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480" w:lineRule="auto"/>
              <w:jc w:val="left"/>
              <w:textAlignment w:val="top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Hubei</w:t>
            </w:r>
          </w:p>
        </w:tc>
        <w:tc>
          <w:tcPr>
            <w:tcW w:w="580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480" w:lineRule="auto"/>
              <w:jc w:val="left"/>
              <w:textAlignment w:val="top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Hunan</w:t>
            </w:r>
          </w:p>
        </w:tc>
        <w:tc>
          <w:tcPr>
            <w:tcW w:w="640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480" w:lineRule="auto"/>
              <w:jc w:val="left"/>
              <w:textAlignment w:val="top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He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480" w:lineRule="auto"/>
              <w:jc w:val="left"/>
              <w:textAlignment w:val="top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nan</w:t>
            </w:r>
          </w:p>
        </w:tc>
        <w:tc>
          <w:tcPr>
            <w:tcW w:w="840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480" w:lineRule="auto"/>
              <w:jc w:val="left"/>
              <w:textAlignment w:val="top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Si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480" w:lineRule="auto"/>
              <w:jc w:val="left"/>
              <w:textAlignment w:val="top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chuan</w:t>
            </w:r>
          </w:p>
        </w:tc>
        <w:tc>
          <w:tcPr>
            <w:tcW w:w="6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Yunnan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007" w:type="dxa"/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Angina pectoris,mild</w:t>
            </w:r>
          </w:p>
        </w:tc>
        <w:tc>
          <w:tcPr>
            <w:tcW w:w="1998" w:type="dxa"/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0.021(0.017-0.026)</w:t>
            </w:r>
          </w:p>
        </w:tc>
        <w:tc>
          <w:tcPr>
            <w:tcW w:w="541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718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670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550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580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640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840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608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007" w:type="dxa"/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Claudication</w:t>
            </w:r>
          </w:p>
        </w:tc>
        <w:tc>
          <w:tcPr>
            <w:tcW w:w="1998" w:type="dxa"/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0.011(0.009-0.015)</w:t>
            </w:r>
          </w:p>
        </w:tc>
        <w:tc>
          <w:tcPr>
            <w:tcW w:w="541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  <w:tc>
          <w:tcPr>
            <w:tcW w:w="718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  <w:tc>
          <w:tcPr>
            <w:tcW w:w="670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550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  <w:tc>
          <w:tcPr>
            <w:tcW w:w="580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  <w:tc>
          <w:tcPr>
            <w:tcW w:w="640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840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  <w:tc>
          <w:tcPr>
            <w:tcW w:w="608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007" w:type="dxa"/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Infertility, primary</w:t>
            </w:r>
          </w:p>
        </w:tc>
        <w:tc>
          <w:tcPr>
            <w:tcW w:w="1998" w:type="dxa"/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0.016(0.012-0.020)</w:t>
            </w:r>
          </w:p>
        </w:tc>
        <w:tc>
          <w:tcPr>
            <w:tcW w:w="541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718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670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550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580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  <w:tc>
          <w:tcPr>
            <w:tcW w:w="640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840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  <w:tc>
          <w:tcPr>
            <w:tcW w:w="608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007" w:type="dxa"/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Infertility, secondary</w:t>
            </w:r>
          </w:p>
        </w:tc>
        <w:tc>
          <w:tcPr>
            <w:tcW w:w="1998" w:type="dxa"/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0.010(0.008-0.014)</w:t>
            </w:r>
          </w:p>
        </w:tc>
        <w:tc>
          <w:tcPr>
            <w:tcW w:w="541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718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670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550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  <w:tc>
          <w:tcPr>
            <w:tcW w:w="580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  <w:tc>
          <w:tcPr>
            <w:tcW w:w="640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840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  <w:tc>
          <w:tcPr>
            <w:tcW w:w="608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3007" w:type="dxa"/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COPD and other chronic respiratory problems, mild</w:t>
            </w:r>
          </w:p>
        </w:tc>
        <w:tc>
          <w:tcPr>
            <w:tcW w:w="1998" w:type="dxa"/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0.011(0.009-0.015)</w:t>
            </w:r>
          </w:p>
        </w:tc>
        <w:tc>
          <w:tcPr>
            <w:tcW w:w="541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  <w:tc>
          <w:tcPr>
            <w:tcW w:w="718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  <w:tc>
          <w:tcPr>
            <w:tcW w:w="670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550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  <w:tc>
          <w:tcPr>
            <w:tcW w:w="580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  <w:tc>
          <w:tcPr>
            <w:tcW w:w="640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840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  <w:tc>
          <w:tcPr>
            <w:tcW w:w="608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007" w:type="dxa"/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Anxiety disorders, mild</w:t>
            </w:r>
          </w:p>
        </w:tc>
        <w:tc>
          <w:tcPr>
            <w:tcW w:w="1998" w:type="dxa"/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0.018(0.014-0.023)</w:t>
            </w:r>
          </w:p>
        </w:tc>
        <w:tc>
          <w:tcPr>
            <w:tcW w:w="541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718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670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550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580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640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840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  <w:tc>
          <w:tcPr>
            <w:tcW w:w="608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3007" w:type="dxa"/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Attention deficit hyperactivity disorder</w:t>
            </w:r>
          </w:p>
        </w:tc>
        <w:tc>
          <w:tcPr>
            <w:tcW w:w="1998" w:type="dxa"/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0.015(0.012-0.020)</w:t>
            </w:r>
          </w:p>
        </w:tc>
        <w:tc>
          <w:tcPr>
            <w:tcW w:w="541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718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  <w:tc>
          <w:tcPr>
            <w:tcW w:w="670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  <w:tc>
          <w:tcPr>
            <w:tcW w:w="550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  <w:tc>
          <w:tcPr>
            <w:tcW w:w="580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  <w:tc>
          <w:tcPr>
            <w:tcW w:w="640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840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  <w:tc>
          <w:tcPr>
            <w:tcW w:w="608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007" w:type="dxa"/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Borderline intellectual functioning</w:t>
            </w:r>
          </w:p>
        </w:tc>
        <w:tc>
          <w:tcPr>
            <w:tcW w:w="1998" w:type="dxa"/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0.007(0.005-0.011)</w:t>
            </w:r>
          </w:p>
        </w:tc>
        <w:tc>
          <w:tcPr>
            <w:tcW w:w="541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  <w:tc>
          <w:tcPr>
            <w:tcW w:w="718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  <w:tc>
          <w:tcPr>
            <w:tcW w:w="670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  <w:tc>
          <w:tcPr>
            <w:tcW w:w="550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  <w:tc>
          <w:tcPr>
            <w:tcW w:w="580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  <w:tc>
          <w:tcPr>
            <w:tcW w:w="640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840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  <w:tc>
          <w:tcPr>
            <w:tcW w:w="608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007" w:type="dxa"/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Hearing loss, mild</w:t>
            </w:r>
          </w:p>
        </w:tc>
        <w:tc>
          <w:tcPr>
            <w:tcW w:w="1998" w:type="dxa"/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0.019(0.016-0.025)</w:t>
            </w:r>
          </w:p>
        </w:tc>
        <w:tc>
          <w:tcPr>
            <w:tcW w:w="541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718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670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550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580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640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840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  <w:tc>
          <w:tcPr>
            <w:tcW w:w="608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007" w:type="dxa"/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Distance vision, mild impairment</w:t>
            </w:r>
          </w:p>
        </w:tc>
        <w:tc>
          <w:tcPr>
            <w:tcW w:w="1998" w:type="dxa"/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0.003(0.002-0.008)</w:t>
            </w:r>
          </w:p>
        </w:tc>
        <w:tc>
          <w:tcPr>
            <w:tcW w:w="541" w:type="dxa"/>
            <w:shd w:val="clear" w:color="auto" w:fill="F4B084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c</w:t>
            </w:r>
          </w:p>
        </w:tc>
        <w:tc>
          <w:tcPr>
            <w:tcW w:w="718" w:type="dxa"/>
            <w:shd w:val="clear" w:color="auto" w:fill="F4B084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c</w:t>
            </w:r>
          </w:p>
        </w:tc>
        <w:tc>
          <w:tcPr>
            <w:tcW w:w="670" w:type="dxa"/>
            <w:shd w:val="clear" w:color="auto" w:fill="F4B084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c</w:t>
            </w:r>
          </w:p>
        </w:tc>
        <w:tc>
          <w:tcPr>
            <w:tcW w:w="550" w:type="dxa"/>
            <w:shd w:val="clear" w:color="auto" w:fill="F4B084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c</w:t>
            </w:r>
          </w:p>
        </w:tc>
        <w:tc>
          <w:tcPr>
            <w:tcW w:w="580" w:type="dxa"/>
            <w:shd w:val="clear" w:color="auto" w:fill="F4B084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c</w:t>
            </w:r>
          </w:p>
        </w:tc>
        <w:tc>
          <w:tcPr>
            <w:tcW w:w="640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  <w:tc>
          <w:tcPr>
            <w:tcW w:w="840" w:type="dxa"/>
            <w:shd w:val="clear" w:color="auto" w:fill="F4B084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c</w:t>
            </w:r>
          </w:p>
        </w:tc>
        <w:tc>
          <w:tcPr>
            <w:tcW w:w="608" w:type="dxa"/>
            <w:shd w:val="clear" w:color="auto" w:fill="F4B084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3007" w:type="dxa"/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Distance vision, moderate impairment</w:t>
            </w:r>
          </w:p>
        </w:tc>
        <w:tc>
          <w:tcPr>
            <w:tcW w:w="1998" w:type="dxa"/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0.021(0.017-0.027)</w:t>
            </w:r>
          </w:p>
        </w:tc>
        <w:tc>
          <w:tcPr>
            <w:tcW w:w="541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718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670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550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  <w:tc>
          <w:tcPr>
            <w:tcW w:w="580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  <w:tc>
          <w:tcPr>
            <w:tcW w:w="640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840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  <w:tc>
          <w:tcPr>
            <w:tcW w:w="608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007" w:type="dxa"/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Presbyopia</w:t>
            </w:r>
          </w:p>
        </w:tc>
        <w:tc>
          <w:tcPr>
            <w:tcW w:w="1998" w:type="dxa"/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0.007(0.005-0.011)</w:t>
            </w:r>
          </w:p>
        </w:tc>
        <w:tc>
          <w:tcPr>
            <w:tcW w:w="541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  <w:tc>
          <w:tcPr>
            <w:tcW w:w="718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  <w:tc>
          <w:tcPr>
            <w:tcW w:w="670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  <w:tc>
          <w:tcPr>
            <w:tcW w:w="550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  <w:tc>
          <w:tcPr>
            <w:tcW w:w="580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  <w:tc>
          <w:tcPr>
            <w:tcW w:w="640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  <w:tc>
          <w:tcPr>
            <w:tcW w:w="840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  <w:tc>
          <w:tcPr>
            <w:tcW w:w="608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3007" w:type="dxa"/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Musculoskeletal problems, legs, mild</w:t>
            </w:r>
          </w:p>
        </w:tc>
        <w:tc>
          <w:tcPr>
            <w:tcW w:w="1998" w:type="dxa"/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0.025(0.020-0.032)</w:t>
            </w:r>
          </w:p>
        </w:tc>
        <w:tc>
          <w:tcPr>
            <w:tcW w:w="541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718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670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550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580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640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840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  <w:tc>
          <w:tcPr>
            <w:tcW w:w="608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007" w:type="dxa"/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Anemia, mild</w:t>
            </w:r>
          </w:p>
        </w:tc>
        <w:tc>
          <w:tcPr>
            <w:tcW w:w="1998" w:type="dxa"/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0.003(0.002-0.008)</w:t>
            </w:r>
          </w:p>
        </w:tc>
        <w:tc>
          <w:tcPr>
            <w:tcW w:w="541" w:type="dxa"/>
            <w:shd w:val="clear" w:color="auto" w:fill="F4B084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c</w:t>
            </w:r>
          </w:p>
        </w:tc>
        <w:tc>
          <w:tcPr>
            <w:tcW w:w="718" w:type="dxa"/>
            <w:shd w:val="clear" w:color="auto" w:fill="F4B084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c</w:t>
            </w:r>
          </w:p>
        </w:tc>
        <w:tc>
          <w:tcPr>
            <w:tcW w:w="670" w:type="dxa"/>
            <w:shd w:val="clear" w:color="auto" w:fill="F4B084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c</w:t>
            </w:r>
          </w:p>
        </w:tc>
        <w:tc>
          <w:tcPr>
            <w:tcW w:w="550" w:type="dxa"/>
            <w:shd w:val="clear" w:color="auto" w:fill="F4B084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c</w:t>
            </w:r>
          </w:p>
        </w:tc>
        <w:tc>
          <w:tcPr>
            <w:tcW w:w="580" w:type="dxa"/>
            <w:shd w:val="clear" w:color="auto" w:fill="F4B084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c</w:t>
            </w:r>
          </w:p>
        </w:tc>
        <w:tc>
          <w:tcPr>
            <w:tcW w:w="640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  <w:tc>
          <w:tcPr>
            <w:tcW w:w="840" w:type="dxa"/>
            <w:shd w:val="clear" w:color="auto" w:fill="F4B084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c</w:t>
            </w:r>
          </w:p>
        </w:tc>
        <w:tc>
          <w:tcPr>
            <w:tcW w:w="608" w:type="dxa"/>
            <w:shd w:val="clear" w:color="auto" w:fill="F4B084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007" w:type="dxa"/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Periodontitis</w:t>
            </w:r>
          </w:p>
        </w:tc>
        <w:tc>
          <w:tcPr>
            <w:tcW w:w="1998" w:type="dxa"/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0.011(0.008-0.015)</w:t>
            </w:r>
          </w:p>
        </w:tc>
        <w:tc>
          <w:tcPr>
            <w:tcW w:w="541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718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670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550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  <w:tc>
          <w:tcPr>
            <w:tcW w:w="580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  <w:tc>
          <w:tcPr>
            <w:tcW w:w="640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840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  <w:tc>
          <w:tcPr>
            <w:tcW w:w="608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007" w:type="dxa"/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Dental caries：</w:t>
            </w:r>
            <w:r>
              <w:rPr>
                <w:rStyle w:val="6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 xml:space="preserve"> symptomatic</w:t>
            </w:r>
          </w:p>
        </w:tc>
        <w:tc>
          <w:tcPr>
            <w:tcW w:w="1998" w:type="dxa"/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0.009(0.007-0.013)</w:t>
            </w:r>
          </w:p>
        </w:tc>
        <w:tc>
          <w:tcPr>
            <w:tcW w:w="541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718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  <w:tc>
          <w:tcPr>
            <w:tcW w:w="670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550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  <w:tc>
          <w:tcPr>
            <w:tcW w:w="580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  <w:tc>
          <w:tcPr>
            <w:tcW w:w="640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840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  <w:tc>
          <w:tcPr>
            <w:tcW w:w="608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3007" w:type="dxa"/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Generic uncomplicated disease:anxiety about diagnosis</w:t>
            </w:r>
          </w:p>
        </w:tc>
        <w:tc>
          <w:tcPr>
            <w:tcW w:w="1998" w:type="dxa"/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0.009(0.007-0.013)</w:t>
            </w:r>
          </w:p>
        </w:tc>
        <w:tc>
          <w:tcPr>
            <w:tcW w:w="541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718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  <w:tc>
          <w:tcPr>
            <w:tcW w:w="670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  <w:tc>
          <w:tcPr>
            <w:tcW w:w="550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  <w:tc>
          <w:tcPr>
            <w:tcW w:w="580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  <w:tc>
          <w:tcPr>
            <w:tcW w:w="640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840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  <w:tc>
          <w:tcPr>
            <w:tcW w:w="608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007" w:type="dxa"/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Hypothyroidism</w:t>
            </w:r>
          </w:p>
        </w:tc>
        <w:tc>
          <w:tcPr>
            <w:tcW w:w="1998" w:type="dxa"/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0.020(0.016-0.025)</w:t>
            </w:r>
          </w:p>
        </w:tc>
        <w:tc>
          <w:tcPr>
            <w:tcW w:w="541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718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670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550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580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  <w:tc>
          <w:tcPr>
            <w:tcW w:w="640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840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  <w:tc>
          <w:tcPr>
            <w:tcW w:w="608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3007" w:type="dxa"/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Often has a burning sensation in the back of the chest after eating</w:t>
            </w:r>
          </w:p>
        </w:tc>
        <w:tc>
          <w:tcPr>
            <w:tcW w:w="1998" w:type="dxa"/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0.028(0.023-0.036)</w:t>
            </w:r>
          </w:p>
        </w:tc>
        <w:tc>
          <w:tcPr>
            <w:tcW w:w="541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718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670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550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580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  <w:tc>
          <w:tcPr>
            <w:tcW w:w="640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840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  <w:tc>
          <w:tcPr>
            <w:tcW w:w="608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007" w:type="dxa"/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Allergic rhinitis (hay fever)</w:t>
            </w:r>
          </w:p>
        </w:tc>
        <w:tc>
          <w:tcPr>
            <w:tcW w:w="1998" w:type="dxa"/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0.006(0.004-0.010)</w:t>
            </w:r>
          </w:p>
        </w:tc>
        <w:tc>
          <w:tcPr>
            <w:tcW w:w="541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  <w:tc>
          <w:tcPr>
            <w:tcW w:w="718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  <w:tc>
          <w:tcPr>
            <w:tcW w:w="670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  <w:tc>
          <w:tcPr>
            <w:tcW w:w="550" w:type="dxa"/>
            <w:shd w:val="clear" w:color="auto" w:fill="F4B084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c</w:t>
            </w:r>
          </w:p>
        </w:tc>
        <w:tc>
          <w:tcPr>
            <w:tcW w:w="580" w:type="dxa"/>
            <w:shd w:val="clear" w:color="auto" w:fill="F4B084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c</w:t>
            </w:r>
          </w:p>
        </w:tc>
        <w:tc>
          <w:tcPr>
            <w:tcW w:w="640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  <w:tc>
          <w:tcPr>
            <w:tcW w:w="840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  <w:tc>
          <w:tcPr>
            <w:tcW w:w="608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007" w:type="dxa"/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Vaginal discharge</w:t>
            </w:r>
          </w:p>
        </w:tc>
        <w:tc>
          <w:tcPr>
            <w:tcW w:w="1998" w:type="dxa"/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0.016(0.013-0.020)</w:t>
            </w:r>
          </w:p>
        </w:tc>
        <w:tc>
          <w:tcPr>
            <w:tcW w:w="541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718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670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550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580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  <w:tc>
          <w:tcPr>
            <w:tcW w:w="640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840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  <w:tc>
          <w:tcPr>
            <w:tcW w:w="608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007" w:type="dxa"/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Varicose veins</w:t>
            </w:r>
          </w:p>
        </w:tc>
        <w:tc>
          <w:tcPr>
            <w:tcW w:w="1998" w:type="dxa"/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0.020(0.016-0.026)</w:t>
            </w:r>
          </w:p>
        </w:tc>
        <w:tc>
          <w:tcPr>
            <w:tcW w:w="541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718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670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550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  <w:tc>
          <w:tcPr>
            <w:tcW w:w="580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  <w:tc>
          <w:tcPr>
            <w:tcW w:w="640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840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  <w:tc>
          <w:tcPr>
            <w:tcW w:w="608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007" w:type="dxa"/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Carpal tunnel syndrome</w:t>
            </w:r>
          </w:p>
        </w:tc>
        <w:tc>
          <w:tcPr>
            <w:tcW w:w="1998" w:type="dxa"/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0.017(0.014-0.022)</w:t>
            </w:r>
          </w:p>
        </w:tc>
        <w:tc>
          <w:tcPr>
            <w:tcW w:w="541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718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670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550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580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  <w:tc>
          <w:tcPr>
            <w:tcW w:w="640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840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  <w:tc>
          <w:tcPr>
            <w:tcW w:w="608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007" w:type="dxa"/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Shoulder lesions</w:t>
            </w:r>
          </w:p>
        </w:tc>
        <w:tc>
          <w:tcPr>
            <w:tcW w:w="1998" w:type="dxa"/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0.019(0.015-0.024)</w:t>
            </w:r>
          </w:p>
        </w:tc>
        <w:tc>
          <w:tcPr>
            <w:tcW w:w="541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718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670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550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580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640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840" w:type="dxa"/>
            <w:shd w:val="clear" w:color="auto" w:fill="9BC2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b</w:t>
            </w:r>
          </w:p>
        </w:tc>
        <w:tc>
          <w:tcPr>
            <w:tcW w:w="608" w:type="dxa"/>
            <w:shd w:val="clear" w:color="auto" w:fill="AEAAA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5"/>
                <w:rFonts w:hint="default" w:eastAsia="宋体" w:cs="Times New Roman" w:asciiTheme="minorAscii" w:hAnsiTheme="minorAscii"/>
                <w:sz w:val="22"/>
                <w:szCs w:val="22"/>
                <w:highlight w:val="none"/>
                <w:lang w:val="en-US" w:eastAsia="zh-CN" w:bidi="ar"/>
              </w:rPr>
              <w:t>a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rPr>
          <w:rFonts w:hint="eastAsia" w:ascii="Times New Roman" w:hAnsi="Times New Roman" w:eastAsia="Times New Roman Uni" w:cs="Times New Roman"/>
          <w:sz w:val="24"/>
          <w:szCs w:val="24"/>
          <w:highlight w:val="none"/>
          <w:lang w:val="en-US" w:eastAsia="zh-CN"/>
        </w:rPr>
      </w:pPr>
      <w:r>
        <w:rPr>
          <w:rFonts w:hint="eastAsia"/>
          <w:highlight w:val="none"/>
          <w:vertAlign w:val="superscript"/>
          <w:lang w:val="en-US" w:eastAsia="zh-CN"/>
        </w:rPr>
        <w:t xml:space="preserve">a  </w:t>
      </w:r>
      <w:r>
        <w:rPr>
          <w:rFonts w:hint="eastAsia"/>
          <w:highlight w:val="none"/>
          <w:vertAlign w:val="baseline"/>
          <w:lang w:val="en-US" w:eastAsia="zh-CN"/>
        </w:rPr>
        <w:t>with</w:t>
      </w:r>
      <w:r>
        <w:rPr>
          <w:rFonts w:hint="eastAsia"/>
          <w:highlight w:val="none"/>
          <w:vertAlign w:val="superscript"/>
          <w:lang w:val="en-US" w:eastAsia="zh-CN"/>
        </w:rPr>
        <w:t xml:space="preserve"> </w:t>
      </w:r>
      <w:r>
        <w:rPr>
          <w:rFonts w:hint="eastAsia"/>
          <w:highlight w:val="none"/>
          <w:vertAlign w:val="baseline"/>
          <w:lang w:val="en-US" w:eastAsia="zh-CN"/>
        </w:rPr>
        <w:t xml:space="preserve">gray background color: a difference of less than 2 times </w:t>
      </w:r>
      <w:r>
        <w:rPr>
          <w:rFonts w:hint="eastAsia" w:ascii="Times New Roman" w:hAnsi="Times New Roman" w:eastAsia="Times New Roman Uni" w:cs="Times New Roman"/>
          <w:sz w:val="24"/>
          <w:szCs w:val="24"/>
          <w:highlight w:val="none"/>
          <w:lang w:val="en-US" w:eastAsia="zh-CN"/>
        </w:rPr>
        <w:t>compared with Anhui</w:t>
      </w:r>
      <w:r>
        <w:rPr>
          <w:rFonts w:hint="default" w:ascii="Times New Roman" w:hAnsi="Times New Roman" w:eastAsia="Times New Roman Uni" w:cs="Times New Roman"/>
          <w:sz w:val="24"/>
          <w:szCs w:val="24"/>
          <w:highlight w:val="none"/>
          <w:lang w:val="en-US" w:eastAsia="zh-CN"/>
        </w:rPr>
        <w:t>’</w:t>
      </w:r>
      <w:r>
        <w:rPr>
          <w:rFonts w:hint="eastAsia" w:ascii="Times New Roman" w:hAnsi="Times New Roman" w:eastAsia="Times New Roman Uni" w:cs="Times New Roman"/>
          <w:sz w:val="24"/>
          <w:szCs w:val="24"/>
          <w:highlight w:val="none"/>
          <w:lang w:val="en-US" w:eastAsia="zh-CN"/>
        </w:rPr>
        <w:t>s DWs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rPr>
          <w:rFonts w:hint="default" w:ascii="Times New Roman" w:hAnsi="Times New Roman" w:eastAsia="Times New Roman Uni" w:cs="Times New Roman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Times New Roman Uni" w:cs="Times New Roman"/>
          <w:sz w:val="24"/>
          <w:szCs w:val="24"/>
          <w:highlight w:val="none"/>
          <w:vertAlign w:val="superscript"/>
          <w:lang w:val="en-US" w:eastAsia="zh-CN"/>
        </w:rPr>
        <w:t xml:space="preserve">b  </w:t>
      </w:r>
      <w:r>
        <w:rPr>
          <w:rFonts w:hint="eastAsia"/>
          <w:highlight w:val="none"/>
          <w:vertAlign w:val="baseline"/>
          <w:lang w:val="en-US" w:eastAsia="zh-CN"/>
        </w:rPr>
        <w:t>with</w:t>
      </w:r>
      <w:r>
        <w:rPr>
          <w:rFonts w:hint="eastAsia"/>
          <w:highlight w:val="none"/>
          <w:vertAlign w:val="superscript"/>
          <w:lang w:val="en-US" w:eastAsia="zh-CN"/>
        </w:rPr>
        <w:t xml:space="preserve"> </w:t>
      </w:r>
      <w:r>
        <w:rPr>
          <w:rFonts w:hint="eastAsia"/>
          <w:highlight w:val="none"/>
          <w:vertAlign w:val="baseline"/>
          <w:lang w:val="en-US" w:eastAsia="zh-CN"/>
        </w:rPr>
        <w:t>blue background color: a difference of 2 times or higher</w:t>
      </w:r>
      <w:r>
        <w:rPr>
          <w:rFonts w:hint="eastAsia" w:ascii="Times New Roman" w:hAnsi="Times New Roman" w:eastAsia="Times New Roman Uni" w:cs="Times New Roman"/>
          <w:sz w:val="24"/>
          <w:szCs w:val="24"/>
          <w:highlight w:val="none"/>
          <w:lang w:val="en-US" w:eastAsia="zh-CN"/>
        </w:rPr>
        <w:t xml:space="preserve"> than Anhui</w:t>
      </w:r>
      <w:r>
        <w:rPr>
          <w:rFonts w:hint="default" w:ascii="Times New Roman" w:hAnsi="Times New Roman" w:eastAsia="Times New Roman Uni" w:cs="Times New Roman"/>
          <w:sz w:val="24"/>
          <w:szCs w:val="24"/>
          <w:highlight w:val="none"/>
          <w:lang w:val="en-US" w:eastAsia="zh-CN"/>
        </w:rPr>
        <w:t>’</w:t>
      </w:r>
      <w:r>
        <w:rPr>
          <w:rFonts w:hint="eastAsia" w:ascii="Times New Roman" w:hAnsi="Times New Roman" w:eastAsia="Times New Roman Uni" w:cs="Times New Roman"/>
          <w:sz w:val="24"/>
          <w:szCs w:val="24"/>
          <w:highlight w:val="none"/>
          <w:lang w:val="en-US" w:eastAsia="zh-CN"/>
        </w:rPr>
        <w:t>s DWs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eastAsia" w:ascii="Times New Roman" w:hAnsi="Times New Roman" w:eastAsia="Times New Roman Uni" w:cs="Times New Roman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Times New Roman Uni" w:cs="Times New Roman"/>
          <w:sz w:val="24"/>
          <w:szCs w:val="24"/>
          <w:highlight w:val="none"/>
          <w:vertAlign w:val="superscript"/>
          <w:lang w:val="en-US" w:eastAsia="zh-CN"/>
        </w:rPr>
        <w:t xml:space="preserve">c  </w:t>
      </w:r>
      <w:r>
        <w:rPr>
          <w:rFonts w:hint="eastAsia"/>
          <w:highlight w:val="none"/>
          <w:vertAlign w:val="baseline"/>
          <w:lang w:val="en-US" w:eastAsia="zh-CN"/>
        </w:rPr>
        <w:t>with</w:t>
      </w:r>
      <w:r>
        <w:rPr>
          <w:rFonts w:hint="eastAsia"/>
          <w:highlight w:val="none"/>
          <w:vertAlign w:val="superscript"/>
          <w:lang w:val="en-US" w:eastAsia="zh-CN"/>
        </w:rPr>
        <w:t xml:space="preserve"> </w:t>
      </w:r>
      <w:r>
        <w:rPr>
          <w:rFonts w:hint="eastAsia"/>
          <w:highlight w:val="none"/>
          <w:vertAlign w:val="baseline"/>
          <w:lang w:val="en-US" w:eastAsia="zh-CN"/>
        </w:rPr>
        <w:t>orange background color: a difference of 3 times or higher</w:t>
      </w:r>
      <w:r>
        <w:rPr>
          <w:rFonts w:hint="eastAsia" w:ascii="Times New Roman" w:hAnsi="Times New Roman" w:eastAsia="Times New Roman Uni" w:cs="Times New Roman"/>
          <w:sz w:val="24"/>
          <w:szCs w:val="24"/>
          <w:highlight w:val="none"/>
          <w:lang w:val="en-US" w:eastAsia="zh-CN"/>
        </w:rPr>
        <w:t xml:space="preserve"> than Anhui</w:t>
      </w:r>
      <w:r>
        <w:rPr>
          <w:rFonts w:hint="default" w:ascii="Times New Roman" w:hAnsi="Times New Roman" w:eastAsia="Times New Roman Uni" w:cs="Times New Roman"/>
          <w:sz w:val="24"/>
          <w:szCs w:val="24"/>
          <w:highlight w:val="none"/>
          <w:lang w:val="en-US" w:eastAsia="zh-CN"/>
        </w:rPr>
        <w:t>’</w:t>
      </w:r>
      <w:r>
        <w:rPr>
          <w:rFonts w:hint="eastAsia" w:ascii="Times New Roman" w:hAnsi="Times New Roman" w:eastAsia="Times New Roman Uni" w:cs="Times New Roman"/>
          <w:sz w:val="24"/>
          <w:szCs w:val="24"/>
          <w:highlight w:val="none"/>
          <w:lang w:val="en-US" w:eastAsia="zh-CN"/>
        </w:rPr>
        <w:t>s DWs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imes New Roman Uni">
    <w:panose1 w:val="02020603050405020304"/>
    <w:charset w:val="86"/>
    <w:family w:val="roman"/>
    <w:pitch w:val="default"/>
    <w:sig w:usb0="B334AAFF" w:usb1="F9FFFFFF" w:usb2="0000003E" w:usb3="00000000" w:csb0="601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25305B5"/>
    <w:multiLevelType w:val="multilevel"/>
    <w:tmpl w:val="225305B5"/>
    <w:lvl w:ilvl="0" w:tentative="0">
      <w:start w:val="1"/>
      <w:numFmt w:val="bullet"/>
      <w:pStyle w:val="4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iNTEyYjg5N2E4ODFlNGJmYmRkODBjNWRhOWFjOWIifQ=="/>
  </w:docVars>
  <w:rsids>
    <w:rsidRoot w:val="12C70D00"/>
    <w:rsid w:val="0E6029E5"/>
    <w:rsid w:val="12C70D00"/>
    <w:rsid w:val="44052A36"/>
    <w:rsid w:val="7D79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 w:line="240" w:lineRule="auto"/>
    </w:pPr>
    <w:rPr>
      <w:rFonts w:ascii="Times New Roman" w:hAnsi="Times New Roman" w:eastAsiaTheme="minorEastAsia" w:cstheme="minorBidi"/>
      <w:sz w:val="24"/>
      <w:szCs w:val="22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"/>
    <w:pPr>
      <w:numPr>
        <w:ilvl w:val="0"/>
        <w:numId w:val="1"/>
      </w:numPr>
      <w:ind w:left="1434" w:hanging="357"/>
      <w:contextualSpacing/>
    </w:pPr>
    <w:rPr>
      <w:rFonts w:eastAsia="Cambria" w:cs="Times New Roman"/>
      <w:szCs w:val="24"/>
    </w:rPr>
  </w:style>
  <w:style w:type="character" w:customStyle="1" w:styleId="5">
    <w:name w:val="font01"/>
    <w:basedOn w:val="3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  <w:vertAlign w:val="superscript"/>
    </w:rPr>
  </w:style>
  <w:style w:type="character" w:customStyle="1" w:styleId="6">
    <w:name w:val="font51"/>
    <w:basedOn w:val="3"/>
    <w:qFormat/>
    <w:uiPriority w:val="0"/>
    <w:rPr>
      <w:rFonts w:hint="default" w:ascii="Times New Roman" w:hAnsi="Times New Roman" w:cs="Times New Roman"/>
      <w:color w:val="000000"/>
      <w:sz w:val="12"/>
      <w:szCs w:val="1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374</Words>
  <Characters>1569</Characters>
  <Lines>0</Lines>
  <Paragraphs>0</Paragraphs>
  <TotalTime>2</TotalTime>
  <ScaleCrop>false</ScaleCrop>
  <LinksUpToDate>false</LinksUpToDate>
  <CharactersWithSpaces>1688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2022-05-31T20:14:00Z</dcterms:created>
  <dc:creator>admin</dc:creator>
  <cp:lastModifiedBy>admin</cp:lastModifiedBy>
  <dcterms:modified xsi:type="dcterms:W3CDTF">2022-06-03T20:50:32Z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59AD2AAD41B048B5BB08460EE3CD35F6</vt:lpwstr>
  </property>
</Properties>
</file>