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B2D52D" w14:textId="77777777" w:rsidR="00F83D6B" w:rsidRPr="00F83D6B" w:rsidRDefault="00F83D6B" w:rsidP="002D7D75">
      <w:pPr>
        <w:autoSpaceDE w:val="0"/>
        <w:autoSpaceDN w:val="0"/>
        <w:adjustRightInd w:val="0"/>
        <w:spacing w:after="0" w:line="480" w:lineRule="auto"/>
        <w:jc w:val="both"/>
        <w:rPr>
          <w:rFonts w:ascii="Arial" w:hAnsi="Arial" w:cs="Arial"/>
          <w:b/>
          <w:bCs/>
          <w:color w:val="000000" w:themeColor="text1"/>
          <w:sz w:val="24"/>
          <w:szCs w:val="24"/>
          <w:lang w:val="en-US"/>
        </w:rPr>
      </w:pPr>
      <w:r w:rsidRPr="00F83D6B">
        <w:rPr>
          <w:rFonts w:ascii="Arial" w:hAnsi="Arial" w:cs="Arial"/>
          <w:b/>
          <w:bCs/>
          <w:color w:val="000000" w:themeColor="text1"/>
          <w:sz w:val="24"/>
          <w:szCs w:val="24"/>
          <w:lang w:val="en-US"/>
        </w:rPr>
        <w:t>Figure Legends</w:t>
      </w:r>
    </w:p>
    <w:p w14:paraId="56A8E9FA" w14:textId="77777777" w:rsidR="00F83D6B" w:rsidRDefault="00F83D6B" w:rsidP="002D7D75">
      <w:pPr>
        <w:autoSpaceDE w:val="0"/>
        <w:autoSpaceDN w:val="0"/>
        <w:adjustRightInd w:val="0"/>
        <w:spacing w:after="0" w:line="480" w:lineRule="auto"/>
        <w:jc w:val="both"/>
        <w:rPr>
          <w:rFonts w:ascii="Arial" w:hAnsi="Arial" w:cs="Arial"/>
          <w:color w:val="000000" w:themeColor="text1"/>
          <w:lang w:val="en-US"/>
        </w:rPr>
      </w:pPr>
    </w:p>
    <w:p w14:paraId="2924F25D" w14:textId="77777777" w:rsidR="00F83D6B" w:rsidRDefault="00F83D6B" w:rsidP="002D7D75">
      <w:pPr>
        <w:spacing w:line="480" w:lineRule="auto"/>
        <w:jc w:val="both"/>
        <w:rPr>
          <w:rFonts w:ascii="Arial" w:hAnsi="Arial" w:cs="Arial"/>
          <w:sz w:val="24"/>
          <w:szCs w:val="24"/>
          <w:lang w:val="en-US"/>
        </w:rPr>
      </w:pPr>
      <w:r w:rsidRPr="00DA7DF7">
        <w:rPr>
          <w:rFonts w:ascii="Arial" w:hAnsi="Arial" w:cs="Arial"/>
          <w:b/>
          <w:bCs/>
          <w:sz w:val="24"/>
          <w:szCs w:val="24"/>
          <w:lang w:val="en-US"/>
        </w:rPr>
        <w:t>Figure 1.</w:t>
      </w:r>
      <w:r>
        <w:rPr>
          <w:rFonts w:ascii="Arial" w:hAnsi="Arial" w:cs="Arial"/>
          <w:sz w:val="24"/>
          <w:szCs w:val="24"/>
          <w:lang w:val="en-US"/>
        </w:rPr>
        <w:t xml:space="preserve"> </w:t>
      </w:r>
      <w:r w:rsidRPr="00ED7B14">
        <w:rPr>
          <w:rFonts w:ascii="Arial" w:hAnsi="Arial" w:cs="Arial"/>
          <w:b/>
          <w:bCs/>
          <w:sz w:val="24"/>
          <w:szCs w:val="24"/>
          <w:lang w:val="en-US"/>
        </w:rPr>
        <w:t xml:space="preserve">Effect of </w:t>
      </w:r>
      <w:r w:rsidRPr="00ED7B14">
        <w:rPr>
          <w:rFonts w:ascii="Arial" w:hAnsi="Arial" w:cs="Arial"/>
          <w:b/>
          <w:bCs/>
          <w:sz w:val="24"/>
          <w:szCs w:val="24"/>
          <w:lang w:val="en-US"/>
        </w:rPr>
        <w:sym w:font="Symbol" w:char="F061"/>
      </w:r>
      <w:r w:rsidRPr="00ED7B14">
        <w:rPr>
          <w:rFonts w:ascii="Arial" w:hAnsi="Arial" w:cs="Arial"/>
          <w:b/>
          <w:bCs/>
          <w:sz w:val="24"/>
          <w:szCs w:val="24"/>
          <w:lang w:val="en-US"/>
        </w:rPr>
        <w:t>-AED in 4T1 and HCC1937 cells.</w:t>
      </w:r>
      <w:r>
        <w:rPr>
          <w:rFonts w:ascii="Arial" w:hAnsi="Arial" w:cs="Arial"/>
          <w:sz w:val="24"/>
          <w:szCs w:val="24"/>
          <w:lang w:val="en-US"/>
        </w:rPr>
        <w:t xml:space="preserve"> The 4T1 cell line was exposed to vehicle (EtOH 0.2%) and </w:t>
      </w:r>
      <w:r>
        <w:rPr>
          <w:rFonts w:ascii="Arial" w:hAnsi="Arial" w:cs="Arial"/>
          <w:sz w:val="24"/>
          <w:szCs w:val="24"/>
          <w:lang w:val="en-US"/>
        </w:rPr>
        <w:sym w:font="Symbol" w:char="F061"/>
      </w:r>
      <w:r>
        <w:rPr>
          <w:rFonts w:ascii="Arial" w:hAnsi="Arial" w:cs="Arial"/>
          <w:sz w:val="24"/>
          <w:szCs w:val="24"/>
          <w:lang w:val="en-US"/>
        </w:rPr>
        <w:t>-AED 1x10</w:t>
      </w:r>
      <w:r w:rsidRPr="00924BDD">
        <w:rPr>
          <w:rFonts w:ascii="Arial" w:hAnsi="Arial" w:cs="Arial"/>
          <w:sz w:val="24"/>
          <w:szCs w:val="24"/>
          <w:vertAlign w:val="superscript"/>
          <w:lang w:val="en-US"/>
        </w:rPr>
        <w:t>-12</w:t>
      </w:r>
      <w:r>
        <w:rPr>
          <w:rFonts w:ascii="Arial" w:hAnsi="Arial" w:cs="Arial"/>
          <w:sz w:val="24"/>
          <w:szCs w:val="24"/>
          <w:lang w:val="en-US"/>
        </w:rPr>
        <w:t xml:space="preserve"> to 1x10</w:t>
      </w:r>
      <w:r w:rsidRPr="00924BDD">
        <w:rPr>
          <w:rFonts w:ascii="Arial" w:hAnsi="Arial" w:cs="Arial"/>
          <w:sz w:val="24"/>
          <w:szCs w:val="24"/>
          <w:vertAlign w:val="superscript"/>
          <w:lang w:val="en-US"/>
        </w:rPr>
        <w:t>-3.3</w:t>
      </w:r>
      <w:r>
        <w:rPr>
          <w:rFonts w:ascii="Arial" w:hAnsi="Arial" w:cs="Arial"/>
          <w:sz w:val="24"/>
          <w:szCs w:val="24"/>
          <w:lang w:val="en-US"/>
        </w:rPr>
        <w:t xml:space="preserve"> Molar for 72 hours. Cell density was measured through SRB assay. A. Cell viability adjusted as a percentage to obtain half-maximal inhibitory concentration (IC</w:t>
      </w:r>
      <w:r w:rsidRPr="00924BDD">
        <w:rPr>
          <w:rFonts w:ascii="Arial" w:hAnsi="Arial" w:cs="Arial"/>
          <w:sz w:val="24"/>
          <w:szCs w:val="24"/>
          <w:vertAlign w:val="subscript"/>
          <w:lang w:val="en-US"/>
        </w:rPr>
        <w:t>50</w:t>
      </w:r>
      <w:r>
        <w:rPr>
          <w:rFonts w:ascii="Arial" w:hAnsi="Arial" w:cs="Arial"/>
          <w:sz w:val="24"/>
          <w:szCs w:val="24"/>
          <w:lang w:val="en-US"/>
        </w:rPr>
        <w:t xml:space="preserve">). B. Cell density adjusted to the vehicle (Vh). Graphs represent the mean ± SD of the data from three experiments in triplicate. </w:t>
      </w:r>
      <w:r w:rsidRPr="009C5F4D">
        <w:rPr>
          <w:rFonts w:ascii="Arial" w:hAnsi="Arial" w:cs="Arial"/>
          <w:sz w:val="24"/>
          <w:szCs w:val="24"/>
          <w:lang w:val="en-US"/>
        </w:rPr>
        <w:t>C. Cell density of HCC1937 triple-negative breast cancer cells was evaluated after 72 hours of exposure of vehicle (EtOH) or 1x10</w:t>
      </w:r>
      <w:r w:rsidRPr="009C5F4D">
        <w:rPr>
          <w:rFonts w:ascii="Arial" w:hAnsi="Arial" w:cs="Arial"/>
          <w:sz w:val="24"/>
          <w:szCs w:val="24"/>
          <w:vertAlign w:val="superscript"/>
          <w:lang w:val="en-US"/>
        </w:rPr>
        <w:t>-12</w:t>
      </w:r>
      <w:r w:rsidRPr="009C5F4D">
        <w:rPr>
          <w:rFonts w:ascii="Arial" w:hAnsi="Arial" w:cs="Arial"/>
          <w:sz w:val="24"/>
          <w:szCs w:val="24"/>
          <w:lang w:val="en-US"/>
        </w:rPr>
        <w:t xml:space="preserve"> to 1x10</w:t>
      </w:r>
      <w:r w:rsidRPr="009C5F4D">
        <w:rPr>
          <w:rFonts w:ascii="Arial" w:hAnsi="Arial" w:cs="Arial"/>
          <w:sz w:val="24"/>
          <w:szCs w:val="24"/>
          <w:vertAlign w:val="superscript"/>
          <w:lang w:val="en-US"/>
        </w:rPr>
        <w:t>-7</w:t>
      </w:r>
      <w:r w:rsidRPr="009C5F4D">
        <w:rPr>
          <w:rFonts w:ascii="Arial" w:hAnsi="Arial" w:cs="Arial"/>
          <w:sz w:val="24"/>
          <w:szCs w:val="24"/>
          <w:lang w:val="en-US"/>
        </w:rPr>
        <w:t xml:space="preserve"> Molar of </w:t>
      </w:r>
      <w:r w:rsidRPr="009C5F4D">
        <w:rPr>
          <w:rFonts w:ascii="Arial" w:hAnsi="Arial" w:cs="Arial"/>
          <w:sz w:val="24"/>
          <w:szCs w:val="24"/>
          <w:lang w:val="en-US"/>
        </w:rPr>
        <w:sym w:font="Symbol" w:char="F061"/>
      </w:r>
      <w:r w:rsidRPr="009C5F4D">
        <w:rPr>
          <w:rFonts w:ascii="Arial" w:hAnsi="Arial" w:cs="Arial"/>
          <w:sz w:val="24"/>
          <w:szCs w:val="24"/>
          <w:lang w:val="en-US"/>
        </w:rPr>
        <w:t>-AED. Each bar represents the mean ± standard deviation of three different experiments realized by triplicate (*, p ≤ 0.05).</w:t>
      </w:r>
      <w:r>
        <w:rPr>
          <w:rFonts w:ascii="Arial" w:hAnsi="Arial" w:cs="Arial"/>
          <w:sz w:val="24"/>
          <w:szCs w:val="24"/>
          <w:lang w:val="en-US"/>
        </w:rPr>
        <w:t xml:space="preserve"> D. BrdU incorporation was determined in proliferative cells: offset histogram (left) and separated histograms of untreated 4T1 cells (M, Medium), treated with vehicle (Vh), </w:t>
      </w:r>
      <w:r>
        <w:rPr>
          <w:rFonts w:ascii="Arial" w:hAnsi="Arial" w:cs="Arial"/>
          <w:sz w:val="24"/>
          <w:szCs w:val="24"/>
          <w:lang w:val="en-US"/>
        </w:rPr>
        <w:sym w:font="Symbol" w:char="F061"/>
      </w:r>
      <w:r>
        <w:rPr>
          <w:rFonts w:ascii="Arial" w:hAnsi="Arial" w:cs="Arial"/>
          <w:sz w:val="24"/>
          <w:szCs w:val="24"/>
          <w:lang w:val="en-US"/>
        </w:rPr>
        <w:t xml:space="preserve">-AED 100 </w:t>
      </w:r>
      <w:r>
        <w:rPr>
          <w:rFonts w:ascii="Arial" w:hAnsi="Arial" w:cs="Arial"/>
          <w:sz w:val="24"/>
          <w:szCs w:val="24"/>
          <w:lang w:val="en-US"/>
        </w:rPr>
        <w:sym w:font="Symbol" w:char="F06D"/>
      </w:r>
      <w:r>
        <w:rPr>
          <w:rFonts w:ascii="Arial" w:hAnsi="Arial" w:cs="Arial"/>
          <w:sz w:val="24"/>
          <w:szCs w:val="24"/>
          <w:lang w:val="en-US"/>
        </w:rPr>
        <w:t xml:space="preserve">M and 200 </w:t>
      </w:r>
      <w:r>
        <w:rPr>
          <w:rFonts w:ascii="Arial" w:hAnsi="Arial" w:cs="Arial"/>
          <w:sz w:val="24"/>
          <w:szCs w:val="24"/>
          <w:lang w:val="en-US"/>
        </w:rPr>
        <w:sym w:font="Symbol" w:char="F06D"/>
      </w:r>
      <w:r>
        <w:rPr>
          <w:rFonts w:ascii="Arial" w:hAnsi="Arial" w:cs="Arial"/>
          <w:sz w:val="24"/>
          <w:szCs w:val="24"/>
          <w:lang w:val="en-US"/>
        </w:rPr>
        <w:t>M (1x10</w:t>
      </w:r>
      <w:r w:rsidRPr="00924BDD">
        <w:rPr>
          <w:rFonts w:ascii="Arial" w:hAnsi="Arial" w:cs="Arial"/>
          <w:sz w:val="24"/>
          <w:szCs w:val="24"/>
          <w:vertAlign w:val="superscript"/>
          <w:lang w:val="en-US"/>
        </w:rPr>
        <w:t>-4</w:t>
      </w:r>
      <w:r>
        <w:rPr>
          <w:rFonts w:ascii="Arial" w:hAnsi="Arial" w:cs="Arial"/>
          <w:sz w:val="24"/>
          <w:szCs w:val="24"/>
          <w:lang w:val="en-US"/>
        </w:rPr>
        <w:t>-and 1x10</w:t>
      </w:r>
      <w:r w:rsidRPr="00924BDD">
        <w:rPr>
          <w:rFonts w:ascii="Arial" w:hAnsi="Arial" w:cs="Arial"/>
          <w:sz w:val="24"/>
          <w:szCs w:val="24"/>
          <w:vertAlign w:val="superscript"/>
          <w:lang w:val="en-US"/>
        </w:rPr>
        <w:t>-3.3</w:t>
      </w:r>
      <w:r>
        <w:rPr>
          <w:rFonts w:ascii="Arial" w:hAnsi="Arial" w:cs="Arial"/>
          <w:sz w:val="24"/>
          <w:szCs w:val="24"/>
          <w:lang w:val="en-US"/>
        </w:rPr>
        <w:t xml:space="preserve"> Molar). D. Percentage of proliferating cells. Graph represent the mean ± SD of the data from four experiments (Medium, n = 6; Vh, n 6; AED 100 </w:t>
      </w:r>
      <w:r>
        <w:rPr>
          <w:rFonts w:ascii="Arial" w:hAnsi="Arial" w:cs="Arial"/>
          <w:sz w:val="24"/>
          <w:szCs w:val="24"/>
          <w:lang w:val="en-US"/>
        </w:rPr>
        <w:sym w:font="Symbol" w:char="F06D"/>
      </w:r>
      <w:r>
        <w:rPr>
          <w:rFonts w:ascii="Arial" w:hAnsi="Arial" w:cs="Arial"/>
          <w:sz w:val="24"/>
          <w:szCs w:val="24"/>
          <w:lang w:val="en-US"/>
        </w:rPr>
        <w:t xml:space="preserve">M, n = 4; AED 100 </w:t>
      </w:r>
      <w:r>
        <w:rPr>
          <w:rFonts w:ascii="Arial" w:hAnsi="Arial" w:cs="Arial"/>
          <w:sz w:val="24"/>
          <w:szCs w:val="24"/>
          <w:lang w:val="en-US"/>
        </w:rPr>
        <w:sym w:font="Symbol" w:char="F06D"/>
      </w:r>
      <w:r>
        <w:rPr>
          <w:rFonts w:ascii="Arial" w:hAnsi="Arial" w:cs="Arial"/>
          <w:sz w:val="24"/>
          <w:szCs w:val="24"/>
          <w:lang w:val="en-US"/>
        </w:rPr>
        <w:t xml:space="preserve">M, n = 4). Statistical significance was calculated using </w:t>
      </w:r>
      <w:r>
        <w:rPr>
          <w:rFonts w:ascii="Arial" w:eastAsia="Times New Roman" w:hAnsi="Arial" w:cs="Arial"/>
          <w:sz w:val="24"/>
          <w:szCs w:val="24"/>
          <w:lang w:val="en-US"/>
        </w:rPr>
        <w:t xml:space="preserve">Kruskal-Wallis test </w:t>
      </w:r>
      <w:r>
        <w:rPr>
          <w:rFonts w:ascii="Arial" w:hAnsi="Arial" w:cs="Arial"/>
          <w:sz w:val="24"/>
          <w:szCs w:val="24"/>
          <w:lang w:val="en-US"/>
        </w:rPr>
        <w:t>(*, p ≤ 0.05; **, p ≤ 0.01).</w:t>
      </w:r>
    </w:p>
    <w:p w14:paraId="0972ABC3" w14:textId="77777777" w:rsidR="00F83D6B" w:rsidRDefault="00F83D6B" w:rsidP="002D7D75">
      <w:pPr>
        <w:spacing w:line="480" w:lineRule="auto"/>
        <w:jc w:val="both"/>
        <w:rPr>
          <w:rFonts w:ascii="Arial" w:hAnsi="Arial" w:cs="Arial"/>
          <w:sz w:val="24"/>
          <w:szCs w:val="24"/>
          <w:lang w:val="en-US"/>
        </w:rPr>
      </w:pPr>
    </w:p>
    <w:p w14:paraId="0F340061" w14:textId="77777777" w:rsidR="00F83D6B" w:rsidRDefault="00F83D6B" w:rsidP="002D7D75">
      <w:pPr>
        <w:spacing w:line="480" w:lineRule="auto"/>
        <w:jc w:val="both"/>
        <w:rPr>
          <w:rFonts w:ascii="Arial" w:hAnsi="Arial" w:cs="Arial"/>
          <w:sz w:val="24"/>
          <w:szCs w:val="24"/>
          <w:lang w:val="en-US"/>
        </w:rPr>
      </w:pPr>
      <w:r w:rsidRPr="00DA7DF7">
        <w:rPr>
          <w:rFonts w:ascii="Arial" w:hAnsi="Arial" w:cs="Arial"/>
          <w:b/>
          <w:bCs/>
          <w:sz w:val="24"/>
          <w:szCs w:val="24"/>
          <w:lang w:val="en-US"/>
        </w:rPr>
        <w:t>Figure 2</w:t>
      </w:r>
      <w:r>
        <w:rPr>
          <w:rFonts w:ascii="Arial" w:hAnsi="Arial" w:cs="Arial"/>
          <w:sz w:val="24"/>
          <w:szCs w:val="24"/>
          <w:lang w:val="en-US"/>
        </w:rPr>
        <w:t xml:space="preserve">. </w:t>
      </w:r>
      <w:r w:rsidRPr="00ED7B14">
        <w:rPr>
          <w:rFonts w:ascii="Arial" w:hAnsi="Arial" w:cs="Arial"/>
          <w:b/>
          <w:bCs/>
          <w:sz w:val="24"/>
          <w:szCs w:val="24"/>
          <w:lang w:val="en-US"/>
        </w:rPr>
        <w:t xml:space="preserve">Effect of </w:t>
      </w:r>
      <w:r w:rsidRPr="00ED7B14">
        <w:rPr>
          <w:rFonts w:ascii="Arial" w:hAnsi="Arial" w:cs="Arial"/>
          <w:b/>
          <w:bCs/>
          <w:sz w:val="24"/>
          <w:szCs w:val="24"/>
          <w:lang w:val="en-US"/>
        </w:rPr>
        <w:sym w:font="Symbol" w:char="F061"/>
      </w:r>
      <w:r w:rsidRPr="00ED7B14">
        <w:rPr>
          <w:rFonts w:ascii="Arial" w:hAnsi="Arial" w:cs="Arial"/>
          <w:b/>
          <w:bCs/>
          <w:sz w:val="24"/>
          <w:szCs w:val="24"/>
          <w:lang w:val="en-US"/>
        </w:rPr>
        <w:t>-AED in 4T1 tumor growth in BALB/c mice</w:t>
      </w:r>
      <w:r>
        <w:rPr>
          <w:rFonts w:ascii="Arial" w:hAnsi="Arial" w:cs="Arial"/>
          <w:sz w:val="24"/>
          <w:szCs w:val="24"/>
          <w:lang w:val="en-US"/>
        </w:rPr>
        <w:t xml:space="preserve">. After 14 days of growth tumors were injected with vehicle -corn oil 40 </w:t>
      </w:r>
      <w:r>
        <w:rPr>
          <w:rFonts w:ascii="Arial" w:hAnsi="Arial" w:cs="Arial"/>
          <w:sz w:val="24"/>
          <w:szCs w:val="24"/>
          <w:lang w:val="en-US"/>
        </w:rPr>
        <w:sym w:font="Symbol" w:char="F06D"/>
      </w:r>
      <w:r>
        <w:rPr>
          <w:rFonts w:ascii="Arial" w:hAnsi="Arial" w:cs="Arial"/>
          <w:sz w:val="24"/>
          <w:szCs w:val="24"/>
          <w:lang w:val="en-US"/>
        </w:rPr>
        <w:t xml:space="preserve">l- (Vh), </w:t>
      </w:r>
      <w:r>
        <w:rPr>
          <w:rFonts w:ascii="Arial" w:hAnsi="Arial" w:cs="Arial"/>
          <w:sz w:val="24"/>
          <w:szCs w:val="24"/>
          <w:lang w:val="en-US"/>
        </w:rPr>
        <w:sym w:font="Symbol" w:char="F061"/>
      </w:r>
      <w:r>
        <w:rPr>
          <w:rFonts w:ascii="Arial" w:hAnsi="Arial" w:cs="Arial"/>
          <w:sz w:val="24"/>
          <w:szCs w:val="24"/>
          <w:lang w:val="en-US"/>
        </w:rPr>
        <w:t xml:space="preserve">-AED 100 </w:t>
      </w:r>
      <w:r>
        <w:rPr>
          <w:rFonts w:ascii="Arial" w:hAnsi="Arial" w:cs="Arial"/>
          <w:sz w:val="24"/>
          <w:szCs w:val="24"/>
          <w:lang w:val="en-US"/>
        </w:rPr>
        <w:sym w:font="Symbol" w:char="F06D"/>
      </w:r>
      <w:r>
        <w:rPr>
          <w:rFonts w:ascii="Arial" w:hAnsi="Arial" w:cs="Arial"/>
          <w:sz w:val="24"/>
          <w:szCs w:val="24"/>
          <w:lang w:val="en-US"/>
        </w:rPr>
        <w:t>M (1x10</w:t>
      </w:r>
      <w:r w:rsidRPr="00FC1CCE">
        <w:rPr>
          <w:rFonts w:ascii="Arial" w:hAnsi="Arial" w:cs="Arial"/>
          <w:sz w:val="24"/>
          <w:szCs w:val="24"/>
          <w:vertAlign w:val="superscript"/>
          <w:lang w:val="en-US"/>
        </w:rPr>
        <w:t>-4</w:t>
      </w:r>
      <w:r>
        <w:rPr>
          <w:rFonts w:ascii="Arial" w:hAnsi="Arial" w:cs="Arial"/>
          <w:sz w:val="24"/>
          <w:szCs w:val="24"/>
          <w:lang w:val="en-US"/>
        </w:rPr>
        <w:t xml:space="preserve"> Molar) or 200 </w:t>
      </w:r>
      <w:r>
        <w:rPr>
          <w:rFonts w:ascii="Arial" w:hAnsi="Arial" w:cs="Arial"/>
          <w:sz w:val="24"/>
          <w:szCs w:val="24"/>
          <w:lang w:val="en-US"/>
        </w:rPr>
        <w:sym w:font="Symbol" w:char="F06D"/>
      </w:r>
      <w:r>
        <w:rPr>
          <w:rFonts w:ascii="Arial" w:hAnsi="Arial" w:cs="Arial"/>
          <w:sz w:val="24"/>
          <w:szCs w:val="24"/>
          <w:lang w:val="en-US"/>
        </w:rPr>
        <w:t>M (1x10</w:t>
      </w:r>
      <w:r w:rsidRPr="00FC1CCE">
        <w:rPr>
          <w:rFonts w:ascii="Arial" w:hAnsi="Arial" w:cs="Arial"/>
          <w:sz w:val="24"/>
          <w:szCs w:val="24"/>
          <w:vertAlign w:val="superscript"/>
          <w:lang w:val="en-US"/>
        </w:rPr>
        <w:t>-3.3</w:t>
      </w:r>
      <w:r>
        <w:rPr>
          <w:rFonts w:ascii="Arial" w:hAnsi="Arial" w:cs="Arial"/>
          <w:sz w:val="24"/>
          <w:szCs w:val="24"/>
          <w:lang w:val="en-US"/>
        </w:rPr>
        <w:t xml:space="preserve"> Molar), and excised after 28 days of tumor development. A. Tumor weight from intact tumors (4T1), Vh, </w:t>
      </w:r>
      <w:r>
        <w:rPr>
          <w:rFonts w:ascii="Arial" w:hAnsi="Arial" w:cs="Arial"/>
          <w:sz w:val="24"/>
          <w:szCs w:val="24"/>
          <w:lang w:val="en-US"/>
        </w:rPr>
        <w:sym w:font="Symbol" w:char="F061"/>
      </w:r>
      <w:r>
        <w:rPr>
          <w:rFonts w:ascii="Arial" w:hAnsi="Arial" w:cs="Arial"/>
          <w:sz w:val="24"/>
          <w:szCs w:val="24"/>
          <w:lang w:val="en-US"/>
        </w:rPr>
        <w:t xml:space="preserve">-AED 100 </w:t>
      </w:r>
      <w:r>
        <w:rPr>
          <w:rFonts w:ascii="Arial" w:hAnsi="Arial" w:cs="Arial"/>
          <w:sz w:val="24"/>
          <w:szCs w:val="24"/>
          <w:lang w:val="en-US"/>
        </w:rPr>
        <w:sym w:font="Symbol" w:char="F06D"/>
      </w:r>
      <w:r>
        <w:rPr>
          <w:rFonts w:ascii="Arial" w:hAnsi="Arial" w:cs="Arial"/>
          <w:sz w:val="24"/>
          <w:szCs w:val="24"/>
          <w:lang w:val="en-US"/>
        </w:rPr>
        <w:t xml:space="preserve">M and </w:t>
      </w:r>
      <w:r>
        <w:rPr>
          <w:rFonts w:ascii="Arial" w:hAnsi="Arial" w:cs="Arial"/>
          <w:sz w:val="24"/>
          <w:szCs w:val="24"/>
          <w:lang w:val="en-US"/>
        </w:rPr>
        <w:sym w:font="Symbol" w:char="F061"/>
      </w:r>
      <w:r>
        <w:rPr>
          <w:rFonts w:ascii="Arial" w:hAnsi="Arial" w:cs="Arial"/>
          <w:sz w:val="24"/>
          <w:szCs w:val="24"/>
          <w:lang w:val="en-US"/>
        </w:rPr>
        <w:t xml:space="preserve">-AED 200 </w:t>
      </w:r>
      <w:r>
        <w:rPr>
          <w:rFonts w:ascii="Arial" w:hAnsi="Arial" w:cs="Arial"/>
          <w:sz w:val="24"/>
          <w:szCs w:val="24"/>
          <w:lang w:val="en-US"/>
        </w:rPr>
        <w:sym w:font="Symbol" w:char="F06D"/>
      </w:r>
      <w:r>
        <w:rPr>
          <w:rFonts w:ascii="Arial" w:hAnsi="Arial" w:cs="Arial"/>
          <w:sz w:val="24"/>
          <w:szCs w:val="24"/>
          <w:lang w:val="en-US"/>
        </w:rPr>
        <w:t xml:space="preserve">M groups. (B) Representative images of tumors from all groups. Millimetric grid as a background; black bar </w:t>
      </w:r>
      <w:r>
        <w:rPr>
          <w:rFonts w:ascii="Arial" w:eastAsia="MTSY" w:hAnsi="Arial" w:cs="Arial"/>
          <w:sz w:val="24"/>
          <w:szCs w:val="24"/>
          <w:lang w:val="en-US"/>
        </w:rPr>
        <w:t xml:space="preserve">= </w:t>
      </w:r>
      <w:r>
        <w:rPr>
          <w:rFonts w:ascii="Arial" w:hAnsi="Arial" w:cs="Arial"/>
          <w:sz w:val="24"/>
          <w:szCs w:val="24"/>
          <w:lang w:val="en-US"/>
        </w:rPr>
        <w:t xml:space="preserve">0.5 cm. </w:t>
      </w:r>
      <w:r>
        <w:rPr>
          <w:rFonts w:ascii="Arial" w:hAnsi="Arial" w:cs="Arial"/>
          <w:sz w:val="24"/>
          <w:szCs w:val="24"/>
          <w:lang w:val="en-US"/>
        </w:rPr>
        <w:lastRenderedPageBreak/>
        <w:t>Graphs represent the mean</w:t>
      </w:r>
      <w:r>
        <w:rPr>
          <w:rFonts w:ascii="Arial" w:hAnsi="Arial" w:cs="Arial"/>
          <w:sz w:val="24"/>
          <w:szCs w:val="24"/>
          <w:lang w:val="en-US"/>
        </w:rPr>
        <w:sym w:font="Symbol" w:char="F0B1"/>
      </w:r>
      <w:r>
        <w:rPr>
          <w:rFonts w:ascii="Arial" w:hAnsi="Arial" w:cs="Arial"/>
          <w:sz w:val="24"/>
          <w:szCs w:val="24"/>
          <w:lang w:val="en-US"/>
        </w:rPr>
        <w:t xml:space="preserve">SD of the data from three experiments. Statistical significance was calculated using </w:t>
      </w:r>
      <w:r>
        <w:rPr>
          <w:rFonts w:ascii="Arial" w:eastAsia="Times New Roman" w:hAnsi="Arial" w:cs="Arial"/>
          <w:sz w:val="24"/>
          <w:szCs w:val="24"/>
          <w:lang w:val="en-US"/>
        </w:rPr>
        <w:t>Kruskal-Wallis test</w:t>
      </w:r>
      <w:r>
        <w:rPr>
          <w:rFonts w:ascii="Arial" w:hAnsi="Arial" w:cs="Arial"/>
          <w:sz w:val="24"/>
          <w:szCs w:val="24"/>
          <w:lang w:val="en-US"/>
        </w:rPr>
        <w:t xml:space="preserve"> (*, p ≤ 0.05; ****, p ≤ 0.0001).</w:t>
      </w:r>
    </w:p>
    <w:p w14:paraId="58FF46FA" w14:textId="77777777" w:rsidR="00F83D6B" w:rsidRDefault="00F83D6B" w:rsidP="002D7D75">
      <w:pPr>
        <w:spacing w:line="480" w:lineRule="auto"/>
        <w:jc w:val="both"/>
        <w:rPr>
          <w:rFonts w:ascii="Arial" w:hAnsi="Arial" w:cs="Arial"/>
          <w:sz w:val="24"/>
          <w:szCs w:val="24"/>
          <w:lang w:val="en-US"/>
        </w:rPr>
      </w:pPr>
    </w:p>
    <w:p w14:paraId="5452D86F" w14:textId="77777777" w:rsidR="00F83D6B" w:rsidRDefault="00F83D6B" w:rsidP="002D7D75">
      <w:pPr>
        <w:spacing w:line="480" w:lineRule="auto"/>
        <w:jc w:val="both"/>
        <w:rPr>
          <w:rFonts w:ascii="Arial" w:hAnsi="Arial" w:cs="Arial"/>
          <w:sz w:val="24"/>
          <w:szCs w:val="24"/>
          <w:lang w:val="en-US"/>
        </w:rPr>
      </w:pPr>
      <w:r w:rsidRPr="00860DE2">
        <w:rPr>
          <w:rFonts w:ascii="Arial" w:hAnsi="Arial" w:cs="Arial"/>
          <w:b/>
          <w:bCs/>
          <w:sz w:val="24"/>
          <w:szCs w:val="24"/>
          <w:lang w:val="en-US"/>
        </w:rPr>
        <w:t>Figure 3.</w:t>
      </w:r>
      <w:r>
        <w:rPr>
          <w:rFonts w:ascii="Arial" w:hAnsi="Arial" w:cs="Arial"/>
          <w:sz w:val="24"/>
          <w:szCs w:val="24"/>
          <w:lang w:val="en-US"/>
        </w:rPr>
        <w:t xml:space="preserve"> </w:t>
      </w:r>
      <w:r w:rsidRPr="00ED7B14">
        <w:rPr>
          <w:rFonts w:ascii="Arial" w:hAnsi="Arial" w:cs="Arial"/>
          <w:b/>
          <w:bCs/>
          <w:sz w:val="24"/>
          <w:szCs w:val="24"/>
          <w:lang w:val="en-US"/>
        </w:rPr>
        <w:t xml:space="preserve">Effect of </w:t>
      </w:r>
      <w:r w:rsidRPr="00ED7B14">
        <w:rPr>
          <w:rFonts w:ascii="Arial" w:hAnsi="Arial" w:cs="Arial"/>
          <w:b/>
          <w:bCs/>
          <w:sz w:val="24"/>
          <w:szCs w:val="24"/>
          <w:lang w:val="en-US"/>
        </w:rPr>
        <w:sym w:font="Symbol" w:char="F061"/>
      </w:r>
      <w:r w:rsidRPr="00ED7B14">
        <w:rPr>
          <w:rFonts w:ascii="Arial" w:hAnsi="Arial" w:cs="Arial"/>
          <w:b/>
          <w:bCs/>
          <w:sz w:val="24"/>
          <w:szCs w:val="24"/>
          <w:lang w:val="en-US"/>
        </w:rPr>
        <w:t>-AED in 4T1 tumor growth in BALB/c mice</w:t>
      </w:r>
      <w:r>
        <w:rPr>
          <w:rFonts w:ascii="Arial" w:hAnsi="Arial" w:cs="Arial"/>
          <w:sz w:val="24"/>
          <w:szCs w:val="24"/>
          <w:lang w:val="en-US"/>
        </w:rPr>
        <w:t xml:space="preserve">. After 14 days of growth tumors were injected with the vehicle -corn oil 40 </w:t>
      </w:r>
      <w:r>
        <w:rPr>
          <w:rFonts w:ascii="Arial" w:hAnsi="Arial" w:cs="Arial"/>
          <w:sz w:val="24"/>
          <w:szCs w:val="24"/>
          <w:lang w:val="en-US"/>
        </w:rPr>
        <w:sym w:font="Symbol" w:char="F06D"/>
      </w:r>
      <w:r>
        <w:rPr>
          <w:rFonts w:ascii="Arial" w:hAnsi="Arial" w:cs="Arial"/>
          <w:sz w:val="24"/>
          <w:szCs w:val="24"/>
          <w:lang w:val="en-US"/>
        </w:rPr>
        <w:t xml:space="preserve">l- (Vh), </w:t>
      </w:r>
      <w:r>
        <w:rPr>
          <w:rFonts w:ascii="Arial" w:hAnsi="Arial" w:cs="Arial"/>
          <w:sz w:val="24"/>
          <w:szCs w:val="24"/>
          <w:lang w:val="en-US"/>
        </w:rPr>
        <w:sym w:font="Symbol" w:char="F061"/>
      </w:r>
      <w:r>
        <w:rPr>
          <w:rFonts w:ascii="Arial" w:hAnsi="Arial" w:cs="Arial"/>
          <w:sz w:val="24"/>
          <w:szCs w:val="24"/>
          <w:lang w:val="en-US"/>
        </w:rPr>
        <w:t xml:space="preserve">-AED 100 </w:t>
      </w:r>
      <w:r>
        <w:rPr>
          <w:rFonts w:ascii="Arial" w:hAnsi="Arial" w:cs="Arial"/>
          <w:sz w:val="24"/>
          <w:szCs w:val="24"/>
          <w:lang w:val="en-US"/>
        </w:rPr>
        <w:sym w:font="Symbol" w:char="F06D"/>
      </w:r>
      <w:r>
        <w:rPr>
          <w:rFonts w:ascii="Arial" w:hAnsi="Arial" w:cs="Arial"/>
          <w:sz w:val="24"/>
          <w:szCs w:val="24"/>
          <w:lang w:val="en-US"/>
        </w:rPr>
        <w:t>M (1x10</w:t>
      </w:r>
      <w:r w:rsidRPr="00FC1CCE">
        <w:rPr>
          <w:rFonts w:ascii="Arial" w:hAnsi="Arial" w:cs="Arial"/>
          <w:sz w:val="24"/>
          <w:szCs w:val="24"/>
          <w:vertAlign w:val="superscript"/>
          <w:lang w:val="en-US"/>
        </w:rPr>
        <w:t>-4</w:t>
      </w:r>
      <w:r>
        <w:rPr>
          <w:rFonts w:ascii="Arial" w:hAnsi="Arial" w:cs="Arial"/>
          <w:sz w:val="24"/>
          <w:szCs w:val="24"/>
          <w:lang w:val="en-US"/>
        </w:rPr>
        <w:t xml:space="preserve"> Molar) and 200 </w:t>
      </w:r>
      <w:r>
        <w:rPr>
          <w:rFonts w:ascii="Arial" w:hAnsi="Arial" w:cs="Arial"/>
          <w:sz w:val="24"/>
          <w:szCs w:val="24"/>
          <w:lang w:val="en-US"/>
        </w:rPr>
        <w:sym w:font="Symbol" w:char="F06D"/>
      </w:r>
      <w:r>
        <w:rPr>
          <w:rFonts w:ascii="Arial" w:hAnsi="Arial" w:cs="Arial"/>
          <w:sz w:val="24"/>
          <w:szCs w:val="24"/>
          <w:lang w:val="en-US"/>
        </w:rPr>
        <w:t>M (1x10</w:t>
      </w:r>
      <w:r w:rsidRPr="00FC1CCE">
        <w:rPr>
          <w:rFonts w:ascii="Arial" w:hAnsi="Arial" w:cs="Arial"/>
          <w:sz w:val="24"/>
          <w:szCs w:val="24"/>
          <w:vertAlign w:val="superscript"/>
          <w:lang w:val="en-US"/>
        </w:rPr>
        <w:t>-3.3</w:t>
      </w:r>
      <w:r>
        <w:rPr>
          <w:rFonts w:ascii="Arial" w:hAnsi="Arial" w:cs="Arial"/>
          <w:sz w:val="24"/>
          <w:szCs w:val="24"/>
          <w:lang w:val="en-US"/>
        </w:rPr>
        <w:t xml:space="preserve"> Molar), and excised after 28 days of tumor development. A. Tumor weight from intact tumors (4T1), Vh, </w:t>
      </w:r>
      <w:r>
        <w:rPr>
          <w:rFonts w:ascii="Arial" w:hAnsi="Arial" w:cs="Arial"/>
          <w:sz w:val="24"/>
          <w:szCs w:val="24"/>
          <w:lang w:val="en-US"/>
        </w:rPr>
        <w:sym w:font="Symbol" w:char="F061"/>
      </w:r>
      <w:r>
        <w:rPr>
          <w:rFonts w:ascii="Arial" w:hAnsi="Arial" w:cs="Arial"/>
          <w:sz w:val="24"/>
          <w:szCs w:val="24"/>
          <w:lang w:val="en-US"/>
        </w:rPr>
        <w:t xml:space="preserve">-AED 100 </w:t>
      </w:r>
      <w:r>
        <w:rPr>
          <w:rFonts w:ascii="Arial" w:hAnsi="Arial" w:cs="Arial"/>
          <w:sz w:val="24"/>
          <w:szCs w:val="24"/>
          <w:lang w:val="en-US"/>
        </w:rPr>
        <w:sym w:font="Symbol" w:char="F06D"/>
      </w:r>
      <w:r>
        <w:rPr>
          <w:rFonts w:ascii="Arial" w:hAnsi="Arial" w:cs="Arial"/>
          <w:sz w:val="24"/>
          <w:szCs w:val="24"/>
          <w:lang w:val="en-US"/>
        </w:rPr>
        <w:t xml:space="preserve">M and </w:t>
      </w:r>
      <w:r>
        <w:rPr>
          <w:rFonts w:ascii="Arial" w:hAnsi="Arial" w:cs="Arial"/>
          <w:sz w:val="24"/>
          <w:szCs w:val="24"/>
          <w:lang w:val="en-US"/>
        </w:rPr>
        <w:sym w:font="Symbol" w:char="F061"/>
      </w:r>
      <w:r>
        <w:rPr>
          <w:rFonts w:ascii="Arial" w:hAnsi="Arial" w:cs="Arial"/>
          <w:sz w:val="24"/>
          <w:szCs w:val="24"/>
          <w:lang w:val="en-US"/>
        </w:rPr>
        <w:t xml:space="preserve">-AED 200 </w:t>
      </w:r>
      <w:r>
        <w:rPr>
          <w:rFonts w:ascii="Arial" w:hAnsi="Arial" w:cs="Arial"/>
          <w:sz w:val="24"/>
          <w:szCs w:val="24"/>
          <w:lang w:val="en-US"/>
        </w:rPr>
        <w:sym w:font="Symbol" w:char="F06D"/>
      </w:r>
      <w:r>
        <w:rPr>
          <w:rFonts w:ascii="Arial" w:hAnsi="Arial" w:cs="Arial"/>
          <w:sz w:val="24"/>
          <w:szCs w:val="24"/>
          <w:lang w:val="en-US"/>
        </w:rPr>
        <w:t xml:space="preserve">M groups. (B) Representative images of tumors from all groups. Millimetric grid as a background; black bar </w:t>
      </w:r>
      <w:r>
        <w:rPr>
          <w:rFonts w:ascii="Arial" w:eastAsia="MTSY" w:hAnsi="Arial" w:cs="Arial"/>
          <w:sz w:val="24"/>
          <w:szCs w:val="24"/>
          <w:lang w:val="en-US"/>
        </w:rPr>
        <w:t xml:space="preserve">= </w:t>
      </w:r>
      <w:r>
        <w:rPr>
          <w:rFonts w:ascii="Arial" w:hAnsi="Arial" w:cs="Arial"/>
          <w:sz w:val="24"/>
          <w:szCs w:val="24"/>
          <w:lang w:val="en-US"/>
        </w:rPr>
        <w:t>0.5 cm. Graphs represent the mean</w:t>
      </w:r>
      <w:r>
        <w:rPr>
          <w:rFonts w:ascii="Arial" w:hAnsi="Arial" w:cs="Arial"/>
          <w:sz w:val="24"/>
          <w:szCs w:val="24"/>
          <w:lang w:val="en-US"/>
        </w:rPr>
        <w:sym w:font="Symbol" w:char="F0B1"/>
      </w:r>
      <w:r>
        <w:rPr>
          <w:rFonts w:ascii="Arial" w:hAnsi="Arial" w:cs="Arial"/>
          <w:sz w:val="24"/>
          <w:szCs w:val="24"/>
          <w:lang w:val="en-US"/>
        </w:rPr>
        <w:t xml:space="preserve">SD of the data from three experiments. Statistical significance was calculated using </w:t>
      </w:r>
      <w:r>
        <w:rPr>
          <w:rFonts w:ascii="Arial" w:eastAsia="Times New Roman" w:hAnsi="Arial" w:cs="Arial"/>
          <w:sz w:val="24"/>
          <w:szCs w:val="24"/>
          <w:lang w:val="en-US"/>
        </w:rPr>
        <w:t>Kruskal-Wallis test</w:t>
      </w:r>
      <w:r>
        <w:rPr>
          <w:rFonts w:ascii="Arial" w:hAnsi="Arial" w:cs="Arial"/>
          <w:sz w:val="24"/>
          <w:szCs w:val="24"/>
          <w:lang w:val="en-US"/>
        </w:rPr>
        <w:t xml:space="preserve"> (*, p ≤ 0.05; ****, p ≤ 0.0001).</w:t>
      </w:r>
    </w:p>
    <w:p w14:paraId="0945FE95" w14:textId="77777777" w:rsidR="00F83D6B" w:rsidRDefault="00F83D6B" w:rsidP="002D7D75">
      <w:pPr>
        <w:spacing w:line="480" w:lineRule="auto"/>
        <w:jc w:val="both"/>
        <w:rPr>
          <w:rFonts w:ascii="Arial" w:hAnsi="Arial" w:cs="Arial"/>
          <w:sz w:val="24"/>
          <w:szCs w:val="24"/>
          <w:lang w:val="en-US"/>
        </w:rPr>
      </w:pPr>
    </w:p>
    <w:p w14:paraId="5D444EF4"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r w:rsidRPr="00B72173">
        <w:rPr>
          <w:rFonts w:ascii="Arial" w:hAnsi="Arial" w:cs="Arial"/>
          <w:b/>
          <w:bCs/>
          <w:sz w:val="24"/>
          <w:szCs w:val="24"/>
          <w:lang w:val="en-US"/>
        </w:rPr>
        <w:t>Figure 4.</w:t>
      </w:r>
      <w:r>
        <w:rPr>
          <w:rFonts w:ascii="Arial" w:hAnsi="Arial" w:cs="Arial"/>
          <w:sz w:val="24"/>
          <w:szCs w:val="24"/>
          <w:lang w:val="en-US"/>
        </w:rPr>
        <w:t xml:space="preserve"> </w:t>
      </w:r>
      <w:r w:rsidRPr="00ED7B14">
        <w:rPr>
          <w:rFonts w:ascii="Arial" w:hAnsi="Arial" w:cs="Arial"/>
          <w:b/>
          <w:bCs/>
          <w:sz w:val="24"/>
          <w:szCs w:val="24"/>
          <w:lang w:val="en-US"/>
        </w:rPr>
        <w:t xml:space="preserve">Effect of intratumoral </w:t>
      </w:r>
      <w:r w:rsidRPr="00ED7B14">
        <w:rPr>
          <w:rFonts w:ascii="Arial" w:hAnsi="Arial" w:cs="Arial"/>
          <w:b/>
          <w:bCs/>
          <w:sz w:val="24"/>
          <w:szCs w:val="24"/>
          <w:lang w:val="en-US"/>
        </w:rPr>
        <w:sym w:font="Symbol" w:char="F061"/>
      </w:r>
      <w:r w:rsidRPr="00ED7B14">
        <w:rPr>
          <w:rFonts w:ascii="Arial" w:hAnsi="Arial" w:cs="Arial"/>
          <w:b/>
          <w:bCs/>
          <w:sz w:val="24"/>
          <w:szCs w:val="24"/>
          <w:lang w:val="en-US"/>
        </w:rPr>
        <w:t>-AED treatment on immune cell infiltration in the 4T1 tumor model</w:t>
      </w:r>
      <w:r>
        <w:rPr>
          <w:rFonts w:ascii="Arial" w:hAnsi="Arial" w:cs="Arial"/>
          <w:b/>
          <w:iCs/>
          <w:sz w:val="24"/>
          <w:szCs w:val="24"/>
          <w:lang w:val="en-US"/>
        </w:rPr>
        <w:t xml:space="preserve">. </w:t>
      </w:r>
      <w:r>
        <w:rPr>
          <w:rFonts w:ascii="Arial" w:hAnsi="Arial" w:cs="Arial"/>
          <w:sz w:val="24"/>
          <w:szCs w:val="24"/>
          <w:lang w:val="en-US"/>
        </w:rPr>
        <w:t>Innate and adaptive immune cells in the tumor microenvironment. Determination of innate and adaptive immune subpopulations by flow cytometry within the tumor. A. T CD3</w:t>
      </w:r>
      <w:r>
        <w:rPr>
          <w:rFonts w:ascii="Arial" w:eastAsia="MTSY" w:hAnsi="Arial" w:cs="Arial"/>
          <w:sz w:val="24"/>
          <w:szCs w:val="24"/>
          <w:vertAlign w:val="superscript"/>
          <w:lang w:val="en-US"/>
        </w:rPr>
        <w:t>+</w:t>
      </w:r>
      <w:r>
        <w:rPr>
          <w:rFonts w:ascii="Arial" w:hAnsi="Arial" w:cs="Arial"/>
          <w:sz w:val="24"/>
          <w:szCs w:val="24"/>
          <w:lang w:val="en-US"/>
        </w:rPr>
        <w:t xml:space="preserve"> lymphocytes B. CD8</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T cytotoxic. C</w:t>
      </w:r>
      <w:r w:rsidRPr="00697B1B">
        <w:rPr>
          <w:rFonts w:ascii="Arial" w:hAnsi="Arial" w:cs="Arial"/>
          <w:sz w:val="24"/>
          <w:szCs w:val="24"/>
          <w:lang w:val="en-US"/>
        </w:rPr>
        <w:t xml:space="preserve"> </w:t>
      </w:r>
      <w:r>
        <w:rPr>
          <w:rFonts w:ascii="Arial" w:hAnsi="Arial" w:cs="Arial"/>
          <w:sz w:val="24"/>
          <w:szCs w:val="24"/>
          <w:lang w:val="en-US"/>
        </w:rPr>
        <w:t>helper CD4</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T lymphocytes. D. CD4</w:t>
      </w:r>
      <w:r>
        <w:rPr>
          <w:rFonts w:ascii="Arial" w:eastAsia="MTSY" w:hAnsi="Arial" w:cs="Arial"/>
          <w:sz w:val="24"/>
          <w:szCs w:val="24"/>
          <w:vertAlign w:val="superscript"/>
          <w:lang w:val="en-US"/>
        </w:rPr>
        <w:t>+</w:t>
      </w:r>
      <w:r>
        <w:rPr>
          <w:rFonts w:ascii="Arial" w:hAnsi="Arial" w:cs="Arial"/>
          <w:sz w:val="24"/>
          <w:szCs w:val="24"/>
          <w:lang w:val="en-US"/>
        </w:rPr>
        <w:t>/Foxp3</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lymphocytes. E. F4/80</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macrophages. F. NKp46</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cells. Graphs represent the mean</w:t>
      </w:r>
      <w:r>
        <w:rPr>
          <w:rFonts w:ascii="Arial" w:hAnsi="Arial" w:cs="Arial"/>
          <w:sz w:val="24"/>
          <w:szCs w:val="24"/>
          <w:lang w:val="en-US"/>
        </w:rPr>
        <w:sym w:font="Symbol" w:char="F0B1"/>
      </w:r>
      <w:r>
        <w:rPr>
          <w:rFonts w:ascii="Arial" w:hAnsi="Arial" w:cs="Arial"/>
          <w:sz w:val="24"/>
          <w:szCs w:val="24"/>
          <w:lang w:val="en-US"/>
        </w:rPr>
        <w:t xml:space="preserve">SD of the data from three independent experiments. Representative dot plots of the cytometric analysis of the corresponding population tumor cells (below). Gate from 10,000 cells was collected. Statistical significance was calculated using a Kruskal-Wallis test (**p </w:t>
      </w:r>
      <w:r>
        <w:rPr>
          <w:rFonts w:ascii="Arial" w:eastAsia="MTSY" w:hAnsi="Arial" w:cs="Arial"/>
          <w:sz w:val="24"/>
          <w:szCs w:val="24"/>
          <w:lang w:val="en-US"/>
        </w:rPr>
        <w:t xml:space="preserve">≤ </w:t>
      </w:r>
      <w:r>
        <w:rPr>
          <w:rFonts w:ascii="Arial" w:hAnsi="Arial" w:cs="Arial"/>
          <w:sz w:val="24"/>
          <w:szCs w:val="24"/>
          <w:lang w:val="en-US"/>
        </w:rPr>
        <w:t>0.01).</w:t>
      </w:r>
    </w:p>
    <w:p w14:paraId="2095C2A8"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p>
    <w:p w14:paraId="2C595C9B"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r w:rsidRPr="00E0302F">
        <w:rPr>
          <w:rFonts w:ascii="Arial" w:hAnsi="Arial" w:cs="Arial"/>
          <w:b/>
          <w:bCs/>
          <w:sz w:val="24"/>
          <w:szCs w:val="24"/>
          <w:lang w:val="en-US"/>
        </w:rPr>
        <w:lastRenderedPageBreak/>
        <w:t>Figure 5</w:t>
      </w:r>
      <w:r>
        <w:rPr>
          <w:rFonts w:ascii="Arial" w:hAnsi="Arial" w:cs="Arial"/>
          <w:sz w:val="24"/>
          <w:szCs w:val="24"/>
          <w:lang w:val="en-US"/>
        </w:rPr>
        <w:t xml:space="preserve">. </w:t>
      </w:r>
      <w:r w:rsidRPr="00ED7B14">
        <w:rPr>
          <w:rFonts w:ascii="Arial" w:hAnsi="Arial" w:cs="Arial"/>
          <w:b/>
          <w:bCs/>
          <w:sz w:val="24"/>
          <w:szCs w:val="24"/>
          <w:lang w:val="en-US"/>
        </w:rPr>
        <w:t xml:space="preserve">Effect of </w:t>
      </w:r>
      <w:r w:rsidRPr="00ED7B14">
        <w:rPr>
          <w:rFonts w:ascii="Arial" w:hAnsi="Arial" w:cs="Arial"/>
          <w:b/>
          <w:bCs/>
          <w:sz w:val="24"/>
          <w:szCs w:val="24"/>
          <w:lang w:val="en-US"/>
        </w:rPr>
        <w:sym w:font="Symbol" w:char="F061"/>
      </w:r>
      <w:r w:rsidRPr="00ED7B14">
        <w:rPr>
          <w:rFonts w:ascii="Arial" w:hAnsi="Arial" w:cs="Arial"/>
          <w:b/>
          <w:bCs/>
          <w:sz w:val="24"/>
          <w:szCs w:val="24"/>
          <w:lang w:val="en-US"/>
        </w:rPr>
        <w:t>-AED local injection on the humoral-related cell infiltration in the 4T1 tumor mode</w:t>
      </w:r>
      <w:r>
        <w:rPr>
          <w:rFonts w:ascii="Arial" w:hAnsi="Arial" w:cs="Arial"/>
          <w:sz w:val="24"/>
          <w:szCs w:val="24"/>
          <w:lang w:val="en-US"/>
        </w:rPr>
        <w:t>l</w:t>
      </w:r>
      <w:r>
        <w:rPr>
          <w:rFonts w:ascii="Arial" w:hAnsi="Arial" w:cs="Arial"/>
          <w:b/>
          <w:iCs/>
          <w:sz w:val="24"/>
          <w:szCs w:val="24"/>
          <w:lang w:val="en-US"/>
        </w:rPr>
        <w:t xml:space="preserve">. </w:t>
      </w:r>
      <w:r>
        <w:rPr>
          <w:rFonts w:ascii="Arial" w:hAnsi="Arial" w:cs="Arial"/>
          <w:sz w:val="24"/>
          <w:szCs w:val="24"/>
          <w:lang w:val="en-US"/>
        </w:rPr>
        <w:t>Humoral-related cell subpopulations by flow cytometry of the tumor. A. Plasmatic cells (CD138</w:t>
      </w:r>
      <w:r>
        <w:rPr>
          <w:rFonts w:ascii="Arial" w:eastAsia="MTSY" w:hAnsi="Arial" w:cs="Arial"/>
          <w:sz w:val="24"/>
          <w:szCs w:val="24"/>
          <w:vertAlign w:val="superscript"/>
          <w:lang w:val="en-US"/>
        </w:rPr>
        <w:t>+</w:t>
      </w:r>
      <w:r>
        <w:rPr>
          <w:rFonts w:ascii="Arial" w:eastAsia="MTSY" w:hAnsi="Arial" w:cs="Arial"/>
          <w:sz w:val="24"/>
          <w:szCs w:val="24"/>
          <w:lang w:val="en-US"/>
        </w:rPr>
        <w:t>)</w:t>
      </w:r>
      <w:r>
        <w:rPr>
          <w:rFonts w:ascii="Arial" w:hAnsi="Arial" w:cs="Arial"/>
          <w:sz w:val="24"/>
          <w:szCs w:val="24"/>
          <w:lang w:val="en-US"/>
        </w:rPr>
        <w:t>. B. Plasmablasts (CD138</w:t>
      </w:r>
      <w:r>
        <w:rPr>
          <w:rFonts w:ascii="Arial" w:eastAsia="MTSY" w:hAnsi="Arial" w:cs="Arial"/>
          <w:sz w:val="24"/>
          <w:szCs w:val="24"/>
          <w:vertAlign w:val="superscript"/>
          <w:lang w:val="en-US"/>
        </w:rPr>
        <w:t>+</w:t>
      </w:r>
      <w:r>
        <w:rPr>
          <w:rFonts w:ascii="Arial" w:eastAsia="MTSY" w:hAnsi="Arial" w:cs="Arial"/>
          <w:sz w:val="24"/>
          <w:szCs w:val="24"/>
          <w:lang w:val="en-US"/>
        </w:rPr>
        <w:t>/CD19</w:t>
      </w:r>
      <w:r>
        <w:rPr>
          <w:rFonts w:ascii="Arial" w:eastAsia="MTSY" w:hAnsi="Arial" w:cs="Arial"/>
          <w:sz w:val="24"/>
          <w:szCs w:val="24"/>
          <w:vertAlign w:val="superscript"/>
          <w:lang w:val="en-US"/>
        </w:rPr>
        <w:t>+</w:t>
      </w:r>
      <w:r>
        <w:rPr>
          <w:rFonts w:ascii="Arial" w:eastAsia="MTSY" w:hAnsi="Arial" w:cs="Arial"/>
          <w:sz w:val="24"/>
          <w:szCs w:val="24"/>
          <w:lang w:val="en-US"/>
        </w:rPr>
        <w:t>)</w:t>
      </w:r>
      <w:r>
        <w:rPr>
          <w:rFonts w:ascii="Arial" w:hAnsi="Arial" w:cs="Arial"/>
          <w:sz w:val="24"/>
          <w:szCs w:val="24"/>
          <w:lang w:val="en-US"/>
        </w:rPr>
        <w:t>. C. B cells (CD19</w:t>
      </w:r>
      <w:r>
        <w:rPr>
          <w:rFonts w:ascii="Arial" w:eastAsia="MTSY" w:hAnsi="Arial" w:cs="Arial"/>
          <w:sz w:val="24"/>
          <w:szCs w:val="24"/>
          <w:vertAlign w:val="superscript"/>
          <w:lang w:val="en-US"/>
        </w:rPr>
        <w:t>+</w:t>
      </w:r>
      <w:r>
        <w:rPr>
          <w:rFonts w:ascii="Arial" w:eastAsia="MTSY" w:hAnsi="Arial" w:cs="Arial"/>
          <w:sz w:val="24"/>
          <w:szCs w:val="24"/>
          <w:lang w:val="en-US"/>
        </w:rPr>
        <w:t>)</w:t>
      </w:r>
      <w:r>
        <w:rPr>
          <w:rFonts w:ascii="Arial" w:hAnsi="Arial" w:cs="Arial"/>
          <w:sz w:val="24"/>
          <w:szCs w:val="24"/>
          <w:lang w:val="en-US"/>
        </w:rPr>
        <w:t>. D. Representative dot plots of the cytometric analysis of the corresponding population tumor cells. Graphs represent the mean</w:t>
      </w:r>
      <w:r>
        <w:rPr>
          <w:rFonts w:ascii="Arial" w:hAnsi="Arial" w:cs="Arial"/>
          <w:sz w:val="24"/>
          <w:szCs w:val="24"/>
          <w:lang w:val="en-US"/>
        </w:rPr>
        <w:sym w:font="Symbol" w:char="F0B1"/>
      </w:r>
      <w:r>
        <w:rPr>
          <w:rFonts w:ascii="Arial" w:hAnsi="Arial" w:cs="Arial"/>
          <w:sz w:val="24"/>
          <w:szCs w:val="24"/>
          <w:lang w:val="en-US"/>
        </w:rPr>
        <w:t>SD of the data from three independent experiments. Gate from 10,000 cells was collected. Statistical significance was calculated using a Kruskal-Wallis test (*, p ≤ 0.05; ***, p ≤ 0.001).</w:t>
      </w:r>
    </w:p>
    <w:p w14:paraId="7B427B46"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p>
    <w:p w14:paraId="40802BE2"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r w:rsidRPr="00C65860">
        <w:rPr>
          <w:rFonts w:ascii="Arial" w:hAnsi="Arial" w:cs="Arial"/>
          <w:b/>
          <w:bCs/>
          <w:sz w:val="24"/>
          <w:szCs w:val="24"/>
          <w:lang w:val="en-US"/>
        </w:rPr>
        <w:t xml:space="preserve">Figure </w:t>
      </w:r>
      <w:r>
        <w:rPr>
          <w:rFonts w:ascii="Arial" w:hAnsi="Arial" w:cs="Arial"/>
          <w:b/>
          <w:bCs/>
          <w:sz w:val="24"/>
          <w:szCs w:val="24"/>
          <w:lang w:val="en-US"/>
        </w:rPr>
        <w:t>6</w:t>
      </w:r>
      <w:r w:rsidRPr="00C65860">
        <w:rPr>
          <w:rFonts w:ascii="Arial" w:hAnsi="Arial" w:cs="Arial"/>
          <w:b/>
          <w:bCs/>
          <w:sz w:val="24"/>
          <w:szCs w:val="24"/>
          <w:lang w:val="en-US"/>
        </w:rPr>
        <w:t>.</w:t>
      </w:r>
      <w:r>
        <w:rPr>
          <w:rFonts w:ascii="Arial" w:hAnsi="Arial" w:cs="Arial"/>
          <w:sz w:val="24"/>
          <w:szCs w:val="24"/>
          <w:lang w:val="en-US"/>
        </w:rPr>
        <w:t xml:space="preserve"> </w:t>
      </w:r>
      <w:r w:rsidRPr="00ED7B14">
        <w:rPr>
          <w:rFonts w:ascii="Arial" w:hAnsi="Arial" w:cs="Arial"/>
          <w:b/>
          <w:bCs/>
          <w:sz w:val="24"/>
          <w:szCs w:val="24"/>
          <w:lang w:val="en-US"/>
        </w:rPr>
        <w:t>Analysis of the VEGF expression in the tumor microenvironment</w:t>
      </w:r>
      <w:r>
        <w:rPr>
          <w:rFonts w:ascii="Arial" w:hAnsi="Arial" w:cs="Arial"/>
          <w:sz w:val="24"/>
          <w:szCs w:val="24"/>
          <w:lang w:val="en-US"/>
        </w:rPr>
        <w:t>. Graph show data from tumor proteins obtained from two independent experiments. Bars represent the mean</w:t>
      </w:r>
      <w:r>
        <w:rPr>
          <w:rFonts w:ascii="Arial" w:hAnsi="Arial" w:cs="Arial"/>
          <w:sz w:val="24"/>
          <w:szCs w:val="24"/>
          <w:lang w:val="en-US"/>
        </w:rPr>
        <w:sym w:font="Symbol" w:char="F0B1"/>
      </w:r>
      <w:r>
        <w:rPr>
          <w:rFonts w:ascii="Arial" w:hAnsi="Arial" w:cs="Arial"/>
          <w:sz w:val="24"/>
          <w:szCs w:val="24"/>
          <w:lang w:val="en-US"/>
        </w:rPr>
        <w:t>SD of cytokine levels (pg/10 μg of tumor protein). Statistical significance was calculated using a Kruskal-Wallis test (**p ≤ 0.01; ****p ≤ 0.0001).</w:t>
      </w:r>
    </w:p>
    <w:p w14:paraId="102055E5"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p>
    <w:p w14:paraId="438BEF09"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r w:rsidRPr="00FC4305">
        <w:rPr>
          <w:rFonts w:ascii="Arial" w:hAnsi="Arial" w:cs="Arial"/>
          <w:b/>
          <w:bCs/>
          <w:sz w:val="24"/>
          <w:szCs w:val="24"/>
          <w:lang w:val="en-US"/>
        </w:rPr>
        <w:t>Figure 7.</w:t>
      </w:r>
      <w:r>
        <w:rPr>
          <w:rFonts w:ascii="Arial" w:hAnsi="Arial" w:cs="Arial"/>
          <w:sz w:val="24"/>
          <w:szCs w:val="24"/>
          <w:lang w:val="en-US"/>
        </w:rPr>
        <w:t xml:space="preserve"> </w:t>
      </w:r>
      <w:r w:rsidRPr="00ED7B14">
        <w:rPr>
          <w:rFonts w:ascii="Arial" w:hAnsi="Arial" w:cs="Arial"/>
          <w:b/>
          <w:bCs/>
          <w:sz w:val="24"/>
          <w:szCs w:val="24"/>
          <w:lang w:val="en-US"/>
        </w:rPr>
        <w:t>Expression of soluble factors in the tumor microenvironment</w:t>
      </w:r>
      <w:r>
        <w:rPr>
          <w:rFonts w:ascii="Arial" w:hAnsi="Arial" w:cs="Arial"/>
          <w:sz w:val="24"/>
          <w:szCs w:val="24"/>
          <w:lang w:val="en-US"/>
        </w:rPr>
        <w:t>. Analysis of type 1 (IFN-</w:t>
      </w:r>
      <w:r>
        <w:rPr>
          <w:rFonts w:ascii="Arial" w:hAnsi="Arial" w:cs="Arial"/>
          <w:sz w:val="24"/>
          <w:szCs w:val="24"/>
          <w:lang w:val="en-US"/>
        </w:rPr>
        <w:sym w:font="Symbol" w:char="F067"/>
      </w:r>
      <w:r>
        <w:rPr>
          <w:rFonts w:ascii="Arial" w:hAnsi="Arial" w:cs="Arial"/>
          <w:sz w:val="24"/>
          <w:szCs w:val="24"/>
          <w:lang w:val="en-US"/>
        </w:rPr>
        <w:t xml:space="preserve"> and TNF-</w:t>
      </w:r>
      <w:r>
        <w:rPr>
          <w:rFonts w:ascii="Arial" w:hAnsi="Arial" w:cs="Arial"/>
          <w:sz w:val="24"/>
          <w:szCs w:val="24"/>
          <w:lang w:val="en-US"/>
        </w:rPr>
        <w:sym w:font="Symbol" w:char="F061"/>
      </w:r>
      <w:r>
        <w:rPr>
          <w:rFonts w:ascii="Arial" w:hAnsi="Arial" w:cs="Arial"/>
          <w:sz w:val="24"/>
          <w:szCs w:val="24"/>
          <w:lang w:val="en-US"/>
        </w:rPr>
        <w:t>), type 2 (IL-4, IL-5), and regulatory (IL-10) cytokines. Graphs indicate data of tumor proteins obtained from two independent experiments. Bars represent the mean</w:t>
      </w:r>
      <w:r>
        <w:rPr>
          <w:rFonts w:ascii="Arial" w:hAnsi="Arial" w:cs="Arial"/>
          <w:sz w:val="24"/>
          <w:szCs w:val="24"/>
          <w:lang w:val="en-US"/>
        </w:rPr>
        <w:sym w:font="Symbol" w:char="F0B1"/>
      </w:r>
      <w:r>
        <w:rPr>
          <w:rFonts w:ascii="Arial" w:hAnsi="Arial" w:cs="Arial"/>
          <w:sz w:val="24"/>
          <w:szCs w:val="24"/>
          <w:lang w:val="en-US"/>
        </w:rPr>
        <w:t>SD of cytokine levels (pg/10 μg of tumor protein).</w:t>
      </w:r>
    </w:p>
    <w:p w14:paraId="6A5DF2A0"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p>
    <w:p w14:paraId="3131D378" w14:textId="77777777" w:rsidR="00F83D6B" w:rsidRDefault="00F83D6B" w:rsidP="002D7D75">
      <w:pPr>
        <w:autoSpaceDE w:val="0"/>
        <w:autoSpaceDN w:val="0"/>
        <w:adjustRightInd w:val="0"/>
        <w:spacing w:after="0" w:line="480" w:lineRule="auto"/>
        <w:jc w:val="both"/>
        <w:rPr>
          <w:rFonts w:ascii="Arial" w:eastAsia="Arial" w:hAnsi="Arial" w:cs="Arial"/>
          <w:sz w:val="24"/>
          <w:szCs w:val="24"/>
          <w:lang w:val="en-US"/>
        </w:rPr>
      </w:pPr>
      <w:r w:rsidRPr="004C5D14">
        <w:rPr>
          <w:rFonts w:ascii="Arial" w:eastAsia="Arial" w:hAnsi="Arial" w:cs="Arial"/>
          <w:b/>
          <w:bCs/>
          <w:sz w:val="24"/>
          <w:szCs w:val="24"/>
          <w:lang w:val="en-US"/>
        </w:rPr>
        <w:t xml:space="preserve">Figure </w:t>
      </w:r>
      <w:r>
        <w:rPr>
          <w:rFonts w:ascii="Arial" w:eastAsia="Arial" w:hAnsi="Arial" w:cs="Arial"/>
          <w:b/>
          <w:bCs/>
          <w:sz w:val="24"/>
          <w:szCs w:val="24"/>
          <w:lang w:val="en-US"/>
        </w:rPr>
        <w:t>8</w:t>
      </w:r>
      <w:r w:rsidRPr="004C5D14">
        <w:rPr>
          <w:rFonts w:ascii="Arial" w:eastAsia="Arial" w:hAnsi="Arial" w:cs="Arial"/>
          <w:b/>
          <w:bCs/>
          <w:sz w:val="24"/>
          <w:szCs w:val="24"/>
          <w:lang w:val="en-US"/>
        </w:rPr>
        <w:t>.</w:t>
      </w:r>
      <w:r>
        <w:rPr>
          <w:rFonts w:ascii="Arial" w:eastAsia="Arial" w:hAnsi="Arial" w:cs="Arial"/>
          <w:sz w:val="24"/>
          <w:szCs w:val="24"/>
          <w:lang w:val="en-US"/>
        </w:rPr>
        <w:t xml:space="preserve"> </w:t>
      </w:r>
      <w:r w:rsidRPr="00ED7B14">
        <w:rPr>
          <w:rFonts w:ascii="Arial" w:eastAsia="Arial" w:hAnsi="Arial" w:cs="Arial"/>
          <w:b/>
          <w:bCs/>
          <w:sz w:val="24"/>
          <w:szCs w:val="24"/>
          <w:lang w:val="en-US"/>
        </w:rPr>
        <w:t xml:space="preserve">Systemic humoral response to intratumoral </w:t>
      </w:r>
      <w:r w:rsidRPr="00ED7B14">
        <w:rPr>
          <w:rFonts w:ascii="Arial" w:eastAsia="Arial" w:hAnsi="Arial" w:cs="Arial"/>
          <w:b/>
          <w:bCs/>
          <w:sz w:val="24"/>
          <w:szCs w:val="24"/>
          <w:lang w:val="en-US"/>
        </w:rPr>
        <w:sym w:font="Symbol" w:char="F061"/>
      </w:r>
      <w:r w:rsidRPr="00ED7B14">
        <w:rPr>
          <w:rFonts w:ascii="Arial" w:eastAsia="Arial" w:hAnsi="Arial" w:cs="Arial"/>
          <w:b/>
          <w:bCs/>
          <w:sz w:val="24"/>
          <w:szCs w:val="24"/>
          <w:lang w:val="en-US"/>
        </w:rPr>
        <w:t>-AED treatment in BALB/c mice</w:t>
      </w:r>
      <w:r>
        <w:rPr>
          <w:rFonts w:ascii="Arial" w:eastAsia="Arial" w:hAnsi="Arial" w:cs="Arial"/>
          <w:sz w:val="24"/>
          <w:szCs w:val="24"/>
          <w:lang w:val="en-US"/>
        </w:rPr>
        <w:t xml:space="preserve">. A. Serum IgG levels B. IgG anti-4T1 levels, in sera from intact (Int), tumor-bearing mice with no treatment (4T1), and sera from mice injected into the tumor with vehicle (corn oil 40 </w:t>
      </w:r>
      <w:r>
        <w:rPr>
          <w:rFonts w:ascii="Arial" w:eastAsia="Arial" w:hAnsi="Arial" w:cs="Arial"/>
          <w:sz w:val="24"/>
          <w:szCs w:val="24"/>
          <w:lang w:val="en-US"/>
        </w:rPr>
        <w:sym w:font="Symbol" w:char="F06D"/>
      </w:r>
      <w:r>
        <w:rPr>
          <w:rFonts w:ascii="Arial" w:eastAsia="Arial" w:hAnsi="Arial" w:cs="Arial"/>
          <w:sz w:val="24"/>
          <w:szCs w:val="24"/>
          <w:lang w:val="en-US"/>
        </w:rPr>
        <w:t xml:space="preserve">l), </w:t>
      </w:r>
      <w:r>
        <w:rPr>
          <w:rFonts w:ascii="Arial" w:eastAsia="Arial" w:hAnsi="Arial" w:cs="Arial"/>
          <w:sz w:val="24"/>
          <w:szCs w:val="24"/>
          <w:lang w:val="en-US"/>
        </w:rPr>
        <w:sym w:font="Symbol" w:char="F061"/>
      </w:r>
      <w:r>
        <w:rPr>
          <w:rFonts w:ascii="Arial" w:eastAsia="Arial" w:hAnsi="Arial" w:cs="Arial"/>
          <w:sz w:val="24"/>
          <w:szCs w:val="24"/>
          <w:lang w:val="en-US"/>
        </w:rPr>
        <w:t xml:space="preserve">-AED 100 </w:t>
      </w:r>
      <w:r>
        <w:rPr>
          <w:rFonts w:ascii="Arial" w:eastAsia="Arial" w:hAnsi="Arial" w:cs="Arial"/>
          <w:sz w:val="24"/>
          <w:szCs w:val="24"/>
          <w:lang w:val="en-US"/>
        </w:rPr>
        <w:sym w:font="Symbol" w:char="F06D"/>
      </w:r>
      <w:r>
        <w:rPr>
          <w:rFonts w:ascii="Arial" w:eastAsia="Arial" w:hAnsi="Arial" w:cs="Arial"/>
          <w:sz w:val="24"/>
          <w:szCs w:val="24"/>
          <w:lang w:val="en-US"/>
        </w:rPr>
        <w:t xml:space="preserve">M or </w:t>
      </w:r>
      <w:r>
        <w:rPr>
          <w:rFonts w:ascii="Arial" w:eastAsia="Arial" w:hAnsi="Arial" w:cs="Arial"/>
          <w:sz w:val="24"/>
          <w:szCs w:val="24"/>
          <w:lang w:val="en-US"/>
        </w:rPr>
        <w:sym w:font="Symbol" w:char="F061"/>
      </w:r>
      <w:r>
        <w:rPr>
          <w:rFonts w:ascii="Arial" w:eastAsia="Arial" w:hAnsi="Arial" w:cs="Arial"/>
          <w:sz w:val="24"/>
          <w:szCs w:val="24"/>
          <w:lang w:val="en-US"/>
        </w:rPr>
        <w:t xml:space="preserve">-200 </w:t>
      </w:r>
      <w:r>
        <w:rPr>
          <w:rFonts w:ascii="Arial" w:eastAsia="Arial" w:hAnsi="Arial" w:cs="Arial"/>
          <w:sz w:val="24"/>
          <w:szCs w:val="24"/>
          <w:lang w:val="en-US"/>
        </w:rPr>
        <w:sym w:font="Symbol" w:char="F06D"/>
      </w:r>
      <w:r>
        <w:rPr>
          <w:rFonts w:ascii="Arial" w:eastAsia="Arial" w:hAnsi="Arial" w:cs="Arial"/>
          <w:sz w:val="24"/>
          <w:szCs w:val="24"/>
          <w:lang w:val="en-US"/>
        </w:rPr>
        <w:t xml:space="preserve">M. Graphs represent the mean ± SD of data from two experiments. Statistical significance was calculated using Kruskal-Wallis test </w:t>
      </w:r>
      <w:r>
        <w:rPr>
          <w:rFonts w:ascii="Arial" w:hAnsi="Arial" w:cs="Arial"/>
          <w:sz w:val="24"/>
          <w:szCs w:val="24"/>
          <w:lang w:val="en-US"/>
        </w:rPr>
        <w:t xml:space="preserve">(*, p ≤ 0.05; </w:t>
      </w:r>
      <w:r>
        <w:rPr>
          <w:rFonts w:ascii="Arial" w:eastAsia="Arial" w:hAnsi="Arial" w:cs="Arial"/>
          <w:sz w:val="24"/>
          <w:szCs w:val="24"/>
          <w:lang w:val="en-US"/>
        </w:rPr>
        <w:t>**P ≤ .01; ***P ≤ .001; ****P ≤ .0001).</w:t>
      </w:r>
    </w:p>
    <w:p w14:paraId="5E5BC56D"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bookmarkStart w:id="0" w:name="_GoBack"/>
      <w:r w:rsidRPr="00902AC2">
        <w:rPr>
          <w:rFonts w:ascii="Arial" w:hAnsi="Arial" w:cs="Arial"/>
          <w:b/>
          <w:bCs/>
          <w:sz w:val="24"/>
          <w:szCs w:val="24"/>
          <w:lang w:val="en-US"/>
        </w:rPr>
        <w:lastRenderedPageBreak/>
        <w:t>Supplementary Figure 1.</w:t>
      </w:r>
      <w:r>
        <w:rPr>
          <w:rFonts w:ascii="Arial" w:hAnsi="Arial" w:cs="Arial"/>
          <w:sz w:val="24"/>
          <w:szCs w:val="24"/>
          <w:lang w:val="en-US"/>
        </w:rPr>
        <w:t xml:space="preserve"> </w:t>
      </w:r>
      <w:r w:rsidRPr="00ED7B14">
        <w:rPr>
          <w:rFonts w:ascii="Arial" w:hAnsi="Arial" w:cs="Arial"/>
          <w:b/>
          <w:bCs/>
          <w:sz w:val="24"/>
          <w:szCs w:val="24"/>
          <w:lang w:val="en-US"/>
        </w:rPr>
        <w:t xml:space="preserve">Effect of intratumoral </w:t>
      </w:r>
      <w:r w:rsidRPr="00ED7B14">
        <w:rPr>
          <w:rFonts w:ascii="Arial" w:hAnsi="Arial" w:cs="Arial"/>
          <w:b/>
          <w:bCs/>
          <w:sz w:val="24"/>
          <w:szCs w:val="24"/>
          <w:lang w:val="en-US"/>
        </w:rPr>
        <w:sym w:font="Symbol" w:char="F061"/>
      </w:r>
      <w:r w:rsidRPr="00ED7B14">
        <w:rPr>
          <w:rFonts w:ascii="Arial" w:hAnsi="Arial" w:cs="Arial"/>
          <w:b/>
          <w:bCs/>
          <w:sz w:val="24"/>
          <w:szCs w:val="24"/>
          <w:lang w:val="en-US"/>
        </w:rPr>
        <w:t>-AED treatment in the immune cell infiltration of secondary lymphoid organ, in the 4T1 tumor model</w:t>
      </w:r>
      <w:r w:rsidRPr="00ED7B14">
        <w:rPr>
          <w:rFonts w:ascii="Arial" w:hAnsi="Arial" w:cs="Arial"/>
          <w:b/>
          <w:bCs/>
          <w:iCs/>
          <w:sz w:val="24"/>
          <w:szCs w:val="24"/>
          <w:lang w:val="en-US"/>
        </w:rPr>
        <w:t>.</w:t>
      </w:r>
      <w:r>
        <w:rPr>
          <w:rFonts w:ascii="Arial" w:hAnsi="Arial" w:cs="Arial"/>
          <w:b/>
          <w:iCs/>
          <w:sz w:val="24"/>
          <w:szCs w:val="24"/>
          <w:lang w:val="en-US"/>
        </w:rPr>
        <w:t xml:space="preserve"> </w:t>
      </w:r>
      <w:r>
        <w:rPr>
          <w:rFonts w:ascii="Arial" w:hAnsi="Arial" w:cs="Arial"/>
          <w:sz w:val="24"/>
          <w:szCs w:val="24"/>
          <w:lang w:val="en-US"/>
        </w:rPr>
        <w:t>Determination of innate and adaptive immune subpopulations by flow cytometry in the spleen. a. T lymphocytes CD3</w:t>
      </w:r>
      <w:r>
        <w:rPr>
          <w:rFonts w:ascii="Arial" w:eastAsia="MTSY" w:hAnsi="Arial" w:cs="Arial"/>
          <w:sz w:val="24"/>
          <w:szCs w:val="24"/>
          <w:vertAlign w:val="superscript"/>
          <w:lang w:val="en-US"/>
        </w:rPr>
        <w:t>+</w:t>
      </w:r>
      <w:r>
        <w:rPr>
          <w:rFonts w:ascii="Arial" w:hAnsi="Arial" w:cs="Arial"/>
          <w:sz w:val="24"/>
          <w:szCs w:val="24"/>
          <w:lang w:val="en-US"/>
        </w:rPr>
        <w:t>.. b. CD8</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T cytotoxic lymphocytes. c. CD4</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T helper lymphocytes</w:t>
      </w:r>
      <w:r>
        <w:rPr>
          <w:rFonts w:ascii="Arial" w:eastAsia="MTSY" w:hAnsi="Arial" w:cs="Arial"/>
          <w:sz w:val="24"/>
          <w:szCs w:val="24"/>
          <w:vertAlign w:val="superscript"/>
          <w:lang w:val="en-US"/>
        </w:rPr>
        <w:t xml:space="preserve"> </w:t>
      </w:r>
      <w:r>
        <w:rPr>
          <w:rFonts w:ascii="Arial" w:hAnsi="Arial" w:cs="Arial"/>
          <w:sz w:val="24"/>
          <w:szCs w:val="24"/>
          <w:lang w:val="en-US"/>
        </w:rPr>
        <w:t>. d. CD4</w:t>
      </w:r>
      <w:r>
        <w:rPr>
          <w:rFonts w:ascii="Arial" w:eastAsia="MTSY" w:hAnsi="Arial" w:cs="Arial"/>
          <w:sz w:val="24"/>
          <w:szCs w:val="24"/>
          <w:vertAlign w:val="superscript"/>
          <w:lang w:val="en-US"/>
        </w:rPr>
        <w:t>+</w:t>
      </w:r>
      <w:r>
        <w:rPr>
          <w:rFonts w:ascii="Arial" w:hAnsi="Arial" w:cs="Arial"/>
          <w:sz w:val="24"/>
          <w:szCs w:val="24"/>
          <w:lang w:val="en-US"/>
        </w:rPr>
        <w:t>/Foxp3</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T lymphocytes. e.</w:t>
      </w:r>
      <w:r w:rsidRPr="008A66A4">
        <w:rPr>
          <w:rFonts w:ascii="Arial" w:hAnsi="Arial" w:cs="Arial"/>
          <w:sz w:val="24"/>
          <w:szCs w:val="24"/>
          <w:lang w:val="en-US"/>
        </w:rPr>
        <w:t xml:space="preserve"> </w:t>
      </w:r>
      <w:r>
        <w:rPr>
          <w:rFonts w:ascii="Arial" w:hAnsi="Arial" w:cs="Arial"/>
          <w:sz w:val="24"/>
          <w:szCs w:val="24"/>
          <w:lang w:val="en-US"/>
        </w:rPr>
        <w:t>NKp46</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cells. f. F4/80</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macrophages. g. CD19</w:t>
      </w:r>
      <w:r>
        <w:rPr>
          <w:rFonts w:ascii="Arial" w:hAnsi="Arial" w:cs="Arial"/>
          <w:sz w:val="24"/>
          <w:szCs w:val="24"/>
          <w:vertAlign w:val="superscript"/>
          <w:lang w:val="en-US"/>
        </w:rPr>
        <w:t>+</w:t>
      </w:r>
      <w:r>
        <w:rPr>
          <w:rFonts w:ascii="Arial" w:hAnsi="Arial" w:cs="Arial"/>
          <w:sz w:val="24"/>
          <w:szCs w:val="24"/>
          <w:lang w:val="en-US"/>
        </w:rPr>
        <w:t xml:space="preserve"> B lymphocytes. h. Plasmatic cells (CD138</w:t>
      </w:r>
      <w:r>
        <w:rPr>
          <w:rFonts w:ascii="Arial" w:hAnsi="Arial" w:cs="Arial"/>
          <w:sz w:val="24"/>
          <w:szCs w:val="24"/>
          <w:vertAlign w:val="superscript"/>
          <w:lang w:val="en-US"/>
        </w:rPr>
        <w:t>+</w:t>
      </w:r>
      <w:r>
        <w:rPr>
          <w:rFonts w:ascii="Arial" w:hAnsi="Arial" w:cs="Arial"/>
          <w:sz w:val="24"/>
          <w:szCs w:val="24"/>
          <w:lang w:val="en-US"/>
        </w:rPr>
        <w:t>). i. Plasmablasts (CD138</w:t>
      </w:r>
      <w:r>
        <w:rPr>
          <w:rFonts w:ascii="Arial" w:hAnsi="Arial" w:cs="Arial"/>
          <w:sz w:val="24"/>
          <w:szCs w:val="24"/>
          <w:vertAlign w:val="superscript"/>
          <w:lang w:val="en-US"/>
        </w:rPr>
        <w:t>+</w:t>
      </w:r>
      <w:r>
        <w:rPr>
          <w:rFonts w:ascii="Arial" w:hAnsi="Arial" w:cs="Arial"/>
          <w:sz w:val="24"/>
          <w:szCs w:val="24"/>
          <w:lang w:val="en-US"/>
        </w:rPr>
        <w:t>/CD19</w:t>
      </w:r>
      <w:r>
        <w:rPr>
          <w:rFonts w:ascii="Arial" w:hAnsi="Arial" w:cs="Arial"/>
          <w:sz w:val="24"/>
          <w:szCs w:val="24"/>
          <w:vertAlign w:val="superscript"/>
          <w:lang w:val="en-US"/>
        </w:rPr>
        <w:t>+</w:t>
      </w:r>
      <w:r>
        <w:rPr>
          <w:rFonts w:ascii="Arial" w:hAnsi="Arial" w:cs="Arial"/>
          <w:sz w:val="24"/>
          <w:szCs w:val="24"/>
          <w:lang w:val="en-US"/>
        </w:rPr>
        <w:t>). Graphs represent the mean</w:t>
      </w:r>
      <w:r>
        <w:rPr>
          <w:rFonts w:ascii="Arial" w:hAnsi="Arial" w:cs="Arial"/>
          <w:sz w:val="24"/>
          <w:szCs w:val="24"/>
          <w:lang w:val="en-US"/>
        </w:rPr>
        <w:sym w:font="Symbol" w:char="F0B1"/>
      </w:r>
      <w:r>
        <w:rPr>
          <w:rFonts w:ascii="Arial" w:hAnsi="Arial" w:cs="Arial"/>
          <w:sz w:val="24"/>
          <w:szCs w:val="24"/>
          <w:lang w:val="en-US"/>
        </w:rPr>
        <w:t>SD of the data from three independent experiments. Gate from 10,000 cells was collected. Statistical significance was calculated using a Kruskal-Wallis test (*, p ≤ 0.05; ***, p ≤ 0.001).</w:t>
      </w:r>
    </w:p>
    <w:bookmarkEnd w:id="0"/>
    <w:p w14:paraId="01B1D39F" w14:textId="77777777" w:rsidR="00F83D6B" w:rsidRDefault="00F83D6B" w:rsidP="002D7D75">
      <w:pPr>
        <w:autoSpaceDE w:val="0"/>
        <w:autoSpaceDN w:val="0"/>
        <w:adjustRightInd w:val="0"/>
        <w:spacing w:after="0" w:line="480" w:lineRule="auto"/>
        <w:jc w:val="both"/>
        <w:rPr>
          <w:rFonts w:ascii="Arial" w:hAnsi="Arial" w:cs="Arial"/>
          <w:sz w:val="24"/>
          <w:szCs w:val="24"/>
          <w:lang w:val="en-US"/>
        </w:rPr>
      </w:pPr>
    </w:p>
    <w:p w14:paraId="7153036F" w14:textId="6A261747" w:rsidR="00F04C09" w:rsidRPr="003144F0" w:rsidRDefault="00F83D6B" w:rsidP="002D7D75">
      <w:pPr>
        <w:autoSpaceDE w:val="0"/>
        <w:autoSpaceDN w:val="0"/>
        <w:adjustRightInd w:val="0"/>
        <w:spacing w:after="0" w:line="480" w:lineRule="auto"/>
        <w:jc w:val="both"/>
        <w:rPr>
          <w:rFonts w:ascii="Arial" w:hAnsi="Arial" w:cs="Arial"/>
          <w:sz w:val="24"/>
          <w:szCs w:val="24"/>
          <w:lang w:val="en-US"/>
        </w:rPr>
      </w:pPr>
      <w:r w:rsidRPr="004775A7">
        <w:rPr>
          <w:rFonts w:ascii="Arial" w:hAnsi="Arial" w:cs="Arial"/>
          <w:b/>
          <w:bCs/>
          <w:sz w:val="24"/>
          <w:szCs w:val="24"/>
          <w:lang w:val="en-US"/>
        </w:rPr>
        <w:t>Supplementary Figure 2.</w:t>
      </w:r>
      <w:r>
        <w:rPr>
          <w:rFonts w:ascii="Arial" w:hAnsi="Arial" w:cs="Arial"/>
          <w:sz w:val="24"/>
          <w:szCs w:val="24"/>
          <w:lang w:val="en-US"/>
        </w:rPr>
        <w:t xml:space="preserve"> </w:t>
      </w:r>
      <w:r w:rsidRPr="00ED7B14">
        <w:rPr>
          <w:rFonts w:ascii="Arial" w:hAnsi="Arial" w:cs="Arial"/>
          <w:b/>
          <w:bCs/>
          <w:sz w:val="24"/>
          <w:szCs w:val="24"/>
          <w:lang w:val="en-US"/>
        </w:rPr>
        <w:t xml:space="preserve">Effect of intratumoral </w:t>
      </w:r>
      <w:r w:rsidRPr="00ED7B14">
        <w:rPr>
          <w:rFonts w:ascii="Arial" w:hAnsi="Arial" w:cs="Arial"/>
          <w:b/>
          <w:bCs/>
          <w:sz w:val="24"/>
          <w:szCs w:val="24"/>
          <w:lang w:val="en-US"/>
        </w:rPr>
        <w:sym w:font="Symbol" w:char="F061"/>
      </w:r>
      <w:r w:rsidRPr="00ED7B14">
        <w:rPr>
          <w:rFonts w:ascii="Arial" w:hAnsi="Arial" w:cs="Arial"/>
          <w:b/>
          <w:bCs/>
          <w:sz w:val="24"/>
          <w:szCs w:val="24"/>
          <w:lang w:val="en-US"/>
        </w:rPr>
        <w:t>-AED treatment in the immune cell infiltration of secondary lymphoid organs, in the 4T1 tumor model</w:t>
      </w:r>
      <w:r>
        <w:rPr>
          <w:rFonts w:ascii="Arial" w:hAnsi="Arial" w:cs="Arial"/>
          <w:b/>
          <w:iCs/>
          <w:sz w:val="24"/>
          <w:szCs w:val="24"/>
          <w:lang w:val="en-US"/>
        </w:rPr>
        <w:t xml:space="preserve">. </w:t>
      </w:r>
      <w:r>
        <w:rPr>
          <w:rFonts w:ascii="Arial" w:hAnsi="Arial" w:cs="Arial"/>
          <w:sz w:val="24"/>
          <w:szCs w:val="24"/>
          <w:lang w:val="en-US"/>
        </w:rPr>
        <w:t>Determination of innate and adaptive immune subpopulations by flow cytometry in lymph nodes. T lymphocytes CD3</w:t>
      </w:r>
      <w:r>
        <w:rPr>
          <w:rFonts w:ascii="Arial" w:eastAsia="MTSY" w:hAnsi="Arial" w:cs="Arial"/>
          <w:sz w:val="24"/>
          <w:szCs w:val="24"/>
          <w:vertAlign w:val="superscript"/>
          <w:lang w:val="en-US"/>
        </w:rPr>
        <w:t>+</w:t>
      </w:r>
      <w:r>
        <w:rPr>
          <w:rFonts w:ascii="Arial" w:hAnsi="Arial" w:cs="Arial"/>
          <w:sz w:val="24"/>
          <w:szCs w:val="24"/>
          <w:lang w:val="en-US"/>
        </w:rPr>
        <w:t>.. b. CD8</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T cytotoxic lymphocytes. c. CD4</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T helper lymphocytes. d. CD4</w:t>
      </w:r>
      <w:r>
        <w:rPr>
          <w:rFonts w:ascii="Arial" w:eastAsia="MTSY" w:hAnsi="Arial" w:cs="Arial"/>
          <w:sz w:val="24"/>
          <w:szCs w:val="24"/>
          <w:vertAlign w:val="superscript"/>
          <w:lang w:val="en-US"/>
        </w:rPr>
        <w:t>+</w:t>
      </w:r>
      <w:r>
        <w:rPr>
          <w:rFonts w:ascii="Arial" w:hAnsi="Arial" w:cs="Arial"/>
          <w:sz w:val="24"/>
          <w:szCs w:val="24"/>
          <w:lang w:val="en-US"/>
        </w:rPr>
        <w:t>/Foxp3</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T lymphocytes. e.</w:t>
      </w:r>
      <w:r w:rsidRPr="008A66A4">
        <w:rPr>
          <w:rFonts w:ascii="Arial" w:hAnsi="Arial" w:cs="Arial"/>
          <w:sz w:val="24"/>
          <w:szCs w:val="24"/>
          <w:lang w:val="en-US"/>
        </w:rPr>
        <w:t xml:space="preserve"> </w:t>
      </w:r>
      <w:r>
        <w:rPr>
          <w:rFonts w:ascii="Arial" w:hAnsi="Arial" w:cs="Arial"/>
          <w:sz w:val="24"/>
          <w:szCs w:val="24"/>
          <w:lang w:val="en-US"/>
        </w:rPr>
        <w:t>NKp46</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cells. f. F4/80</w:t>
      </w:r>
      <w:r>
        <w:rPr>
          <w:rFonts w:ascii="Arial" w:eastAsia="MTSY" w:hAnsi="Arial" w:cs="Arial"/>
          <w:sz w:val="24"/>
          <w:szCs w:val="24"/>
          <w:vertAlign w:val="superscript"/>
          <w:lang w:val="en-US"/>
        </w:rPr>
        <w:t>+</w:t>
      </w:r>
      <w:r>
        <w:rPr>
          <w:rFonts w:ascii="Arial" w:eastAsia="MTSY" w:hAnsi="Arial" w:cs="Arial"/>
          <w:sz w:val="24"/>
          <w:szCs w:val="24"/>
          <w:lang w:val="en-US"/>
        </w:rPr>
        <w:t xml:space="preserve"> </w:t>
      </w:r>
      <w:r>
        <w:rPr>
          <w:rFonts w:ascii="Arial" w:hAnsi="Arial" w:cs="Arial"/>
          <w:sz w:val="24"/>
          <w:szCs w:val="24"/>
          <w:lang w:val="en-US"/>
        </w:rPr>
        <w:t>macrophages. g. CD19</w:t>
      </w:r>
      <w:r>
        <w:rPr>
          <w:rFonts w:ascii="Arial" w:hAnsi="Arial" w:cs="Arial"/>
          <w:sz w:val="24"/>
          <w:szCs w:val="24"/>
          <w:vertAlign w:val="superscript"/>
          <w:lang w:val="en-US"/>
        </w:rPr>
        <w:t>+</w:t>
      </w:r>
      <w:r>
        <w:rPr>
          <w:rFonts w:ascii="Arial" w:hAnsi="Arial" w:cs="Arial"/>
          <w:sz w:val="24"/>
          <w:szCs w:val="24"/>
          <w:lang w:val="en-US"/>
        </w:rPr>
        <w:t xml:space="preserve"> B lymphocytes. h. Plasmatic cells (CD138</w:t>
      </w:r>
      <w:r>
        <w:rPr>
          <w:rFonts w:ascii="Arial" w:hAnsi="Arial" w:cs="Arial"/>
          <w:sz w:val="24"/>
          <w:szCs w:val="24"/>
          <w:vertAlign w:val="superscript"/>
          <w:lang w:val="en-US"/>
        </w:rPr>
        <w:t>+</w:t>
      </w:r>
      <w:r>
        <w:rPr>
          <w:rFonts w:ascii="Arial" w:hAnsi="Arial" w:cs="Arial"/>
          <w:sz w:val="24"/>
          <w:szCs w:val="24"/>
          <w:lang w:val="en-US"/>
        </w:rPr>
        <w:t>). i. Plasmablasts (CD138</w:t>
      </w:r>
      <w:r>
        <w:rPr>
          <w:rFonts w:ascii="Arial" w:hAnsi="Arial" w:cs="Arial"/>
          <w:sz w:val="24"/>
          <w:szCs w:val="24"/>
          <w:vertAlign w:val="superscript"/>
          <w:lang w:val="en-US"/>
        </w:rPr>
        <w:t>+</w:t>
      </w:r>
      <w:r>
        <w:rPr>
          <w:rFonts w:ascii="Arial" w:hAnsi="Arial" w:cs="Arial"/>
          <w:sz w:val="24"/>
          <w:szCs w:val="24"/>
          <w:lang w:val="en-US"/>
        </w:rPr>
        <w:t>/CD19</w:t>
      </w:r>
      <w:r>
        <w:rPr>
          <w:rFonts w:ascii="Arial" w:hAnsi="Arial" w:cs="Arial"/>
          <w:sz w:val="24"/>
          <w:szCs w:val="24"/>
          <w:vertAlign w:val="superscript"/>
          <w:lang w:val="en-US"/>
        </w:rPr>
        <w:t>+</w:t>
      </w:r>
      <w:r>
        <w:rPr>
          <w:rFonts w:ascii="Arial" w:hAnsi="Arial" w:cs="Arial"/>
          <w:sz w:val="24"/>
          <w:szCs w:val="24"/>
          <w:lang w:val="en-US"/>
        </w:rPr>
        <w:t>). Graphs represent the mean</w:t>
      </w:r>
      <w:r>
        <w:rPr>
          <w:rFonts w:ascii="Arial" w:hAnsi="Arial" w:cs="Arial"/>
          <w:sz w:val="24"/>
          <w:szCs w:val="24"/>
          <w:lang w:val="en-US"/>
        </w:rPr>
        <w:sym w:font="Symbol" w:char="F0B1"/>
      </w:r>
      <w:r>
        <w:rPr>
          <w:rFonts w:ascii="Arial" w:hAnsi="Arial" w:cs="Arial"/>
          <w:sz w:val="24"/>
          <w:szCs w:val="24"/>
          <w:lang w:val="en-US"/>
        </w:rPr>
        <w:t>SD of the data from three independent experiments. Gate from 10,000 cells was collected. Statistical significance was calculated using a Kruskal-Wallis test (*, p ≤ 0.05).</w:t>
      </w:r>
    </w:p>
    <w:sectPr w:rsidR="00F04C09" w:rsidRPr="003144F0" w:rsidSect="00F83D6B">
      <w:footerReference w:type="default" r:id="rId9"/>
      <w:pgSz w:w="12240" w:h="15840"/>
      <w:pgMar w:top="1276" w:right="1325" w:bottom="1276" w:left="1276" w:header="708" w:footer="708"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646224" w14:textId="77777777" w:rsidR="00367D01" w:rsidRDefault="00367D01" w:rsidP="00227446">
      <w:pPr>
        <w:spacing w:after="0" w:line="240" w:lineRule="auto"/>
      </w:pPr>
      <w:r>
        <w:separator/>
      </w:r>
    </w:p>
  </w:endnote>
  <w:endnote w:type="continuationSeparator" w:id="0">
    <w:p w14:paraId="132F2A07" w14:textId="77777777" w:rsidR="00367D01" w:rsidRDefault="00367D01" w:rsidP="00227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altName w:val="MS PMincho"/>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TSY">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1582567"/>
      <w:docPartObj>
        <w:docPartGallery w:val="Page Numbers (Bottom of Page)"/>
        <w:docPartUnique/>
      </w:docPartObj>
    </w:sdtPr>
    <w:sdtEndPr/>
    <w:sdtContent>
      <w:p w14:paraId="21B11838" w14:textId="4F9EE28E" w:rsidR="00ED7B14" w:rsidRDefault="00ED7B14">
        <w:pPr>
          <w:pStyle w:val="Footer"/>
          <w:jc w:val="right"/>
        </w:pPr>
        <w:r>
          <w:fldChar w:fldCharType="begin"/>
        </w:r>
        <w:r>
          <w:instrText>PAGE   \* MERGEFORMAT</w:instrText>
        </w:r>
        <w:r>
          <w:fldChar w:fldCharType="separate"/>
        </w:r>
        <w:r w:rsidR="008257F1" w:rsidRPr="008257F1">
          <w:rPr>
            <w:noProof/>
            <w:lang w:val="es-ES"/>
          </w:rPr>
          <w:t>4</w:t>
        </w:r>
        <w:r>
          <w:fldChar w:fldCharType="end"/>
        </w:r>
      </w:p>
    </w:sdtContent>
  </w:sdt>
  <w:p w14:paraId="634B8AC8" w14:textId="77777777" w:rsidR="00ED7B14" w:rsidRDefault="00ED7B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37D54B" w14:textId="77777777" w:rsidR="00367D01" w:rsidRDefault="00367D01" w:rsidP="00227446">
      <w:pPr>
        <w:spacing w:after="0" w:line="240" w:lineRule="auto"/>
      </w:pPr>
      <w:r>
        <w:separator/>
      </w:r>
    </w:p>
  </w:footnote>
  <w:footnote w:type="continuationSeparator" w:id="0">
    <w:p w14:paraId="36FD7FF1" w14:textId="77777777" w:rsidR="00367D01" w:rsidRDefault="00367D01" w:rsidP="002274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922A49"/>
    <w:multiLevelType w:val="multilevel"/>
    <w:tmpl w:val="ECC0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frpwwzda0wpfcevtrzp5vrcvrftx95v255v&quot;&gt;AED&lt;record-ids&gt;&lt;item&gt;1&lt;/item&gt;&lt;item&gt;2&lt;/item&gt;&lt;item&gt;3&lt;/item&gt;&lt;item&gt;4&lt;/item&gt;&lt;item&gt;5&lt;/item&gt;&lt;item&gt;6&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30&lt;/item&gt;&lt;item&gt;31&lt;/item&gt;&lt;item&gt;32&lt;/item&gt;&lt;item&gt;33&lt;/item&gt;&lt;item&gt;34&lt;/item&gt;&lt;item&gt;35&lt;/item&gt;&lt;/record-ids&gt;&lt;/item&gt;&lt;/Libraries&gt;"/>
  </w:docVars>
  <w:rsids>
    <w:rsidRoot w:val="00A9272D"/>
    <w:rsid w:val="0000057E"/>
    <w:rsid w:val="000254FC"/>
    <w:rsid w:val="0002599F"/>
    <w:rsid w:val="000308B9"/>
    <w:rsid w:val="00033932"/>
    <w:rsid w:val="0003539E"/>
    <w:rsid w:val="00035596"/>
    <w:rsid w:val="00036E32"/>
    <w:rsid w:val="0004320C"/>
    <w:rsid w:val="000451D5"/>
    <w:rsid w:val="00053C05"/>
    <w:rsid w:val="000614C5"/>
    <w:rsid w:val="00066230"/>
    <w:rsid w:val="000662A2"/>
    <w:rsid w:val="000713B6"/>
    <w:rsid w:val="00073384"/>
    <w:rsid w:val="00084186"/>
    <w:rsid w:val="000849DD"/>
    <w:rsid w:val="000903B8"/>
    <w:rsid w:val="000A51C2"/>
    <w:rsid w:val="000A63BB"/>
    <w:rsid w:val="000A7DF9"/>
    <w:rsid w:val="000B75F7"/>
    <w:rsid w:val="000D3BFE"/>
    <w:rsid w:val="000D7A53"/>
    <w:rsid w:val="000E01D7"/>
    <w:rsid w:val="000E38D3"/>
    <w:rsid w:val="000F3474"/>
    <w:rsid w:val="000F4120"/>
    <w:rsid w:val="00102CFF"/>
    <w:rsid w:val="001079C9"/>
    <w:rsid w:val="001113D2"/>
    <w:rsid w:val="00114799"/>
    <w:rsid w:val="001178FF"/>
    <w:rsid w:val="00126477"/>
    <w:rsid w:val="0014066F"/>
    <w:rsid w:val="001441AF"/>
    <w:rsid w:val="001449CC"/>
    <w:rsid w:val="00144D55"/>
    <w:rsid w:val="0015282D"/>
    <w:rsid w:val="001562EC"/>
    <w:rsid w:val="00156938"/>
    <w:rsid w:val="00156A5C"/>
    <w:rsid w:val="00162658"/>
    <w:rsid w:val="00166534"/>
    <w:rsid w:val="00167B2F"/>
    <w:rsid w:val="001775C1"/>
    <w:rsid w:val="00182049"/>
    <w:rsid w:val="0019609C"/>
    <w:rsid w:val="001A227F"/>
    <w:rsid w:val="001A5AF9"/>
    <w:rsid w:val="001B3A32"/>
    <w:rsid w:val="001B5FC7"/>
    <w:rsid w:val="001C2CDA"/>
    <w:rsid w:val="001C7450"/>
    <w:rsid w:val="001D1EFB"/>
    <w:rsid w:val="001E03F9"/>
    <w:rsid w:val="001E2353"/>
    <w:rsid w:val="001E23AF"/>
    <w:rsid w:val="001F7171"/>
    <w:rsid w:val="00205212"/>
    <w:rsid w:val="00211FCB"/>
    <w:rsid w:val="00212081"/>
    <w:rsid w:val="00213199"/>
    <w:rsid w:val="00213342"/>
    <w:rsid w:val="0021372C"/>
    <w:rsid w:val="00227446"/>
    <w:rsid w:val="00232537"/>
    <w:rsid w:val="00234197"/>
    <w:rsid w:val="00236385"/>
    <w:rsid w:val="00242C87"/>
    <w:rsid w:val="002450D6"/>
    <w:rsid w:val="00250979"/>
    <w:rsid w:val="00263B3A"/>
    <w:rsid w:val="002641E6"/>
    <w:rsid w:val="00274C6F"/>
    <w:rsid w:val="00275CF7"/>
    <w:rsid w:val="00290D2B"/>
    <w:rsid w:val="0029382F"/>
    <w:rsid w:val="00297B80"/>
    <w:rsid w:val="002A25D3"/>
    <w:rsid w:val="002A3FA2"/>
    <w:rsid w:val="002A5687"/>
    <w:rsid w:val="002A5A3A"/>
    <w:rsid w:val="002A78B5"/>
    <w:rsid w:val="002B4411"/>
    <w:rsid w:val="002B4DAE"/>
    <w:rsid w:val="002C071C"/>
    <w:rsid w:val="002C3327"/>
    <w:rsid w:val="002D6063"/>
    <w:rsid w:val="002D7D75"/>
    <w:rsid w:val="002E47DA"/>
    <w:rsid w:val="002F36FB"/>
    <w:rsid w:val="002F517C"/>
    <w:rsid w:val="002F67ED"/>
    <w:rsid w:val="003063DE"/>
    <w:rsid w:val="00310051"/>
    <w:rsid w:val="003144F0"/>
    <w:rsid w:val="00314840"/>
    <w:rsid w:val="0031627A"/>
    <w:rsid w:val="00332413"/>
    <w:rsid w:val="00332CC6"/>
    <w:rsid w:val="00332EE9"/>
    <w:rsid w:val="00337135"/>
    <w:rsid w:val="00340F5A"/>
    <w:rsid w:val="00341A8A"/>
    <w:rsid w:val="00342ED4"/>
    <w:rsid w:val="00345D36"/>
    <w:rsid w:val="0035016A"/>
    <w:rsid w:val="003506A1"/>
    <w:rsid w:val="00353A50"/>
    <w:rsid w:val="003544D8"/>
    <w:rsid w:val="00357016"/>
    <w:rsid w:val="0036268C"/>
    <w:rsid w:val="00362BC0"/>
    <w:rsid w:val="00367D01"/>
    <w:rsid w:val="00384FCA"/>
    <w:rsid w:val="00385A50"/>
    <w:rsid w:val="00387B95"/>
    <w:rsid w:val="00391D4A"/>
    <w:rsid w:val="00393D2B"/>
    <w:rsid w:val="00394065"/>
    <w:rsid w:val="003A0D62"/>
    <w:rsid w:val="003A2C39"/>
    <w:rsid w:val="003A5B1F"/>
    <w:rsid w:val="003B0B07"/>
    <w:rsid w:val="003B64B4"/>
    <w:rsid w:val="003C29E7"/>
    <w:rsid w:val="003D202B"/>
    <w:rsid w:val="003D498A"/>
    <w:rsid w:val="003D6DCB"/>
    <w:rsid w:val="003E591C"/>
    <w:rsid w:val="00402190"/>
    <w:rsid w:val="00411A12"/>
    <w:rsid w:val="00414132"/>
    <w:rsid w:val="00414FFE"/>
    <w:rsid w:val="00417E35"/>
    <w:rsid w:val="00423D8A"/>
    <w:rsid w:val="004261D3"/>
    <w:rsid w:val="0042779A"/>
    <w:rsid w:val="004306BD"/>
    <w:rsid w:val="004322C5"/>
    <w:rsid w:val="004325FA"/>
    <w:rsid w:val="00450B3A"/>
    <w:rsid w:val="00460EEB"/>
    <w:rsid w:val="004612EB"/>
    <w:rsid w:val="004709F8"/>
    <w:rsid w:val="004775A7"/>
    <w:rsid w:val="0049006A"/>
    <w:rsid w:val="0049128C"/>
    <w:rsid w:val="0049367E"/>
    <w:rsid w:val="004937F9"/>
    <w:rsid w:val="00494C16"/>
    <w:rsid w:val="00494EE7"/>
    <w:rsid w:val="004A5519"/>
    <w:rsid w:val="004B0891"/>
    <w:rsid w:val="004B26B6"/>
    <w:rsid w:val="004C0F81"/>
    <w:rsid w:val="004C0FEE"/>
    <w:rsid w:val="004C5D14"/>
    <w:rsid w:val="004C6CD9"/>
    <w:rsid w:val="004D27E6"/>
    <w:rsid w:val="004D49A2"/>
    <w:rsid w:val="004D71FC"/>
    <w:rsid w:val="004E0A06"/>
    <w:rsid w:val="004E3795"/>
    <w:rsid w:val="004E3CAE"/>
    <w:rsid w:val="004E587C"/>
    <w:rsid w:val="004E66EC"/>
    <w:rsid w:val="004E6D0A"/>
    <w:rsid w:val="004F4B3D"/>
    <w:rsid w:val="004F5394"/>
    <w:rsid w:val="00500F17"/>
    <w:rsid w:val="00503736"/>
    <w:rsid w:val="0050575F"/>
    <w:rsid w:val="005074F4"/>
    <w:rsid w:val="00514D69"/>
    <w:rsid w:val="00522877"/>
    <w:rsid w:val="00524E98"/>
    <w:rsid w:val="00526195"/>
    <w:rsid w:val="005329C0"/>
    <w:rsid w:val="005358A3"/>
    <w:rsid w:val="005371A0"/>
    <w:rsid w:val="0054210B"/>
    <w:rsid w:val="005439C7"/>
    <w:rsid w:val="005469C1"/>
    <w:rsid w:val="0054758E"/>
    <w:rsid w:val="00561949"/>
    <w:rsid w:val="00566149"/>
    <w:rsid w:val="005670F0"/>
    <w:rsid w:val="00573FCF"/>
    <w:rsid w:val="00575740"/>
    <w:rsid w:val="00575B3E"/>
    <w:rsid w:val="00576873"/>
    <w:rsid w:val="005769B9"/>
    <w:rsid w:val="00582D47"/>
    <w:rsid w:val="005953E0"/>
    <w:rsid w:val="005A062D"/>
    <w:rsid w:val="005A5CD6"/>
    <w:rsid w:val="005A6785"/>
    <w:rsid w:val="005B13AF"/>
    <w:rsid w:val="005B5311"/>
    <w:rsid w:val="005B7220"/>
    <w:rsid w:val="005D06C9"/>
    <w:rsid w:val="005E2BE2"/>
    <w:rsid w:val="005E74CA"/>
    <w:rsid w:val="005F4A76"/>
    <w:rsid w:val="006005B3"/>
    <w:rsid w:val="0060259D"/>
    <w:rsid w:val="00602ECD"/>
    <w:rsid w:val="00604C7B"/>
    <w:rsid w:val="00612942"/>
    <w:rsid w:val="00615E66"/>
    <w:rsid w:val="006230FC"/>
    <w:rsid w:val="00630E40"/>
    <w:rsid w:val="006311B1"/>
    <w:rsid w:val="00633C6F"/>
    <w:rsid w:val="006604AC"/>
    <w:rsid w:val="0066097E"/>
    <w:rsid w:val="00664051"/>
    <w:rsid w:val="00666D37"/>
    <w:rsid w:val="006716C1"/>
    <w:rsid w:val="00672F65"/>
    <w:rsid w:val="00673ED1"/>
    <w:rsid w:val="0067761B"/>
    <w:rsid w:val="00677B97"/>
    <w:rsid w:val="00680599"/>
    <w:rsid w:val="00684EB3"/>
    <w:rsid w:val="00687A12"/>
    <w:rsid w:val="0069016D"/>
    <w:rsid w:val="00697B1B"/>
    <w:rsid w:val="006A3A98"/>
    <w:rsid w:val="006A6507"/>
    <w:rsid w:val="006A6959"/>
    <w:rsid w:val="006B3393"/>
    <w:rsid w:val="006B4AA0"/>
    <w:rsid w:val="006B62DB"/>
    <w:rsid w:val="006D4475"/>
    <w:rsid w:val="006E1418"/>
    <w:rsid w:val="006E2608"/>
    <w:rsid w:val="006E2C87"/>
    <w:rsid w:val="006E5F37"/>
    <w:rsid w:val="006E5F39"/>
    <w:rsid w:val="006E7F2D"/>
    <w:rsid w:val="006F37C9"/>
    <w:rsid w:val="006F3E72"/>
    <w:rsid w:val="006F4DD1"/>
    <w:rsid w:val="006F70A3"/>
    <w:rsid w:val="007001AA"/>
    <w:rsid w:val="00700C8A"/>
    <w:rsid w:val="00702AE3"/>
    <w:rsid w:val="00704C3B"/>
    <w:rsid w:val="0070760F"/>
    <w:rsid w:val="0071348E"/>
    <w:rsid w:val="0071376C"/>
    <w:rsid w:val="00715CAF"/>
    <w:rsid w:val="00717240"/>
    <w:rsid w:val="007174F7"/>
    <w:rsid w:val="0072128F"/>
    <w:rsid w:val="00726BF7"/>
    <w:rsid w:val="00730641"/>
    <w:rsid w:val="00730E80"/>
    <w:rsid w:val="00733E24"/>
    <w:rsid w:val="0074059E"/>
    <w:rsid w:val="007501F1"/>
    <w:rsid w:val="00750DAC"/>
    <w:rsid w:val="00757E2A"/>
    <w:rsid w:val="00760A17"/>
    <w:rsid w:val="00765DCB"/>
    <w:rsid w:val="00767CF1"/>
    <w:rsid w:val="007719FB"/>
    <w:rsid w:val="00772C81"/>
    <w:rsid w:val="00781B3D"/>
    <w:rsid w:val="00782E6D"/>
    <w:rsid w:val="00790219"/>
    <w:rsid w:val="00790E1A"/>
    <w:rsid w:val="007A267D"/>
    <w:rsid w:val="007A31E0"/>
    <w:rsid w:val="007B28C6"/>
    <w:rsid w:val="007C4540"/>
    <w:rsid w:val="007D0974"/>
    <w:rsid w:val="007D2B15"/>
    <w:rsid w:val="007E5ACD"/>
    <w:rsid w:val="007F3DB5"/>
    <w:rsid w:val="007F58C3"/>
    <w:rsid w:val="007F6531"/>
    <w:rsid w:val="007F7BDA"/>
    <w:rsid w:val="00807DEA"/>
    <w:rsid w:val="008116C6"/>
    <w:rsid w:val="00820FCF"/>
    <w:rsid w:val="0082429C"/>
    <w:rsid w:val="008257F1"/>
    <w:rsid w:val="00826125"/>
    <w:rsid w:val="00827174"/>
    <w:rsid w:val="0083036B"/>
    <w:rsid w:val="00835136"/>
    <w:rsid w:val="00840B6F"/>
    <w:rsid w:val="00841616"/>
    <w:rsid w:val="00846399"/>
    <w:rsid w:val="00850834"/>
    <w:rsid w:val="00851B51"/>
    <w:rsid w:val="00860DE2"/>
    <w:rsid w:val="00862883"/>
    <w:rsid w:val="00865489"/>
    <w:rsid w:val="00871D93"/>
    <w:rsid w:val="0087472D"/>
    <w:rsid w:val="00877CEE"/>
    <w:rsid w:val="00880037"/>
    <w:rsid w:val="00881932"/>
    <w:rsid w:val="00890CCB"/>
    <w:rsid w:val="00893A39"/>
    <w:rsid w:val="008A2433"/>
    <w:rsid w:val="008A2D3E"/>
    <w:rsid w:val="008A3452"/>
    <w:rsid w:val="008A3F05"/>
    <w:rsid w:val="008A66A4"/>
    <w:rsid w:val="008A723A"/>
    <w:rsid w:val="008B284F"/>
    <w:rsid w:val="008B6337"/>
    <w:rsid w:val="008C0D58"/>
    <w:rsid w:val="008C1736"/>
    <w:rsid w:val="008D670E"/>
    <w:rsid w:val="008E1451"/>
    <w:rsid w:val="008E2200"/>
    <w:rsid w:val="008E2A3B"/>
    <w:rsid w:val="008E2F93"/>
    <w:rsid w:val="008F2DB9"/>
    <w:rsid w:val="008F3322"/>
    <w:rsid w:val="008F7F30"/>
    <w:rsid w:val="00901129"/>
    <w:rsid w:val="00902309"/>
    <w:rsid w:val="00905468"/>
    <w:rsid w:val="00916497"/>
    <w:rsid w:val="00924282"/>
    <w:rsid w:val="00924BDD"/>
    <w:rsid w:val="009273D4"/>
    <w:rsid w:val="00927D98"/>
    <w:rsid w:val="009323C5"/>
    <w:rsid w:val="00934D93"/>
    <w:rsid w:val="00941036"/>
    <w:rsid w:val="009532A4"/>
    <w:rsid w:val="009537EF"/>
    <w:rsid w:val="00966D07"/>
    <w:rsid w:val="00972EFD"/>
    <w:rsid w:val="00974055"/>
    <w:rsid w:val="009871F0"/>
    <w:rsid w:val="0099054F"/>
    <w:rsid w:val="009947FF"/>
    <w:rsid w:val="009A34C2"/>
    <w:rsid w:val="009B0328"/>
    <w:rsid w:val="009B22F2"/>
    <w:rsid w:val="009B4479"/>
    <w:rsid w:val="009C25FF"/>
    <w:rsid w:val="009C5F4D"/>
    <w:rsid w:val="009D1263"/>
    <w:rsid w:val="009D3715"/>
    <w:rsid w:val="009D3E8B"/>
    <w:rsid w:val="009D62BC"/>
    <w:rsid w:val="009F1BD9"/>
    <w:rsid w:val="009F3A44"/>
    <w:rsid w:val="009F594D"/>
    <w:rsid w:val="009F59DA"/>
    <w:rsid w:val="009F5A46"/>
    <w:rsid w:val="00A02FD2"/>
    <w:rsid w:val="00A05D10"/>
    <w:rsid w:val="00A0746E"/>
    <w:rsid w:val="00A121E9"/>
    <w:rsid w:val="00A15612"/>
    <w:rsid w:val="00A212DF"/>
    <w:rsid w:val="00A33B1C"/>
    <w:rsid w:val="00A37BD1"/>
    <w:rsid w:val="00A43690"/>
    <w:rsid w:val="00A47A48"/>
    <w:rsid w:val="00A5011D"/>
    <w:rsid w:val="00A52A3D"/>
    <w:rsid w:val="00A54174"/>
    <w:rsid w:val="00A55A5C"/>
    <w:rsid w:val="00A55BE3"/>
    <w:rsid w:val="00A5691E"/>
    <w:rsid w:val="00A57BF4"/>
    <w:rsid w:val="00A610FE"/>
    <w:rsid w:val="00A62398"/>
    <w:rsid w:val="00A73F9B"/>
    <w:rsid w:val="00A75B3D"/>
    <w:rsid w:val="00A81597"/>
    <w:rsid w:val="00A872B6"/>
    <w:rsid w:val="00A922D6"/>
    <w:rsid w:val="00A9272D"/>
    <w:rsid w:val="00A96386"/>
    <w:rsid w:val="00A96AAD"/>
    <w:rsid w:val="00AA3CE9"/>
    <w:rsid w:val="00AA5E0E"/>
    <w:rsid w:val="00AB1F0F"/>
    <w:rsid w:val="00AB620A"/>
    <w:rsid w:val="00AB74E2"/>
    <w:rsid w:val="00AD00F1"/>
    <w:rsid w:val="00AD1E1F"/>
    <w:rsid w:val="00AD3D95"/>
    <w:rsid w:val="00AD77AA"/>
    <w:rsid w:val="00AD7F84"/>
    <w:rsid w:val="00AE0056"/>
    <w:rsid w:val="00AE0AA7"/>
    <w:rsid w:val="00AE6FFB"/>
    <w:rsid w:val="00AF2309"/>
    <w:rsid w:val="00B035F3"/>
    <w:rsid w:val="00B04F6B"/>
    <w:rsid w:val="00B0541A"/>
    <w:rsid w:val="00B07A43"/>
    <w:rsid w:val="00B140A3"/>
    <w:rsid w:val="00B151C6"/>
    <w:rsid w:val="00B15B6B"/>
    <w:rsid w:val="00B16631"/>
    <w:rsid w:val="00B17CC9"/>
    <w:rsid w:val="00B21D53"/>
    <w:rsid w:val="00B220B2"/>
    <w:rsid w:val="00B338BE"/>
    <w:rsid w:val="00B3570D"/>
    <w:rsid w:val="00B43C35"/>
    <w:rsid w:val="00B4436F"/>
    <w:rsid w:val="00B46184"/>
    <w:rsid w:val="00B524CA"/>
    <w:rsid w:val="00B717DE"/>
    <w:rsid w:val="00B72173"/>
    <w:rsid w:val="00B75D80"/>
    <w:rsid w:val="00B76D8A"/>
    <w:rsid w:val="00B95940"/>
    <w:rsid w:val="00B95BED"/>
    <w:rsid w:val="00B95CBF"/>
    <w:rsid w:val="00BA6D44"/>
    <w:rsid w:val="00BC17D2"/>
    <w:rsid w:val="00BD7935"/>
    <w:rsid w:val="00BF0260"/>
    <w:rsid w:val="00BF1B1E"/>
    <w:rsid w:val="00BF5E6D"/>
    <w:rsid w:val="00C05173"/>
    <w:rsid w:val="00C0742F"/>
    <w:rsid w:val="00C1114D"/>
    <w:rsid w:val="00C11FC2"/>
    <w:rsid w:val="00C16F13"/>
    <w:rsid w:val="00C30FC7"/>
    <w:rsid w:val="00C33EEF"/>
    <w:rsid w:val="00C372E8"/>
    <w:rsid w:val="00C41CF9"/>
    <w:rsid w:val="00C43A67"/>
    <w:rsid w:val="00C46D4C"/>
    <w:rsid w:val="00C65270"/>
    <w:rsid w:val="00C65860"/>
    <w:rsid w:val="00C76326"/>
    <w:rsid w:val="00C83575"/>
    <w:rsid w:val="00C94096"/>
    <w:rsid w:val="00CA1375"/>
    <w:rsid w:val="00CA6873"/>
    <w:rsid w:val="00CA6BC0"/>
    <w:rsid w:val="00CA7B40"/>
    <w:rsid w:val="00CB2CC9"/>
    <w:rsid w:val="00CB4511"/>
    <w:rsid w:val="00CC793F"/>
    <w:rsid w:val="00CD28A8"/>
    <w:rsid w:val="00CD7EA9"/>
    <w:rsid w:val="00CE3587"/>
    <w:rsid w:val="00CE5582"/>
    <w:rsid w:val="00CF0B5B"/>
    <w:rsid w:val="00D15643"/>
    <w:rsid w:val="00D201EB"/>
    <w:rsid w:val="00D2033D"/>
    <w:rsid w:val="00D267B3"/>
    <w:rsid w:val="00D30579"/>
    <w:rsid w:val="00D315BA"/>
    <w:rsid w:val="00D33744"/>
    <w:rsid w:val="00D33B9D"/>
    <w:rsid w:val="00D42C85"/>
    <w:rsid w:val="00D45F78"/>
    <w:rsid w:val="00D500AE"/>
    <w:rsid w:val="00D509A9"/>
    <w:rsid w:val="00D50F63"/>
    <w:rsid w:val="00D657E9"/>
    <w:rsid w:val="00D7264F"/>
    <w:rsid w:val="00D73665"/>
    <w:rsid w:val="00D74F05"/>
    <w:rsid w:val="00D80BB7"/>
    <w:rsid w:val="00D81031"/>
    <w:rsid w:val="00D81385"/>
    <w:rsid w:val="00D86F10"/>
    <w:rsid w:val="00DA14B8"/>
    <w:rsid w:val="00DA7DF7"/>
    <w:rsid w:val="00DB7F39"/>
    <w:rsid w:val="00DC021C"/>
    <w:rsid w:val="00DC50E2"/>
    <w:rsid w:val="00DC62F4"/>
    <w:rsid w:val="00DD34EB"/>
    <w:rsid w:val="00DD4661"/>
    <w:rsid w:val="00DD7038"/>
    <w:rsid w:val="00DE031E"/>
    <w:rsid w:val="00DE67AD"/>
    <w:rsid w:val="00DE6DF6"/>
    <w:rsid w:val="00E0302F"/>
    <w:rsid w:val="00E05143"/>
    <w:rsid w:val="00E13F57"/>
    <w:rsid w:val="00E17AB4"/>
    <w:rsid w:val="00E214B2"/>
    <w:rsid w:val="00E21802"/>
    <w:rsid w:val="00E21F42"/>
    <w:rsid w:val="00E2333C"/>
    <w:rsid w:val="00E30EC7"/>
    <w:rsid w:val="00E314DA"/>
    <w:rsid w:val="00E33713"/>
    <w:rsid w:val="00E37A1F"/>
    <w:rsid w:val="00E40920"/>
    <w:rsid w:val="00E42987"/>
    <w:rsid w:val="00E45CB9"/>
    <w:rsid w:val="00E5034E"/>
    <w:rsid w:val="00E5333E"/>
    <w:rsid w:val="00E61297"/>
    <w:rsid w:val="00E71A6D"/>
    <w:rsid w:val="00E73A99"/>
    <w:rsid w:val="00E774E4"/>
    <w:rsid w:val="00E82431"/>
    <w:rsid w:val="00E860C1"/>
    <w:rsid w:val="00E9046A"/>
    <w:rsid w:val="00E918F8"/>
    <w:rsid w:val="00E91EAB"/>
    <w:rsid w:val="00EA00AE"/>
    <w:rsid w:val="00EA0B13"/>
    <w:rsid w:val="00EA0E25"/>
    <w:rsid w:val="00EA1199"/>
    <w:rsid w:val="00EA2B2F"/>
    <w:rsid w:val="00EA7A81"/>
    <w:rsid w:val="00EB082A"/>
    <w:rsid w:val="00EB172A"/>
    <w:rsid w:val="00EC19BD"/>
    <w:rsid w:val="00ED7B14"/>
    <w:rsid w:val="00EE23D7"/>
    <w:rsid w:val="00EE522F"/>
    <w:rsid w:val="00EE5452"/>
    <w:rsid w:val="00EE7B91"/>
    <w:rsid w:val="00EF3327"/>
    <w:rsid w:val="00F0193A"/>
    <w:rsid w:val="00F0202C"/>
    <w:rsid w:val="00F04C09"/>
    <w:rsid w:val="00F04CE9"/>
    <w:rsid w:val="00F1202C"/>
    <w:rsid w:val="00F20031"/>
    <w:rsid w:val="00F26030"/>
    <w:rsid w:val="00F32AE7"/>
    <w:rsid w:val="00F40819"/>
    <w:rsid w:val="00F40F43"/>
    <w:rsid w:val="00F418D9"/>
    <w:rsid w:val="00F42061"/>
    <w:rsid w:val="00F47084"/>
    <w:rsid w:val="00F51D90"/>
    <w:rsid w:val="00F5669D"/>
    <w:rsid w:val="00F676EF"/>
    <w:rsid w:val="00F67FB0"/>
    <w:rsid w:val="00F70BD2"/>
    <w:rsid w:val="00F83D6B"/>
    <w:rsid w:val="00F93678"/>
    <w:rsid w:val="00FA4202"/>
    <w:rsid w:val="00FC2696"/>
    <w:rsid w:val="00FC3E69"/>
    <w:rsid w:val="00FC4305"/>
    <w:rsid w:val="00FC66DF"/>
    <w:rsid w:val="00FC678E"/>
    <w:rsid w:val="00FD3723"/>
    <w:rsid w:val="00FE6AA6"/>
    <w:rsid w:val="00FF05FF"/>
    <w:rsid w:val="00FF12E2"/>
    <w:rsid w:val="00FF1CD4"/>
    <w:rsid w:val="00FF5DA4"/>
    <w:rsid w:val="00FF7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8A67AD"/>
  <w15:docId w15:val="{64C34383-6997-45BC-AAA4-B925A160F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44D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NormalWeb">
    <w:name w:val="Normal (Web)"/>
    <w:basedOn w:val="Normal"/>
    <w:uiPriority w:val="99"/>
    <w:semiHidden/>
    <w:unhideWhenUsed/>
    <w:rsid w:val="00181848"/>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1178FF"/>
    <w:rPr>
      <w:color w:val="0000FF"/>
      <w:u w:val="single"/>
    </w:rPr>
  </w:style>
  <w:style w:type="character" w:customStyle="1" w:styleId="TitleChar">
    <w:name w:val="Title Char"/>
    <w:basedOn w:val="DefaultParagraphFont"/>
    <w:link w:val="Title"/>
    <w:rsid w:val="001178FF"/>
    <w:rPr>
      <w:b/>
      <w:sz w:val="72"/>
      <w:szCs w:val="72"/>
    </w:rPr>
  </w:style>
  <w:style w:type="paragraph" w:customStyle="1" w:styleId="AuthorList">
    <w:name w:val="Author List"/>
    <w:aliases w:val="Keywords,Abstract"/>
    <w:basedOn w:val="Subtitle"/>
    <w:next w:val="Normal"/>
    <w:uiPriority w:val="1"/>
    <w:qFormat/>
    <w:rsid w:val="001178FF"/>
    <w:pPr>
      <w:keepNext w:val="0"/>
      <w:keepLines w:val="0"/>
      <w:spacing w:before="240" w:after="240" w:line="240" w:lineRule="auto"/>
    </w:pPr>
    <w:rPr>
      <w:rFonts w:ascii="Times New Roman" w:eastAsiaTheme="minorHAnsi" w:hAnsi="Times New Roman" w:cs="Times New Roman"/>
      <w:b/>
      <w:i w:val="0"/>
      <w:color w:val="auto"/>
      <w:sz w:val="24"/>
      <w:szCs w:val="24"/>
      <w:lang w:val="en-US"/>
    </w:rPr>
  </w:style>
  <w:style w:type="paragraph" w:styleId="NoSpacing">
    <w:name w:val="No Spacing"/>
    <w:uiPriority w:val="1"/>
    <w:unhideWhenUsed/>
    <w:qFormat/>
    <w:rsid w:val="00D45F78"/>
    <w:pPr>
      <w:spacing w:after="0" w:line="240" w:lineRule="auto"/>
    </w:pPr>
    <w:rPr>
      <w:rFonts w:ascii="Times New Roman" w:eastAsiaTheme="minorHAnsi" w:hAnsi="Times New Roman" w:cstheme="minorBidi"/>
      <w:sz w:val="24"/>
      <w:lang w:val="en-US"/>
    </w:rPr>
  </w:style>
  <w:style w:type="paragraph" w:styleId="Header">
    <w:name w:val="header"/>
    <w:basedOn w:val="Normal"/>
    <w:link w:val="HeaderChar"/>
    <w:uiPriority w:val="99"/>
    <w:unhideWhenUsed/>
    <w:rsid w:val="00227446"/>
    <w:pPr>
      <w:tabs>
        <w:tab w:val="center" w:pos="4419"/>
        <w:tab w:val="right" w:pos="8838"/>
      </w:tabs>
      <w:spacing w:after="0" w:line="240" w:lineRule="auto"/>
    </w:pPr>
  </w:style>
  <w:style w:type="character" w:customStyle="1" w:styleId="HeaderChar">
    <w:name w:val="Header Char"/>
    <w:basedOn w:val="DefaultParagraphFont"/>
    <w:link w:val="Header"/>
    <w:uiPriority w:val="99"/>
    <w:rsid w:val="00227446"/>
  </w:style>
  <w:style w:type="paragraph" w:styleId="Footer">
    <w:name w:val="footer"/>
    <w:basedOn w:val="Normal"/>
    <w:link w:val="FooterChar"/>
    <w:uiPriority w:val="99"/>
    <w:unhideWhenUsed/>
    <w:rsid w:val="00227446"/>
    <w:pPr>
      <w:tabs>
        <w:tab w:val="center" w:pos="4419"/>
        <w:tab w:val="right" w:pos="8838"/>
      </w:tabs>
      <w:spacing w:after="0" w:line="240" w:lineRule="auto"/>
    </w:pPr>
  </w:style>
  <w:style w:type="character" w:customStyle="1" w:styleId="FooterChar">
    <w:name w:val="Footer Char"/>
    <w:basedOn w:val="DefaultParagraphFont"/>
    <w:link w:val="Footer"/>
    <w:uiPriority w:val="99"/>
    <w:rsid w:val="00227446"/>
  </w:style>
  <w:style w:type="character" w:customStyle="1" w:styleId="A6">
    <w:name w:val="A6"/>
    <w:uiPriority w:val="99"/>
    <w:rsid w:val="00DD7038"/>
    <w:rPr>
      <w:rFonts w:cs="Times"/>
      <w:color w:val="000000"/>
      <w:sz w:val="12"/>
      <w:szCs w:val="12"/>
    </w:rPr>
  </w:style>
  <w:style w:type="character" w:customStyle="1" w:styleId="A7">
    <w:name w:val="A7"/>
    <w:uiPriority w:val="99"/>
    <w:rsid w:val="00DD7038"/>
    <w:rPr>
      <w:rFonts w:cs="Times"/>
      <w:color w:val="000000"/>
      <w:sz w:val="12"/>
      <w:szCs w:val="12"/>
    </w:rPr>
  </w:style>
  <w:style w:type="paragraph" w:styleId="List2">
    <w:name w:val="List 2"/>
    <w:basedOn w:val="Normal"/>
    <w:uiPriority w:val="99"/>
    <w:unhideWhenUsed/>
    <w:rsid w:val="00D267B3"/>
    <w:pPr>
      <w:ind w:left="566" w:hanging="283"/>
      <w:contextualSpacing/>
    </w:pPr>
  </w:style>
  <w:style w:type="paragraph" w:styleId="BodyText">
    <w:name w:val="Body Text"/>
    <w:basedOn w:val="Normal"/>
    <w:link w:val="BodyTextChar"/>
    <w:uiPriority w:val="99"/>
    <w:unhideWhenUsed/>
    <w:rsid w:val="00D267B3"/>
    <w:pPr>
      <w:spacing w:after="120"/>
    </w:pPr>
  </w:style>
  <w:style w:type="character" w:customStyle="1" w:styleId="BodyTextChar">
    <w:name w:val="Body Text Char"/>
    <w:basedOn w:val="DefaultParagraphFont"/>
    <w:link w:val="BodyText"/>
    <w:uiPriority w:val="99"/>
    <w:rsid w:val="00D267B3"/>
  </w:style>
  <w:style w:type="paragraph" w:styleId="BodyTextFirstIndent">
    <w:name w:val="Body Text First Indent"/>
    <w:basedOn w:val="BodyText"/>
    <w:link w:val="BodyTextFirstIndentChar"/>
    <w:uiPriority w:val="99"/>
    <w:unhideWhenUsed/>
    <w:rsid w:val="00D267B3"/>
    <w:pPr>
      <w:spacing w:after="160"/>
      <w:ind w:firstLine="360"/>
    </w:pPr>
  </w:style>
  <w:style w:type="character" w:customStyle="1" w:styleId="BodyTextFirstIndentChar">
    <w:name w:val="Body Text First Indent Char"/>
    <w:basedOn w:val="BodyTextChar"/>
    <w:link w:val="BodyTextFirstIndent"/>
    <w:uiPriority w:val="99"/>
    <w:rsid w:val="00D267B3"/>
  </w:style>
  <w:style w:type="character" w:customStyle="1" w:styleId="superscript">
    <w:name w:val="superscript"/>
    <w:basedOn w:val="DefaultParagraphFont"/>
    <w:rsid w:val="00E5333E"/>
  </w:style>
  <w:style w:type="paragraph" w:customStyle="1" w:styleId="Default">
    <w:name w:val="Default"/>
    <w:rsid w:val="00F40F43"/>
    <w:pPr>
      <w:autoSpaceDE w:val="0"/>
      <w:autoSpaceDN w:val="0"/>
      <w:adjustRightInd w:val="0"/>
      <w:spacing w:after="0" w:line="240" w:lineRule="auto"/>
    </w:pPr>
    <w:rPr>
      <w:rFonts w:ascii="Times" w:eastAsia="Times" w:cs="Times"/>
      <w:color w:val="000000"/>
      <w:sz w:val="24"/>
      <w:szCs w:val="24"/>
      <w:lang w:val="en-US"/>
    </w:rPr>
  </w:style>
  <w:style w:type="character" w:customStyle="1" w:styleId="ref-lnk">
    <w:name w:val="ref-lnk"/>
    <w:basedOn w:val="DefaultParagraphFont"/>
    <w:rsid w:val="005B7220"/>
  </w:style>
  <w:style w:type="character" w:customStyle="1" w:styleId="hlfld-contribauthor">
    <w:name w:val="hlfld-contribauthor"/>
    <w:basedOn w:val="DefaultParagraphFont"/>
    <w:rsid w:val="002B4DAE"/>
  </w:style>
  <w:style w:type="character" w:customStyle="1" w:styleId="nlmgiven-names">
    <w:name w:val="nlm_given-names"/>
    <w:basedOn w:val="DefaultParagraphFont"/>
    <w:rsid w:val="002B4DAE"/>
  </w:style>
  <w:style w:type="character" w:customStyle="1" w:styleId="nlmyear">
    <w:name w:val="nlm_year"/>
    <w:basedOn w:val="DefaultParagraphFont"/>
    <w:rsid w:val="002B4DAE"/>
  </w:style>
  <w:style w:type="character" w:customStyle="1" w:styleId="nlmarticle-title">
    <w:name w:val="nlm_article-title"/>
    <w:basedOn w:val="DefaultParagraphFont"/>
    <w:rsid w:val="002B4DAE"/>
  </w:style>
  <w:style w:type="character" w:customStyle="1" w:styleId="nlmfpage">
    <w:name w:val="nlm_fpage"/>
    <w:basedOn w:val="DefaultParagraphFont"/>
    <w:rsid w:val="002B4DAE"/>
  </w:style>
  <w:style w:type="character" w:customStyle="1" w:styleId="nlmlpage">
    <w:name w:val="nlm_lpage"/>
    <w:basedOn w:val="DefaultParagraphFont"/>
    <w:rsid w:val="002B4DAE"/>
  </w:style>
  <w:style w:type="character" w:styleId="PlaceholderText">
    <w:name w:val="Placeholder Text"/>
    <w:basedOn w:val="DefaultParagraphFont"/>
    <w:uiPriority w:val="99"/>
    <w:semiHidden/>
    <w:rsid w:val="00972EFD"/>
    <w:rPr>
      <w:color w:val="808080"/>
    </w:rPr>
  </w:style>
  <w:style w:type="paragraph" w:styleId="BalloonText">
    <w:name w:val="Balloon Text"/>
    <w:basedOn w:val="Normal"/>
    <w:link w:val="BalloonTextChar"/>
    <w:uiPriority w:val="99"/>
    <w:semiHidden/>
    <w:unhideWhenUsed/>
    <w:rsid w:val="003D49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498A"/>
    <w:rPr>
      <w:rFonts w:ascii="Segoe UI" w:hAnsi="Segoe UI" w:cs="Segoe UI"/>
      <w:sz w:val="18"/>
      <w:szCs w:val="18"/>
    </w:rPr>
  </w:style>
  <w:style w:type="character" w:customStyle="1" w:styleId="UnresolvedMention">
    <w:name w:val="Unresolved Mention"/>
    <w:basedOn w:val="DefaultParagraphFont"/>
    <w:uiPriority w:val="99"/>
    <w:semiHidden/>
    <w:unhideWhenUsed/>
    <w:rsid w:val="0029382F"/>
    <w:rPr>
      <w:color w:val="605E5C"/>
      <w:shd w:val="clear" w:color="auto" w:fill="E1DFDD"/>
    </w:rPr>
  </w:style>
  <w:style w:type="paragraph" w:customStyle="1" w:styleId="Standard">
    <w:name w:val="Standard"/>
    <w:rsid w:val="002D6063"/>
    <w:pPr>
      <w:suppressAutoHyphens/>
      <w:autoSpaceDN w:val="0"/>
      <w:spacing w:line="249" w:lineRule="auto"/>
      <w:textAlignment w:val="baseline"/>
    </w:pPr>
    <w:rPr>
      <w:lang w:val="en-US" w:eastAsia="zh-CN" w:bidi="hi-IN"/>
    </w:rPr>
  </w:style>
  <w:style w:type="character" w:styleId="LineNumber">
    <w:name w:val="line number"/>
    <w:basedOn w:val="DefaultParagraphFont"/>
    <w:uiPriority w:val="99"/>
    <w:semiHidden/>
    <w:unhideWhenUsed/>
    <w:rsid w:val="00F83D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491">
      <w:bodyDiv w:val="1"/>
      <w:marLeft w:val="0"/>
      <w:marRight w:val="0"/>
      <w:marTop w:val="0"/>
      <w:marBottom w:val="0"/>
      <w:divBdr>
        <w:top w:val="none" w:sz="0" w:space="0" w:color="auto"/>
        <w:left w:val="none" w:sz="0" w:space="0" w:color="auto"/>
        <w:bottom w:val="none" w:sz="0" w:space="0" w:color="auto"/>
        <w:right w:val="none" w:sz="0" w:space="0" w:color="auto"/>
      </w:divBdr>
    </w:div>
    <w:div w:id="46878969">
      <w:bodyDiv w:val="1"/>
      <w:marLeft w:val="0"/>
      <w:marRight w:val="0"/>
      <w:marTop w:val="0"/>
      <w:marBottom w:val="0"/>
      <w:divBdr>
        <w:top w:val="none" w:sz="0" w:space="0" w:color="auto"/>
        <w:left w:val="none" w:sz="0" w:space="0" w:color="auto"/>
        <w:bottom w:val="none" w:sz="0" w:space="0" w:color="auto"/>
        <w:right w:val="none" w:sz="0" w:space="0" w:color="auto"/>
      </w:divBdr>
    </w:div>
    <w:div w:id="72632518">
      <w:bodyDiv w:val="1"/>
      <w:marLeft w:val="0"/>
      <w:marRight w:val="0"/>
      <w:marTop w:val="0"/>
      <w:marBottom w:val="0"/>
      <w:divBdr>
        <w:top w:val="none" w:sz="0" w:space="0" w:color="auto"/>
        <w:left w:val="none" w:sz="0" w:space="0" w:color="auto"/>
        <w:bottom w:val="none" w:sz="0" w:space="0" w:color="auto"/>
        <w:right w:val="none" w:sz="0" w:space="0" w:color="auto"/>
      </w:divBdr>
    </w:div>
    <w:div w:id="307562989">
      <w:bodyDiv w:val="1"/>
      <w:marLeft w:val="0"/>
      <w:marRight w:val="0"/>
      <w:marTop w:val="0"/>
      <w:marBottom w:val="0"/>
      <w:divBdr>
        <w:top w:val="none" w:sz="0" w:space="0" w:color="auto"/>
        <w:left w:val="none" w:sz="0" w:space="0" w:color="auto"/>
        <w:bottom w:val="none" w:sz="0" w:space="0" w:color="auto"/>
        <w:right w:val="none" w:sz="0" w:space="0" w:color="auto"/>
      </w:divBdr>
    </w:div>
    <w:div w:id="321201437">
      <w:bodyDiv w:val="1"/>
      <w:marLeft w:val="0"/>
      <w:marRight w:val="0"/>
      <w:marTop w:val="0"/>
      <w:marBottom w:val="0"/>
      <w:divBdr>
        <w:top w:val="none" w:sz="0" w:space="0" w:color="auto"/>
        <w:left w:val="none" w:sz="0" w:space="0" w:color="auto"/>
        <w:bottom w:val="none" w:sz="0" w:space="0" w:color="auto"/>
        <w:right w:val="none" w:sz="0" w:space="0" w:color="auto"/>
      </w:divBdr>
    </w:div>
    <w:div w:id="332413796">
      <w:bodyDiv w:val="1"/>
      <w:marLeft w:val="0"/>
      <w:marRight w:val="0"/>
      <w:marTop w:val="0"/>
      <w:marBottom w:val="0"/>
      <w:divBdr>
        <w:top w:val="none" w:sz="0" w:space="0" w:color="auto"/>
        <w:left w:val="none" w:sz="0" w:space="0" w:color="auto"/>
        <w:bottom w:val="none" w:sz="0" w:space="0" w:color="auto"/>
        <w:right w:val="none" w:sz="0" w:space="0" w:color="auto"/>
      </w:divBdr>
    </w:div>
    <w:div w:id="342822344">
      <w:bodyDiv w:val="1"/>
      <w:marLeft w:val="0"/>
      <w:marRight w:val="0"/>
      <w:marTop w:val="0"/>
      <w:marBottom w:val="0"/>
      <w:divBdr>
        <w:top w:val="none" w:sz="0" w:space="0" w:color="auto"/>
        <w:left w:val="none" w:sz="0" w:space="0" w:color="auto"/>
        <w:bottom w:val="none" w:sz="0" w:space="0" w:color="auto"/>
        <w:right w:val="none" w:sz="0" w:space="0" w:color="auto"/>
      </w:divBdr>
    </w:div>
    <w:div w:id="557594321">
      <w:bodyDiv w:val="1"/>
      <w:marLeft w:val="0"/>
      <w:marRight w:val="0"/>
      <w:marTop w:val="0"/>
      <w:marBottom w:val="0"/>
      <w:divBdr>
        <w:top w:val="none" w:sz="0" w:space="0" w:color="auto"/>
        <w:left w:val="none" w:sz="0" w:space="0" w:color="auto"/>
        <w:bottom w:val="none" w:sz="0" w:space="0" w:color="auto"/>
        <w:right w:val="none" w:sz="0" w:space="0" w:color="auto"/>
      </w:divBdr>
    </w:div>
    <w:div w:id="757292552">
      <w:bodyDiv w:val="1"/>
      <w:marLeft w:val="0"/>
      <w:marRight w:val="0"/>
      <w:marTop w:val="0"/>
      <w:marBottom w:val="0"/>
      <w:divBdr>
        <w:top w:val="none" w:sz="0" w:space="0" w:color="auto"/>
        <w:left w:val="none" w:sz="0" w:space="0" w:color="auto"/>
        <w:bottom w:val="none" w:sz="0" w:space="0" w:color="auto"/>
        <w:right w:val="none" w:sz="0" w:space="0" w:color="auto"/>
      </w:divBdr>
    </w:div>
    <w:div w:id="811795867">
      <w:bodyDiv w:val="1"/>
      <w:marLeft w:val="0"/>
      <w:marRight w:val="0"/>
      <w:marTop w:val="0"/>
      <w:marBottom w:val="0"/>
      <w:divBdr>
        <w:top w:val="none" w:sz="0" w:space="0" w:color="auto"/>
        <w:left w:val="none" w:sz="0" w:space="0" w:color="auto"/>
        <w:bottom w:val="none" w:sz="0" w:space="0" w:color="auto"/>
        <w:right w:val="none" w:sz="0" w:space="0" w:color="auto"/>
      </w:divBdr>
    </w:div>
    <w:div w:id="826172021">
      <w:bodyDiv w:val="1"/>
      <w:marLeft w:val="0"/>
      <w:marRight w:val="0"/>
      <w:marTop w:val="0"/>
      <w:marBottom w:val="0"/>
      <w:divBdr>
        <w:top w:val="none" w:sz="0" w:space="0" w:color="auto"/>
        <w:left w:val="none" w:sz="0" w:space="0" w:color="auto"/>
        <w:bottom w:val="none" w:sz="0" w:space="0" w:color="auto"/>
        <w:right w:val="none" w:sz="0" w:space="0" w:color="auto"/>
      </w:divBdr>
    </w:div>
    <w:div w:id="828250782">
      <w:bodyDiv w:val="1"/>
      <w:marLeft w:val="0"/>
      <w:marRight w:val="0"/>
      <w:marTop w:val="0"/>
      <w:marBottom w:val="0"/>
      <w:divBdr>
        <w:top w:val="none" w:sz="0" w:space="0" w:color="auto"/>
        <w:left w:val="none" w:sz="0" w:space="0" w:color="auto"/>
        <w:bottom w:val="none" w:sz="0" w:space="0" w:color="auto"/>
        <w:right w:val="none" w:sz="0" w:space="0" w:color="auto"/>
      </w:divBdr>
    </w:div>
    <w:div w:id="894701233">
      <w:bodyDiv w:val="1"/>
      <w:marLeft w:val="0"/>
      <w:marRight w:val="0"/>
      <w:marTop w:val="0"/>
      <w:marBottom w:val="0"/>
      <w:divBdr>
        <w:top w:val="none" w:sz="0" w:space="0" w:color="auto"/>
        <w:left w:val="none" w:sz="0" w:space="0" w:color="auto"/>
        <w:bottom w:val="none" w:sz="0" w:space="0" w:color="auto"/>
        <w:right w:val="none" w:sz="0" w:space="0" w:color="auto"/>
      </w:divBdr>
    </w:div>
    <w:div w:id="955604739">
      <w:bodyDiv w:val="1"/>
      <w:marLeft w:val="0"/>
      <w:marRight w:val="0"/>
      <w:marTop w:val="0"/>
      <w:marBottom w:val="0"/>
      <w:divBdr>
        <w:top w:val="none" w:sz="0" w:space="0" w:color="auto"/>
        <w:left w:val="none" w:sz="0" w:space="0" w:color="auto"/>
        <w:bottom w:val="none" w:sz="0" w:space="0" w:color="auto"/>
        <w:right w:val="none" w:sz="0" w:space="0" w:color="auto"/>
      </w:divBdr>
    </w:div>
    <w:div w:id="1130434819">
      <w:bodyDiv w:val="1"/>
      <w:marLeft w:val="0"/>
      <w:marRight w:val="0"/>
      <w:marTop w:val="0"/>
      <w:marBottom w:val="0"/>
      <w:divBdr>
        <w:top w:val="none" w:sz="0" w:space="0" w:color="auto"/>
        <w:left w:val="none" w:sz="0" w:space="0" w:color="auto"/>
        <w:bottom w:val="none" w:sz="0" w:space="0" w:color="auto"/>
        <w:right w:val="none" w:sz="0" w:space="0" w:color="auto"/>
      </w:divBdr>
    </w:div>
    <w:div w:id="1143890922">
      <w:bodyDiv w:val="1"/>
      <w:marLeft w:val="0"/>
      <w:marRight w:val="0"/>
      <w:marTop w:val="0"/>
      <w:marBottom w:val="0"/>
      <w:divBdr>
        <w:top w:val="none" w:sz="0" w:space="0" w:color="auto"/>
        <w:left w:val="none" w:sz="0" w:space="0" w:color="auto"/>
        <w:bottom w:val="none" w:sz="0" w:space="0" w:color="auto"/>
        <w:right w:val="none" w:sz="0" w:space="0" w:color="auto"/>
      </w:divBdr>
    </w:div>
    <w:div w:id="1347051042">
      <w:bodyDiv w:val="1"/>
      <w:marLeft w:val="0"/>
      <w:marRight w:val="0"/>
      <w:marTop w:val="0"/>
      <w:marBottom w:val="0"/>
      <w:divBdr>
        <w:top w:val="none" w:sz="0" w:space="0" w:color="auto"/>
        <w:left w:val="none" w:sz="0" w:space="0" w:color="auto"/>
        <w:bottom w:val="none" w:sz="0" w:space="0" w:color="auto"/>
        <w:right w:val="none" w:sz="0" w:space="0" w:color="auto"/>
      </w:divBdr>
    </w:div>
    <w:div w:id="1361082127">
      <w:bodyDiv w:val="1"/>
      <w:marLeft w:val="0"/>
      <w:marRight w:val="0"/>
      <w:marTop w:val="0"/>
      <w:marBottom w:val="0"/>
      <w:divBdr>
        <w:top w:val="none" w:sz="0" w:space="0" w:color="auto"/>
        <w:left w:val="none" w:sz="0" w:space="0" w:color="auto"/>
        <w:bottom w:val="none" w:sz="0" w:space="0" w:color="auto"/>
        <w:right w:val="none" w:sz="0" w:space="0" w:color="auto"/>
      </w:divBdr>
    </w:div>
    <w:div w:id="1397704903">
      <w:bodyDiv w:val="1"/>
      <w:marLeft w:val="0"/>
      <w:marRight w:val="0"/>
      <w:marTop w:val="0"/>
      <w:marBottom w:val="0"/>
      <w:divBdr>
        <w:top w:val="none" w:sz="0" w:space="0" w:color="auto"/>
        <w:left w:val="none" w:sz="0" w:space="0" w:color="auto"/>
        <w:bottom w:val="none" w:sz="0" w:space="0" w:color="auto"/>
        <w:right w:val="none" w:sz="0" w:space="0" w:color="auto"/>
      </w:divBdr>
    </w:div>
    <w:div w:id="1492869709">
      <w:bodyDiv w:val="1"/>
      <w:marLeft w:val="0"/>
      <w:marRight w:val="0"/>
      <w:marTop w:val="0"/>
      <w:marBottom w:val="0"/>
      <w:divBdr>
        <w:top w:val="none" w:sz="0" w:space="0" w:color="auto"/>
        <w:left w:val="none" w:sz="0" w:space="0" w:color="auto"/>
        <w:bottom w:val="none" w:sz="0" w:space="0" w:color="auto"/>
        <w:right w:val="none" w:sz="0" w:space="0" w:color="auto"/>
      </w:divBdr>
    </w:div>
    <w:div w:id="1817140943">
      <w:bodyDiv w:val="1"/>
      <w:marLeft w:val="0"/>
      <w:marRight w:val="0"/>
      <w:marTop w:val="0"/>
      <w:marBottom w:val="0"/>
      <w:divBdr>
        <w:top w:val="none" w:sz="0" w:space="0" w:color="auto"/>
        <w:left w:val="none" w:sz="0" w:space="0" w:color="auto"/>
        <w:bottom w:val="none" w:sz="0" w:space="0" w:color="auto"/>
        <w:right w:val="none" w:sz="0" w:space="0" w:color="auto"/>
      </w:divBdr>
    </w:div>
    <w:div w:id="1835683164">
      <w:bodyDiv w:val="1"/>
      <w:marLeft w:val="0"/>
      <w:marRight w:val="0"/>
      <w:marTop w:val="0"/>
      <w:marBottom w:val="0"/>
      <w:divBdr>
        <w:top w:val="none" w:sz="0" w:space="0" w:color="auto"/>
        <w:left w:val="none" w:sz="0" w:space="0" w:color="auto"/>
        <w:bottom w:val="none" w:sz="0" w:space="0" w:color="auto"/>
        <w:right w:val="none" w:sz="0" w:space="0" w:color="auto"/>
      </w:divBdr>
    </w:div>
    <w:div w:id="2037267088">
      <w:bodyDiv w:val="1"/>
      <w:marLeft w:val="0"/>
      <w:marRight w:val="0"/>
      <w:marTop w:val="0"/>
      <w:marBottom w:val="0"/>
      <w:divBdr>
        <w:top w:val="none" w:sz="0" w:space="0" w:color="auto"/>
        <w:left w:val="none" w:sz="0" w:space="0" w:color="auto"/>
        <w:bottom w:val="none" w:sz="0" w:space="0" w:color="auto"/>
        <w:right w:val="none" w:sz="0" w:space="0" w:color="auto"/>
      </w:divBdr>
    </w:div>
    <w:div w:id="20412045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5605JO3/72mlJ7MWgtzW9ZxeCHA==">AMUW2mVTxhUlpwRihHzyz6dh4Xi4Vh3+vAkbKUKRyG8qT3iKrX0PewjdzEqE1Hb1eDYmw4AAUg7xE83AzxR3aHMpVp6Bp3S3W5CuxcCotzFppZJUO26s+HKdsasJEWXhZ5FIOc5B/jjszilbrU8GmlpgKb1jVB2UEw==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709435A-BD73-4C56-B398-F1EC0261B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Pages>
  <Words>925</Words>
  <Characters>5273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Rocío Ruiz Manzano</dc:creator>
  <cp:keywords/>
  <dc:description/>
  <cp:lastModifiedBy>Amruta Dange</cp:lastModifiedBy>
  <cp:revision>11</cp:revision>
  <cp:lastPrinted>2020-09-16T19:48:00Z</cp:lastPrinted>
  <dcterms:created xsi:type="dcterms:W3CDTF">2021-01-15T20:19:00Z</dcterms:created>
  <dcterms:modified xsi:type="dcterms:W3CDTF">2021-02-11T06:36:00Z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http://www.zotero.org/styles/brain-behavior-and-immunity</vt:lpwstr>
  </property>
  <property fmtid="{D5CDD505-2E9C-101B-9397-08002B2CF9AE}" pid="5" name="Mendeley Recent Style Name 1_1">
    <vt:lpwstr>Brain Behavior and Immunity</vt:lpwstr>
  </property>
  <property fmtid="{D5CDD505-2E9C-101B-9397-08002B2CF9AE}" pid="6" name="Mendeley Recent Style Id 2_1">
    <vt:lpwstr>http://www.zotero.org/styles/cytokine</vt:lpwstr>
  </property>
  <property fmtid="{D5CDD505-2E9C-101B-9397-08002B2CF9AE}" pid="7" name="Mendeley Recent Style Name 2_1">
    <vt:lpwstr>Cytokine</vt:lpwstr>
  </property>
  <property fmtid="{D5CDD505-2E9C-101B-9397-08002B2CF9AE}" pid="8" name="Mendeley Recent Style Id 3_1">
    <vt:lpwstr>http://www.zotero.org/styles/cytokine-and-growth-factor-reviews</vt:lpwstr>
  </property>
  <property fmtid="{D5CDD505-2E9C-101B-9397-08002B2CF9AE}" pid="9" name="Mendeley Recent Style Name 3_1">
    <vt:lpwstr>Cytokine and Growth Factor Reviews</vt:lpwstr>
  </property>
  <property fmtid="{D5CDD505-2E9C-101B-9397-08002B2CF9AE}" pid="10" name="Mendeley Recent Style Id 4_1">
    <vt:lpwstr>http://www.zotero.org/styles/experimental-parasitology</vt:lpwstr>
  </property>
  <property fmtid="{D5CDD505-2E9C-101B-9397-08002B2CF9AE}" pid="11" name="Mendeley Recent Style Name 4_1">
    <vt:lpwstr>Experimental Parasitology</vt:lpwstr>
  </property>
  <property fmtid="{D5CDD505-2E9C-101B-9397-08002B2CF9AE}" pid="12" name="Mendeley Recent Style Id 5_1">
    <vt:lpwstr>http://www.zotero.org/styles/frontiers-in-oncology</vt:lpwstr>
  </property>
  <property fmtid="{D5CDD505-2E9C-101B-9397-08002B2CF9AE}" pid="13" name="Mendeley Recent Style Name 5_1">
    <vt:lpwstr>Frontiers in Oncology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http://www.zotero.org/styles/oncogene</vt:lpwstr>
  </property>
  <property fmtid="{D5CDD505-2E9C-101B-9397-08002B2CF9AE}" pid="17" name="Mendeley Recent Style Name 7_1">
    <vt:lpwstr>Oncogene</vt:lpwstr>
  </property>
  <property fmtid="{D5CDD505-2E9C-101B-9397-08002B2CF9AE}" pid="18" name="Mendeley Recent Style Id 8_1">
    <vt:lpwstr>http://www.zotero.org/styles/the-journal-of-immunology</vt:lpwstr>
  </property>
  <property fmtid="{D5CDD505-2E9C-101B-9397-08002B2CF9AE}" pid="19" name="Mendeley Recent Style Name 8_1">
    <vt:lpwstr>The Journal of Immunology</vt:lpwstr>
  </property>
  <property fmtid="{D5CDD505-2E9C-101B-9397-08002B2CF9AE}" pid="20" name="Mendeley Recent Style Id 9_1">
    <vt:lpwstr>http://www.zotero.org/styles/veterinary-parasitology</vt:lpwstr>
  </property>
  <property fmtid="{D5CDD505-2E9C-101B-9397-08002B2CF9AE}" pid="21" name="Mendeley Recent Style Name 9_1">
    <vt:lpwstr>Veterinary Parasitology</vt:lpwstr>
  </property>
  <property fmtid="{D5CDD505-2E9C-101B-9397-08002B2CF9AE}" pid="22" name="Mendeley Document_1">
    <vt:lpwstr>True</vt:lpwstr>
  </property>
  <property fmtid="{D5CDD505-2E9C-101B-9397-08002B2CF9AE}" pid="23" name="Mendeley Unique User Id_1">
    <vt:lpwstr>7e26d570-3277-3f7c-a2ef-f2530e12e1c4</vt:lpwstr>
  </property>
  <property fmtid="{D5CDD505-2E9C-101B-9397-08002B2CF9AE}" pid="24" name="Mendeley Citation Style_1">
    <vt:lpwstr>http://www.zotero.org/styles/experimental-parasitology</vt:lpwstr>
  </property>
</Properties>
</file>