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D82" w:rsidRPr="00EF1CF6" w:rsidRDefault="00051D69" w:rsidP="00651CE8">
      <w:pPr>
        <w:jc w:val="both"/>
        <w:rPr>
          <w:rFonts w:ascii="Times New Roman" w:hAnsi="Times New Roman" w:cs="Times New Roman"/>
          <w:b/>
          <w:sz w:val="22"/>
        </w:rPr>
      </w:pPr>
      <w:r w:rsidRPr="00EF1CF6">
        <w:rPr>
          <w:rFonts w:ascii="Times New Roman" w:hAnsi="Times New Roman" w:cs="Times New Roman"/>
          <w:b/>
          <w:sz w:val="22"/>
        </w:rPr>
        <w:t>Supplementary table 1</w:t>
      </w:r>
      <w:r w:rsidR="001261BA" w:rsidRPr="00EF1CF6">
        <w:rPr>
          <w:rFonts w:ascii="Times New Roman" w:hAnsi="Times New Roman" w:cs="Times New Roman"/>
          <w:b/>
          <w:sz w:val="22"/>
        </w:rPr>
        <w:t>:</w:t>
      </w:r>
      <w:r w:rsidR="003A4D82" w:rsidRPr="00EF1CF6">
        <w:rPr>
          <w:rFonts w:ascii="Times New Roman" w:hAnsi="Times New Roman" w:cs="Times New Roman"/>
          <w:b/>
          <w:sz w:val="22"/>
        </w:rPr>
        <w:t xml:space="preserve"> </w:t>
      </w:r>
    </w:p>
    <w:p w:rsidR="00B74A3F" w:rsidRPr="00EF1CF6" w:rsidRDefault="00B74A3F" w:rsidP="00651CE8">
      <w:pPr>
        <w:jc w:val="both"/>
        <w:rPr>
          <w:rFonts w:ascii="Times New Roman" w:hAnsi="Times New Roman" w:cs="Times New Roman"/>
          <w:sz w:val="22"/>
        </w:rPr>
      </w:pPr>
      <w:r w:rsidRPr="00EF1CF6">
        <w:rPr>
          <w:rFonts w:ascii="Times New Roman" w:hAnsi="Times New Roman" w:cs="Times New Roman"/>
          <w:sz w:val="22"/>
        </w:rPr>
        <w:t>The inclusion and exclusion criteria for selecting FEP subjects and healthy control</w:t>
      </w:r>
    </w:p>
    <w:p w:rsidR="00651CE8" w:rsidRPr="00EF1CF6" w:rsidRDefault="00651CE8" w:rsidP="00651CE8">
      <w:pPr>
        <w:jc w:val="both"/>
        <w:rPr>
          <w:rFonts w:ascii="Times New Roman" w:hAnsi="Times New Roman" w:cs="Times New Roman"/>
          <w:sz w:val="22"/>
        </w:rPr>
      </w:pPr>
    </w:p>
    <w:tbl>
      <w:tblPr>
        <w:tblStyle w:val="a7"/>
        <w:tblW w:w="9782" w:type="dxa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789"/>
      </w:tblGrid>
      <w:tr w:rsidR="00EF1CF6" w:rsidRPr="00EF1CF6" w:rsidTr="00B315E6">
        <w:tc>
          <w:tcPr>
            <w:tcW w:w="993" w:type="dxa"/>
            <w:tcBorders>
              <w:top w:val="nil"/>
              <w:bottom w:val="double" w:sz="4" w:space="0" w:color="auto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  <w:tcBorders>
              <w:top w:val="nil"/>
              <w:bottom w:val="double" w:sz="4" w:space="0" w:color="auto"/>
            </w:tcBorders>
          </w:tcPr>
          <w:p w:rsidR="00B74A3F" w:rsidRPr="00EF1CF6" w:rsidRDefault="00B74A3F" w:rsidP="00B315E6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F1CF6">
              <w:rPr>
                <w:rFonts w:ascii="Times New Roman" w:hAnsi="Times New Roman" w:cs="Times New Roman"/>
                <w:b/>
                <w:sz w:val="22"/>
              </w:rPr>
              <w:t>Inclusion criteria</w:t>
            </w:r>
          </w:p>
        </w:tc>
      </w:tr>
      <w:tr w:rsidR="00EF1CF6" w:rsidRPr="00EF1CF6" w:rsidTr="00B315E6">
        <w:tc>
          <w:tcPr>
            <w:tcW w:w="993" w:type="dxa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</w:rPr>
              <w:t>All</w:t>
            </w:r>
          </w:p>
        </w:tc>
        <w:tc>
          <w:tcPr>
            <w:tcW w:w="8789" w:type="dxa"/>
            <w:tcBorders>
              <w:top w:val="double" w:sz="4" w:space="0" w:color="auto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</w:t>
            </w:r>
            <w:proofErr w:type="spellEnd"/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). Age 18-50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ii). Ethnic Chinese who were Hong Kong residents.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iii). Able to understand spoken instructions in Cantonese and read written traditional Chinese.</w:t>
            </w:r>
          </w:p>
        </w:tc>
      </w:tr>
      <w:tr w:rsidR="00EF1CF6" w:rsidRPr="00EF1CF6" w:rsidTr="00B315E6">
        <w:tc>
          <w:tcPr>
            <w:tcW w:w="993" w:type="dxa"/>
            <w:tcBorders>
              <w:top w:val="single" w:sz="4" w:space="0" w:color="auto"/>
              <w:bottom w:val="double" w:sz="4" w:space="0" w:color="auto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  <w:tcBorders>
              <w:bottom w:val="double" w:sz="4" w:space="0" w:color="auto"/>
            </w:tcBorders>
          </w:tcPr>
          <w:p w:rsidR="00B74A3F" w:rsidRPr="00EF1CF6" w:rsidRDefault="00B74A3F" w:rsidP="00B315E6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F1CF6">
              <w:rPr>
                <w:rFonts w:ascii="Times New Roman" w:hAnsi="Times New Roman" w:cs="Times New Roman"/>
                <w:b/>
                <w:sz w:val="22"/>
              </w:rPr>
              <w:t>Exclusion criteria</w:t>
            </w:r>
          </w:p>
        </w:tc>
      </w:tr>
      <w:tr w:rsidR="00EF1CF6" w:rsidRPr="00EF1CF6" w:rsidTr="00B315E6">
        <w:tc>
          <w:tcPr>
            <w:tcW w:w="993" w:type="dxa"/>
            <w:vMerge w:val="restart"/>
            <w:tcBorders>
              <w:top w:val="double" w:sz="4" w:space="0" w:color="auto"/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</w:rPr>
              <w:t>FEP</w:t>
            </w:r>
          </w:p>
        </w:tc>
        <w:tc>
          <w:tcPr>
            <w:tcW w:w="8789" w:type="dxa"/>
            <w:tcBorders>
              <w:top w:val="double" w:sz="4" w:space="0" w:color="auto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</w:t>
            </w:r>
            <w:proofErr w:type="spellEnd"/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 xml:space="preserve">). DSM-IV diagnosis of alcohol or substance use disorder, as well as </w:t>
            </w:r>
            <w:r w:rsidRPr="00EF1CF6">
              <w:rPr>
                <w:rFonts w:ascii="Times New Roman" w:hAnsi="Times New Roman" w:cs="Times New Roman"/>
                <w:sz w:val="22"/>
              </w:rPr>
              <w:t>documented</w:t>
            </w: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 xml:space="preserve"> intellectual disability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ii). evidence of affective episodes (depressive, manic, hypomanic, or mixed episode) or psychosis induced by other medical conditions;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iii). Obesity (Body mass index &gt; 30kg/m</w:t>
            </w:r>
            <w:r w:rsidRPr="00EF1CF6">
              <w:rPr>
                <w:rFonts w:ascii="Times New Roman" w:hAnsi="Times New Roman" w:cs="Times New Roman"/>
                <w:sz w:val="22"/>
                <w:vertAlign w:val="superscript"/>
                <w:lang w:eastAsia="zh-HK"/>
              </w:rPr>
              <w:t>2</w:t>
            </w: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) or heavy smoker (&gt;15 cigarettes/day);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 xml:space="preserve">iv). Currently taking anti-hypertensive medications, corticosteroids, non-steroidal anti-inflammatory drugs, antibiotics, or other immunomodulatory agents; also regular use of vitamins or folate supplements </w:t>
            </w:r>
            <w:r w:rsidR="00E052F9" w:rsidRPr="00EF1CF6">
              <w:rPr>
                <w:rFonts w:ascii="Times New Roman" w:hAnsi="Times New Roman" w:cs="Times New Roman"/>
                <w:sz w:val="22"/>
                <w:lang w:eastAsia="zh-HK"/>
              </w:rPr>
              <w:t>[64-65]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v). Currently taking clozapine or lithium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vi). Systemic diseases including chronic obstructive pulmonary disease, diabetes, hypertension, heart diseases, malignancies, hematological diseases, hepatic dysfunction, renal dysfunction, or rheumatic diseases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vii). Acute or chronic infec</w:t>
            </w:r>
            <w:bookmarkStart w:id="0" w:name="_GoBack"/>
            <w:bookmarkEnd w:id="0"/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tious diseases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viii). Pregnancy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ix). Extremely outlying white blood cell counts (&gt;11 x 10</w:t>
            </w:r>
            <w:r w:rsidRPr="00EF1CF6">
              <w:rPr>
                <w:rFonts w:ascii="Times New Roman" w:hAnsi="Times New Roman" w:cs="Times New Roman"/>
                <w:sz w:val="22"/>
                <w:vertAlign w:val="superscript"/>
                <w:lang w:eastAsia="zh-HK"/>
              </w:rPr>
              <w:t>9</w:t>
            </w: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 xml:space="preserve"> cells/L) that might indicate possible underlying infection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x). Recent trauma or surgical interventions in the past 6 months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xi). Blood donor or recipient in the past 6 months</w:t>
            </w:r>
          </w:p>
        </w:tc>
      </w:tr>
      <w:tr w:rsidR="00EF1CF6" w:rsidRPr="00EF1CF6" w:rsidTr="00B315E6">
        <w:tc>
          <w:tcPr>
            <w:tcW w:w="993" w:type="dxa"/>
            <w:vMerge/>
            <w:tcBorders>
              <w:bottom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 xml:space="preserve">xii). Inoculations with influenza virus or COVID-19 vaccines in the recent 1 month (Evidence of lymphocytes count returning to baseline within 10 days post-injection of mRNA COVID-19 vaccines </w:t>
            </w:r>
            <w:r w:rsidR="00E052F9" w:rsidRPr="00EF1CF6">
              <w:rPr>
                <w:rFonts w:ascii="Times New Roman" w:hAnsi="Times New Roman" w:cs="Times New Roman"/>
                <w:sz w:val="22"/>
                <w:lang w:eastAsia="zh-HK"/>
              </w:rPr>
              <w:t>[66]</w:t>
            </w: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 xml:space="preserve">, within 14 days post-injection of inactivated COVID-19 vaccines </w:t>
            </w:r>
            <w:r w:rsidR="00E052F9" w:rsidRPr="00EF1CF6">
              <w:rPr>
                <w:rFonts w:ascii="Times New Roman" w:hAnsi="Times New Roman" w:cs="Times New Roman"/>
                <w:sz w:val="22"/>
                <w:lang w:eastAsia="zh-HK"/>
              </w:rPr>
              <w:t>[67]</w:t>
            </w: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 xml:space="preserve">, as well as within 28-days post-injection of influenza virus vaccines) </w:t>
            </w:r>
            <w:r w:rsidR="00E052F9" w:rsidRPr="00EF1CF6">
              <w:rPr>
                <w:rFonts w:ascii="Times New Roman" w:hAnsi="Times New Roman" w:cs="Times New Roman"/>
                <w:sz w:val="22"/>
                <w:lang w:eastAsia="zh-HK"/>
              </w:rPr>
              <w:t>[68]</w:t>
            </w: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.</w:t>
            </w:r>
          </w:p>
        </w:tc>
      </w:tr>
      <w:tr w:rsidR="00EF1CF6" w:rsidRPr="00EF1CF6" w:rsidTr="00B315E6">
        <w:tc>
          <w:tcPr>
            <w:tcW w:w="993" w:type="dxa"/>
            <w:vMerge w:val="restart"/>
            <w:tcBorders>
              <w:top w:val="nil"/>
            </w:tcBorders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</w:rPr>
              <w:t>Healthy control</w:t>
            </w: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proofErr w:type="spellStart"/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</w:t>
            </w:r>
            <w:proofErr w:type="spellEnd"/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). All exclusion criteria for FEP</w:t>
            </w:r>
          </w:p>
        </w:tc>
      </w:tr>
      <w:tr w:rsidR="00EF1CF6" w:rsidRPr="00EF1CF6" w:rsidTr="00B315E6">
        <w:tc>
          <w:tcPr>
            <w:tcW w:w="993" w:type="dxa"/>
            <w:vMerge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ii). Lifetime diagnosis of any mental disorders, as well as those with a history of any documented or known use of psychiatric services</w:t>
            </w:r>
          </w:p>
        </w:tc>
      </w:tr>
      <w:tr w:rsidR="00EF1CF6" w:rsidRPr="00EF1CF6" w:rsidTr="00B315E6">
        <w:tc>
          <w:tcPr>
            <w:tcW w:w="993" w:type="dxa"/>
            <w:vMerge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89" w:type="dxa"/>
          </w:tcPr>
          <w:p w:rsidR="00B74A3F" w:rsidRPr="00EF1CF6" w:rsidRDefault="00B74A3F" w:rsidP="00B315E6">
            <w:pPr>
              <w:widowControl/>
              <w:jc w:val="both"/>
              <w:rPr>
                <w:rFonts w:ascii="Times New Roman" w:hAnsi="Times New Roman" w:cs="Times New Roman"/>
                <w:sz w:val="22"/>
              </w:rPr>
            </w:pPr>
            <w:r w:rsidRPr="00EF1CF6">
              <w:rPr>
                <w:rFonts w:ascii="Times New Roman" w:hAnsi="Times New Roman" w:cs="Times New Roman"/>
                <w:sz w:val="22"/>
                <w:lang w:eastAsia="zh-HK"/>
              </w:rPr>
              <w:t>iii). History of exposure to antipsychotics, antidepressants, or mood stabilizers.</w:t>
            </w:r>
          </w:p>
        </w:tc>
      </w:tr>
    </w:tbl>
    <w:p w:rsidR="001261BA" w:rsidRPr="00EF1CF6" w:rsidRDefault="001261BA" w:rsidP="001261BA">
      <w:pPr>
        <w:spacing w:line="360" w:lineRule="auto"/>
        <w:jc w:val="both"/>
        <w:rPr>
          <w:rFonts w:ascii="Times New Roman" w:hAnsi="Times New Roman" w:cs="Times New Roman"/>
        </w:rPr>
      </w:pPr>
    </w:p>
    <w:sectPr w:rsidR="001261BA" w:rsidRPr="00EF1CF6" w:rsidSect="00247328">
      <w:footerReference w:type="default" r:id="rId6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90B" w:rsidRDefault="00C0190B" w:rsidP="00E05F05">
      <w:r>
        <w:separator/>
      </w:r>
    </w:p>
  </w:endnote>
  <w:endnote w:type="continuationSeparator" w:id="0">
    <w:p w:rsidR="00C0190B" w:rsidRDefault="00C0190B" w:rsidP="00E0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4756735"/>
      <w:docPartObj>
        <w:docPartGallery w:val="Page Numbers (Bottom of Page)"/>
        <w:docPartUnique/>
      </w:docPartObj>
    </w:sdtPr>
    <w:sdtEndPr/>
    <w:sdtContent>
      <w:p w:rsidR="00E05F05" w:rsidRDefault="00E0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CF6" w:rsidRPr="00EF1CF6">
          <w:rPr>
            <w:noProof/>
            <w:lang w:val="zh-TW"/>
          </w:rPr>
          <w:t>1</w:t>
        </w:r>
        <w:r>
          <w:fldChar w:fldCharType="end"/>
        </w:r>
      </w:p>
    </w:sdtContent>
  </w:sdt>
  <w:p w:rsidR="00E05F05" w:rsidRDefault="00E05F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90B" w:rsidRDefault="00C0190B" w:rsidP="00E05F05">
      <w:r>
        <w:separator/>
      </w:r>
    </w:p>
  </w:footnote>
  <w:footnote w:type="continuationSeparator" w:id="0">
    <w:p w:rsidR="00C0190B" w:rsidRDefault="00C0190B" w:rsidP="00E05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28"/>
    <w:rsid w:val="00022EC9"/>
    <w:rsid w:val="00051D69"/>
    <w:rsid w:val="000A145C"/>
    <w:rsid w:val="00116512"/>
    <w:rsid w:val="001261BA"/>
    <w:rsid w:val="00182E12"/>
    <w:rsid w:val="001D70FB"/>
    <w:rsid w:val="00247328"/>
    <w:rsid w:val="003A4D82"/>
    <w:rsid w:val="00445877"/>
    <w:rsid w:val="005D0F91"/>
    <w:rsid w:val="006369EA"/>
    <w:rsid w:val="00651CE8"/>
    <w:rsid w:val="00863957"/>
    <w:rsid w:val="00981860"/>
    <w:rsid w:val="00B74A3F"/>
    <w:rsid w:val="00B93929"/>
    <w:rsid w:val="00BF2DB8"/>
    <w:rsid w:val="00BF7BE5"/>
    <w:rsid w:val="00C0190B"/>
    <w:rsid w:val="00C2224C"/>
    <w:rsid w:val="00C22B06"/>
    <w:rsid w:val="00CB4F86"/>
    <w:rsid w:val="00DE1A73"/>
    <w:rsid w:val="00E052F9"/>
    <w:rsid w:val="00E05F05"/>
    <w:rsid w:val="00EF1CF6"/>
    <w:rsid w:val="00F2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19476B-CF8E-428D-A956-11E07AE0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F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5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F05"/>
    <w:rPr>
      <w:sz w:val="20"/>
      <w:szCs w:val="20"/>
    </w:rPr>
  </w:style>
  <w:style w:type="table" w:styleId="a7">
    <w:name w:val="Table Grid"/>
    <w:basedOn w:val="a1"/>
    <w:uiPriority w:val="39"/>
    <w:rsid w:val="00B74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Company>HP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Leung</dc:creator>
  <cp:keywords/>
  <dc:description/>
  <cp:lastModifiedBy>Raymond Leung</cp:lastModifiedBy>
  <cp:revision>2</cp:revision>
  <dcterms:created xsi:type="dcterms:W3CDTF">2022-06-29T13:43:00Z</dcterms:created>
  <dcterms:modified xsi:type="dcterms:W3CDTF">2022-06-29T13:43:00Z</dcterms:modified>
</cp:coreProperties>
</file>