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B3" w:rsidRDefault="00E10CB3" w:rsidP="00E10CB3">
      <w:pPr>
        <w:jc w:val="left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Table 1</w:t>
      </w:r>
      <w:bookmarkStart w:id="0" w:name="OLE_LINK21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bookmarkStart w:id="1" w:name="_Hlk46518403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Univariate analysis of </w:t>
      </w:r>
      <w:bookmarkStart w:id="2" w:name="OLE_LINK22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esophageal cancer-related risk factors</w:t>
      </w:r>
      <w:bookmarkEnd w:id="2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(demographic factors)</w:t>
      </w:r>
      <w:bookmarkEnd w:id="1"/>
    </w:p>
    <w:tbl>
      <w:tblPr>
        <w:tblStyle w:val="TableClassic1"/>
        <w:tblW w:w="8300" w:type="dxa"/>
        <w:jc w:val="center"/>
        <w:tblLayout w:type="fixed"/>
        <w:tblLook w:val="04A0" w:firstRow="1" w:lastRow="0" w:firstColumn="1" w:lastColumn="0" w:noHBand="0" w:noVBand="1"/>
      </w:tblPr>
      <w:tblGrid>
        <w:gridCol w:w="1041"/>
        <w:gridCol w:w="1253"/>
        <w:gridCol w:w="1753"/>
        <w:gridCol w:w="1753"/>
        <w:gridCol w:w="1321"/>
        <w:gridCol w:w="1179"/>
      </w:tblGrid>
      <w:tr w:rsidR="00E10CB3" w:rsidTr="00A40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dxa"/>
            <w:gridSpan w:val="2"/>
            <w:vAlign w:val="center"/>
          </w:tcPr>
          <w:p w:rsidR="00E10CB3" w:rsidRDefault="00E10CB3" w:rsidP="00A40110">
            <w:pPr>
              <w:jc w:val="center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3" w:name="OLE_LINK40"/>
            <w:bookmarkEnd w:id="0"/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variate</w:t>
            </w:r>
            <w:bookmarkEnd w:id="3"/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4" w:name="OLE_LINK33"/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esophageal cancer</w:t>
            </w:r>
            <w:bookmarkEnd w:id="4"/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5" w:name="OLE_LINK34"/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gastritis</w:t>
            </w:r>
            <w:bookmarkEnd w:id="5"/>
          </w:p>
        </w:tc>
        <w:tc>
          <w:tcPr>
            <w:tcW w:w="1321" w:type="dxa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object w:dxaOrig="3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05pt;height:18.8pt" o:ole="">
                  <v:imagedata r:id="rId4" o:title=""/>
                </v:shape>
                <o:OLEObject Type="Embed" ProgID="Equation.DSMT4" ShapeID="_x0000_i1025" DrawAspect="Content" ObjectID="_1718645520" r:id="rId5"/>
              </w:object>
            </w:r>
          </w:p>
        </w:tc>
        <w:tc>
          <w:tcPr>
            <w:tcW w:w="1179" w:type="dxa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P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Merge w:val="restart"/>
            <w:vAlign w:val="center"/>
          </w:tcPr>
          <w:p w:rsidR="00E10CB3" w:rsidRDefault="00E10CB3" w:rsidP="00A40110">
            <w:pPr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Gender</w:t>
            </w:r>
          </w:p>
        </w:tc>
        <w:tc>
          <w:tcPr>
            <w:tcW w:w="12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257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70.4%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151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44.0%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321" w:type="dxa"/>
            <w:vMerge w:val="restart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50.424</w:t>
            </w:r>
          </w:p>
        </w:tc>
        <w:tc>
          <w:tcPr>
            <w:tcW w:w="1179" w:type="dxa"/>
            <w:vMerge w:val="restart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0.000***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Merge/>
            <w:vAlign w:val="center"/>
          </w:tcPr>
          <w:p w:rsidR="00E10CB3" w:rsidRDefault="00E10CB3" w:rsidP="00A40110">
            <w:pPr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Female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108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29.6%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192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56.0%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321" w:type="dxa"/>
            <w:vMerge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179" w:type="dxa"/>
            <w:vMerge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Merge w:val="restart"/>
            <w:vAlign w:val="center"/>
          </w:tcPr>
          <w:p w:rsidR="00E10CB3" w:rsidRDefault="00E10CB3" w:rsidP="00A40110">
            <w:pPr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Age</w:t>
            </w:r>
          </w:p>
        </w:tc>
        <w:tc>
          <w:tcPr>
            <w:tcW w:w="12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＜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155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42.5%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141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41.1%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321" w:type="dxa"/>
            <w:vMerge w:val="restart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0.134</w:t>
            </w:r>
          </w:p>
        </w:tc>
        <w:tc>
          <w:tcPr>
            <w:tcW w:w="1179" w:type="dxa"/>
            <w:vMerge w:val="restart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0.714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Merge/>
            <w:vAlign w:val="center"/>
          </w:tcPr>
          <w:p w:rsidR="00E10CB3" w:rsidRDefault="00E10CB3" w:rsidP="00A40110">
            <w:pPr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2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≥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210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57.5%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753" w:type="dxa"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202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（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58.9%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1321" w:type="dxa"/>
            <w:vMerge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179" w:type="dxa"/>
            <w:vMerge/>
            <w:vAlign w:val="center"/>
          </w:tcPr>
          <w:p w:rsidR="00E10CB3" w:rsidRDefault="00E10CB3" w:rsidP="00A401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</w:tr>
    </w:tbl>
    <w:p w:rsidR="00E10CB3" w:rsidRDefault="00E10CB3" w:rsidP="00E10CB3">
      <w:pPr>
        <w:rPr>
          <w:rFonts w:ascii="Times New Roman" w:hAnsi="Times New Roman" w:cs="Times New Roman"/>
          <w:color w:val="000000" w:themeColor="text1"/>
          <w:sz w:val="22"/>
        </w:rPr>
      </w:pPr>
      <w:bookmarkStart w:id="6" w:name="OLE_LINK83"/>
    </w:p>
    <w:p w:rsidR="00E10CB3" w:rsidRDefault="00E10CB3" w:rsidP="00E10CB3">
      <w:pPr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</w:rPr>
        <w:t>Notes：</w:t>
      </w:r>
      <w:bookmarkStart w:id="7" w:name="OLE_LINK24"/>
      <w:r>
        <w:rPr>
          <w:rFonts w:ascii="Times New Roman" w:hAnsi="Times New Roman" w:cs="Times New Roman" w:hint="eastAsia"/>
          <w:color w:val="000000" w:themeColor="text1"/>
          <w:sz w:val="22"/>
        </w:rPr>
        <w:t>***</w:t>
      </w:r>
      <w:bookmarkEnd w:id="7"/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indicates a significant statistical difference between the </w:t>
      </w:r>
      <w:bookmarkStart w:id="8" w:name="OLE_LINK36"/>
      <w:r>
        <w:rPr>
          <w:rFonts w:ascii="Times New Roman" w:hAnsi="Times New Roman" w:cs="Times New Roman" w:hint="eastAsia"/>
          <w:color w:val="000000" w:themeColor="text1"/>
          <w:sz w:val="22"/>
        </w:rPr>
        <w:t>esophageal cancer group and the non-esophageal cancer group.（P＜0.001</w:t>
      </w:r>
      <w:r>
        <w:rPr>
          <w:rFonts w:ascii="Times New Roman" w:hAnsi="Times New Roman" w:cs="Times New Roman"/>
          <w:color w:val="000000" w:themeColor="text1"/>
          <w:sz w:val="22"/>
        </w:rPr>
        <w:t>)</w:t>
      </w:r>
      <w:r>
        <w:rPr>
          <w:rFonts w:ascii="Times New Roman" w:hAnsi="Times New Roman" w:cs="Times New Roman" w:hint="eastAsia"/>
          <w:color w:val="000000" w:themeColor="text1"/>
          <w:sz w:val="22"/>
        </w:rPr>
        <w:t>.</w:t>
      </w:r>
      <w:bookmarkEnd w:id="6"/>
      <w:bookmarkEnd w:id="8"/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Table 2  The composition ratio of unhealthy living habits in esophageal cancer</w:t>
      </w:r>
    </w:p>
    <w:tbl>
      <w:tblPr>
        <w:tblW w:w="6732" w:type="dxa"/>
        <w:jc w:val="center"/>
        <w:tblLook w:val="04A0" w:firstRow="1" w:lastRow="0" w:firstColumn="1" w:lastColumn="0" w:noHBand="0" w:noVBand="1"/>
      </w:tblPr>
      <w:tblGrid>
        <w:gridCol w:w="3150"/>
        <w:gridCol w:w="1796"/>
        <w:gridCol w:w="1786"/>
      </w:tblGrid>
      <w:tr w:rsidR="00E10CB3" w:rsidTr="00A40110">
        <w:trPr>
          <w:trHeight w:val="921"/>
          <w:jc w:val="center"/>
        </w:trPr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Unhealthy living habits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Esophageal cancer（N=365）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Gastritis</w:t>
            </w:r>
          </w:p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（N=343）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9" w:name="OLE_LINK58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Eating too fast</w:t>
            </w:r>
            <w:bookmarkEnd w:id="9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64.93%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31.49%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0" w:name="OLE_LINK42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Drinking</w:t>
            </w:r>
            <w:bookmarkEnd w:id="10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56.44%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14.29%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1" w:name="OLE_LINK44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Hot drinks</w:t>
            </w:r>
            <w:bookmarkEnd w:id="11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53.97%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20.41%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2" w:name="OLE_LINK41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Smoking</w:t>
            </w:r>
            <w:bookmarkEnd w:id="12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53.42%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17.78%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3" w:name="OLE_LINK43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Overeating</w:t>
            </w:r>
            <w:bookmarkEnd w:id="13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52.33%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25.36%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Drinking soup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52.05%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46.36%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4" w:name="OLE_LINK47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Greasy</w:t>
            </w:r>
            <w:bookmarkEnd w:id="14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food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48.22%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24.78%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5" w:name="OLE_LINK46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Spicy</w:t>
            </w:r>
            <w:bookmarkEnd w:id="15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45.75%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41.98%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6" w:name="OLE_LINK48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Sweet food</w:t>
            </w:r>
            <w:bookmarkEnd w:id="16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45.48%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39.36%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7" w:name="OLE_LINK51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Strong tea</w:t>
            </w:r>
            <w:bookmarkEnd w:id="17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41.64%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11.95%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8" w:name="OLE_LINK50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Hard food</w:t>
            </w:r>
            <w:bookmarkEnd w:id="18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40.55%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16.33%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19" w:name="OLE_LINK53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Anxiety and nervousness</w:t>
            </w:r>
            <w:bookmarkEnd w:id="19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39.18%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40.82%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Bedtime immediately after meals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37.26%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20.99%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Dyscoimesis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36.99%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31.78%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20" w:name="OLE_LINK67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Acidic food</w:t>
            </w:r>
            <w:bookmarkEnd w:id="20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33.15%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21.57%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Difficult defecation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27.40%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15.45%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Eating food before bedtime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27.12%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19.24%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An overtight belt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26.85%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13.41%</w:t>
            </w:r>
          </w:p>
        </w:tc>
      </w:tr>
      <w:tr w:rsidR="00E10CB3" w:rsidTr="00A40110">
        <w:trPr>
          <w:trHeight w:val="454"/>
          <w:jc w:val="center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bookmarkStart w:id="21" w:name="OLE_LINK52"/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Coffee</w:t>
            </w:r>
            <w:bookmarkEnd w:id="21"/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15.34%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0CB3" w:rsidRDefault="00E10CB3" w:rsidP="00A4011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5.25%</w:t>
            </w:r>
          </w:p>
        </w:tc>
      </w:tr>
    </w:tbl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pStyle w:val="ListParagraph"/>
        <w:spacing w:after="160" w:line="480" w:lineRule="auto"/>
        <w:ind w:firstLineChars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E10CB3" w:rsidRDefault="00E10CB3" w:rsidP="00E10CB3">
      <w:pPr>
        <w:ind w:firstLineChars="300" w:firstLine="660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Table 3     </w:t>
      </w:r>
      <w:bookmarkStart w:id="22" w:name="OLE_LINK97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Univariate analysis </w:t>
      </w:r>
      <w:bookmarkEnd w:id="22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of unhealthy living habits 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for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esophageal cancer</w:t>
      </w:r>
    </w:p>
    <w:tbl>
      <w:tblPr>
        <w:tblStyle w:val="TableClassic1"/>
        <w:tblW w:w="9028" w:type="dxa"/>
        <w:jc w:val="center"/>
        <w:tblLayout w:type="fixed"/>
        <w:tblLook w:val="04A0" w:firstRow="1" w:lastRow="0" w:firstColumn="1" w:lastColumn="0" w:noHBand="0" w:noVBand="1"/>
      </w:tblPr>
      <w:tblGrid>
        <w:gridCol w:w="1801"/>
        <w:gridCol w:w="1303"/>
        <w:gridCol w:w="1275"/>
        <w:gridCol w:w="1313"/>
        <w:gridCol w:w="1312"/>
        <w:gridCol w:w="957"/>
        <w:gridCol w:w="1067"/>
      </w:tblGrid>
      <w:tr w:rsidR="00E10CB3" w:rsidTr="00A40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Merge w:val="restart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iCs w:val="0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variate</w:t>
            </w:r>
          </w:p>
        </w:tc>
        <w:tc>
          <w:tcPr>
            <w:tcW w:w="2578" w:type="dxa"/>
            <w:gridSpan w:val="2"/>
            <w:vAlign w:val="center"/>
          </w:tcPr>
          <w:p w:rsidR="00E10CB3" w:rsidRDefault="00E10CB3" w:rsidP="00A4011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Cs w:val="0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esophageal cancer group</w:t>
            </w:r>
          </w:p>
        </w:tc>
        <w:tc>
          <w:tcPr>
            <w:tcW w:w="2625" w:type="dxa"/>
            <w:gridSpan w:val="2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Cs w:val="0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i w:val="0"/>
                <w:iCs w:val="0"/>
                <w:color w:val="000000" w:themeColor="text1"/>
                <w:kern w:val="0"/>
                <w:sz w:val="22"/>
              </w:rPr>
              <w:t>non-esophageal cancer group</w:t>
            </w:r>
          </w:p>
        </w:tc>
        <w:tc>
          <w:tcPr>
            <w:tcW w:w="957" w:type="dxa"/>
            <w:vMerge w:val="restart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 w:val="0"/>
                <w:iCs w:val="0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i w:val="0"/>
                <w:iCs w:val="0"/>
                <w:color w:val="000000" w:themeColor="text1"/>
                <w:kern w:val="0"/>
                <w:position w:val="-10"/>
                <w:sz w:val="22"/>
              </w:rPr>
              <w:object w:dxaOrig="300" w:dyaOrig="380">
                <v:shape id="_x0000_i1026" type="#_x0000_t75" style="width:15.05pt;height:18.8pt" o:ole="">
                  <v:imagedata r:id="rId4" o:title=""/>
                </v:shape>
                <o:OLEObject Type="Embed" ProgID="Equation.DSMT4" ShapeID="_x0000_i1026" DrawAspect="Content" ObjectID="_1718645521" r:id="rId6"/>
              </w:object>
            </w:r>
          </w:p>
        </w:tc>
        <w:tc>
          <w:tcPr>
            <w:tcW w:w="1067" w:type="dxa"/>
            <w:vMerge w:val="restart"/>
            <w:vAlign w:val="center"/>
          </w:tcPr>
          <w:p w:rsidR="00E10CB3" w:rsidRDefault="00E10CB3" w:rsidP="00A401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i w:val="0"/>
                <w:iCs w:val="0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P</w:t>
            </w:r>
          </w:p>
        </w:tc>
      </w:tr>
      <w:tr w:rsidR="00E10CB3" w:rsidTr="00A40110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Merge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jc w:val="center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303" w:type="dxa"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Ansi="SimSun" w:hint="eastAsia"/>
                <w:color w:val="000000" w:themeColor="text1"/>
                <w:kern w:val="0"/>
                <w:sz w:val="22"/>
              </w:rPr>
              <w:t>N</w:t>
            </w:r>
            <w:r>
              <w:rPr>
                <w:rFonts w:eastAsia="SimSun" w:hAnsi="SimSun"/>
                <w:color w:val="000000" w:themeColor="text1"/>
                <w:kern w:val="0"/>
                <w:sz w:val="22"/>
              </w:rPr>
              <w:t>O</w:t>
            </w:r>
          </w:p>
        </w:tc>
        <w:tc>
          <w:tcPr>
            <w:tcW w:w="1275" w:type="dxa"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Ansi="SimSun" w:hint="eastAsia"/>
                <w:color w:val="000000" w:themeColor="text1"/>
                <w:kern w:val="0"/>
                <w:sz w:val="22"/>
              </w:rPr>
              <w:t>Y</w:t>
            </w:r>
            <w:r>
              <w:rPr>
                <w:rFonts w:eastAsia="SimSun" w:hAnsi="SimSun"/>
                <w:color w:val="000000" w:themeColor="text1"/>
                <w:kern w:val="0"/>
                <w:sz w:val="22"/>
              </w:rPr>
              <w:t>ES</w:t>
            </w:r>
          </w:p>
        </w:tc>
        <w:tc>
          <w:tcPr>
            <w:tcW w:w="1313" w:type="dxa"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Ansi="SimSun" w:hint="eastAsia"/>
                <w:color w:val="000000" w:themeColor="text1"/>
                <w:kern w:val="0"/>
                <w:sz w:val="22"/>
              </w:rPr>
              <w:t>N</w:t>
            </w:r>
            <w:r>
              <w:rPr>
                <w:rFonts w:eastAsia="SimSun" w:hAnsi="SimSun"/>
                <w:color w:val="000000" w:themeColor="text1"/>
                <w:kern w:val="0"/>
                <w:sz w:val="22"/>
              </w:rPr>
              <w:t>O</w:t>
            </w:r>
          </w:p>
        </w:tc>
        <w:tc>
          <w:tcPr>
            <w:tcW w:w="1312" w:type="dxa"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Ansi="SimSun" w:hint="eastAsia"/>
                <w:color w:val="000000" w:themeColor="text1"/>
                <w:kern w:val="0"/>
                <w:sz w:val="22"/>
              </w:rPr>
              <w:t>Y</w:t>
            </w:r>
            <w:r>
              <w:rPr>
                <w:rFonts w:eastAsia="SimSun" w:hAnsi="SimSun"/>
                <w:color w:val="000000" w:themeColor="text1"/>
                <w:kern w:val="0"/>
                <w:sz w:val="22"/>
              </w:rPr>
              <w:t>ES</w:t>
            </w:r>
          </w:p>
        </w:tc>
        <w:tc>
          <w:tcPr>
            <w:tcW w:w="957" w:type="dxa"/>
            <w:vMerge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  <w:tc>
          <w:tcPr>
            <w:tcW w:w="1067" w:type="dxa"/>
            <w:vMerge/>
            <w:tcBorders>
              <w:bottom w:val="inset" w:sz="6" w:space="0" w:color="auto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Smoking</w:t>
            </w:r>
          </w:p>
        </w:tc>
        <w:tc>
          <w:tcPr>
            <w:tcW w:w="1303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170(46.6%)</w:t>
            </w:r>
          </w:p>
        </w:tc>
        <w:tc>
          <w:tcPr>
            <w:tcW w:w="1275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195(53.4%)</w:t>
            </w:r>
          </w:p>
        </w:tc>
        <w:tc>
          <w:tcPr>
            <w:tcW w:w="1313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282(82.2%)</w:t>
            </w:r>
          </w:p>
        </w:tc>
        <w:tc>
          <w:tcPr>
            <w:tcW w:w="1312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61(17.8%)</w:t>
            </w:r>
          </w:p>
        </w:tc>
        <w:tc>
          <w:tcPr>
            <w:tcW w:w="957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97.303</w:t>
            </w:r>
          </w:p>
        </w:tc>
        <w:tc>
          <w:tcPr>
            <w:tcW w:w="1067" w:type="dxa"/>
            <w:tcBorders>
              <w:top w:val="inset" w:sz="6" w:space="0" w:color="auto"/>
              <w:bottom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Drinking</w:t>
            </w:r>
          </w:p>
        </w:tc>
        <w:tc>
          <w:tcPr>
            <w:tcW w:w="1303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159(43.6%)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206(56.4%)</w:t>
            </w:r>
          </w:p>
        </w:tc>
        <w:tc>
          <w:tcPr>
            <w:tcW w:w="1313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294(85.7%)</w:t>
            </w:r>
          </w:p>
        </w:tc>
        <w:tc>
          <w:tcPr>
            <w:tcW w:w="1312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49(14.3%)</w:t>
            </w:r>
          </w:p>
        </w:tc>
        <w:tc>
          <w:tcPr>
            <w:tcW w:w="957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136.343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Eating too fast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28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(3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5.1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37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(6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4.9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23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(6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8.5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08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(3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1.5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79.168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3" w:name="OLE_LINK74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Overeating</w:t>
            </w:r>
            <w:bookmarkEnd w:id="23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174(47.7%)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191(52.3%)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256(74.6%)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87(25.4%)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53.912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4" w:name="OLE_LINK62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H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ot drinks</w:t>
            </w:r>
            <w:bookmarkEnd w:id="24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168(46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197(54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273(79.6%)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70(20.4%)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84.807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Drinking soup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175(47.9%)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190(52.1%)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184(53.6%)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159(46.4%)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2.298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0.130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Spicy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198(54.2%)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167(45.8%)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199(58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144(42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1.021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0.312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5" w:name="OLE_LINK63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Greasy</w:t>
            </w:r>
            <w:bookmarkEnd w:id="25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 xml:space="preserve"> food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189(51.8%)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176(48.2%)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258(75.2%)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85(24.8%)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41.736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6" w:name="OLE_LINK75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Acidic food</w:t>
            </w:r>
            <w:bookmarkEnd w:id="26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244(66.8%)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121(33.2%)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269(78.4%)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74(21.6%)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11.874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Sweet food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199(54.5%)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166(45.5%)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208(60.6%)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135(39.4%)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2.711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0.100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Hard food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217(59.5%)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148(40.5%)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287(83.7%)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56(16.3%)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50.578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Strong tea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13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58.4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52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41.6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302(88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41(12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.0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78.612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7" w:name="OLE_LINK60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Coffee</w:t>
            </w:r>
            <w:bookmarkEnd w:id="27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309(84.7%)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56(15.3%)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325(94.8%)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18(5.2%)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19.252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Bedtime immediately after meals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229(62.7%)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136(37.3%)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271(79%)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72(21%)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22.558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Eating food before bedtime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266(72.9%)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99(27.1%)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277(80.8%)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66(19.2%)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6.145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0.013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8" w:name="OLE_LINK78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D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ifficult defecation</w:t>
            </w:r>
            <w:bookmarkEnd w:id="28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65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(7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2.6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27.4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29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0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(8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4.5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53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(1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5.5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14.895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Dyscoimesis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230(63%)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135(37%)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234(68.2%)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109(31.8%)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2.123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0.145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A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nxiety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 xml:space="preserve"> and nervousness</w:t>
            </w:r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222(60.8%)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143(39.2%)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203(59.2%)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140(40.8%)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0.198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0.657</w:t>
            </w:r>
          </w:p>
        </w:tc>
      </w:tr>
      <w:tr w:rsidR="00E10CB3" w:rsidTr="00A4011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:rsidR="00E10CB3" w:rsidRDefault="00E10CB3" w:rsidP="00A40110">
            <w:pPr>
              <w:jc w:val="left"/>
              <w:rPr>
                <w:rFonts w:eastAsia="SimSun"/>
                <w:color w:val="000000" w:themeColor="text1"/>
                <w:kern w:val="0"/>
                <w:sz w:val="22"/>
              </w:rPr>
            </w:pPr>
            <w:bookmarkStart w:id="29" w:name="OLE_LINK77"/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An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overtight belt</w:t>
            </w:r>
            <w:bookmarkEnd w:id="29"/>
          </w:p>
        </w:tc>
        <w:tc>
          <w:tcPr>
            <w:tcW w:w="130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26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7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(7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3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.2%)</w:t>
            </w:r>
          </w:p>
        </w:tc>
        <w:tc>
          <w:tcPr>
            <w:tcW w:w="1275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98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(2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6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.8%)</w:t>
            </w:r>
          </w:p>
        </w:tc>
        <w:tc>
          <w:tcPr>
            <w:tcW w:w="1313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297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86.6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1312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46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(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13.4</w:t>
            </w:r>
            <w:r>
              <w:rPr>
                <w:rFonts w:eastAsia="SimSu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95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19.709</w:t>
            </w:r>
          </w:p>
        </w:tc>
        <w:tc>
          <w:tcPr>
            <w:tcW w:w="1067" w:type="dxa"/>
            <w:vAlign w:val="center"/>
          </w:tcPr>
          <w:p w:rsidR="00E10CB3" w:rsidRDefault="00E10CB3" w:rsidP="00A401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 w:val="22"/>
              </w:rPr>
            </w:pPr>
            <w:r>
              <w:rPr>
                <w:rFonts w:eastAsia="SimSun"/>
                <w:color w:val="000000" w:themeColor="text1"/>
                <w:kern w:val="0"/>
                <w:sz w:val="22"/>
              </w:rPr>
              <w:t>0.000</w:t>
            </w:r>
            <w:r>
              <w:rPr>
                <w:rFonts w:eastAsia="SimSun" w:hint="eastAsia"/>
                <w:color w:val="000000" w:themeColor="text1"/>
                <w:kern w:val="0"/>
                <w:sz w:val="22"/>
              </w:rPr>
              <w:t>***</w:t>
            </w:r>
          </w:p>
        </w:tc>
      </w:tr>
    </w:tbl>
    <w:p w:rsidR="00E10CB3" w:rsidRDefault="00E10CB3" w:rsidP="00E10CB3">
      <w:pPr>
        <w:rPr>
          <w:rFonts w:ascii="Times New Roman" w:hAnsi="Times New Roman" w:cs="Times New Roman"/>
          <w:color w:val="000000" w:themeColor="text1"/>
          <w:sz w:val="22"/>
        </w:rPr>
      </w:pPr>
    </w:p>
    <w:p w:rsidR="00E10CB3" w:rsidRDefault="00E10CB3" w:rsidP="00E10CB3">
      <w:pPr>
        <w:rPr>
          <w:rFonts w:ascii="Times New Roman" w:eastAsia="SimSun" w:hAnsi="Times New Roman" w:cs="Times New Roman"/>
          <w:sz w:val="24"/>
        </w:rPr>
      </w:pPr>
      <w:bookmarkStart w:id="30" w:name="OLE_LINK95"/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Notes：*,**,*** indicates that the esophageal cancer group and the non-esophageal cancer group have significant differences at the levels of P &lt;0.05, P &lt;0.01, and P &lt;0.001, respectively. </w:t>
      </w:r>
      <w:bookmarkEnd w:id="30"/>
    </w:p>
    <w:p w:rsidR="001760E5" w:rsidRDefault="00E10CB3">
      <w:bookmarkStart w:id="31" w:name="_GoBack"/>
      <w:bookmarkEnd w:id="31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B3"/>
    <w:rsid w:val="008A3324"/>
    <w:rsid w:val="00996CDB"/>
    <w:rsid w:val="00BA546E"/>
    <w:rsid w:val="00E1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055FD-D7A4-4233-AFCF-47499F9D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CB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qFormat/>
    <w:rsid w:val="00E10CB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99"/>
    <w:qFormat/>
    <w:rsid w:val="00E10CB3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2022-07-06T15:15:00Z</dcterms:created>
  <dcterms:modified xsi:type="dcterms:W3CDTF">2022-07-06T15:15:00Z</dcterms:modified>
</cp:coreProperties>
</file>