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5FBE" w14:textId="77777777" w:rsidR="00FB19CC" w:rsidRPr="00A85CD0" w:rsidRDefault="00FB19CC" w:rsidP="00FB19CC">
      <w:pPr>
        <w:widowControl w:val="0"/>
        <w:jc w:val="both"/>
        <w:rPr>
          <w:rFonts w:ascii="Times New Roman" w:eastAsia="Times New Roman" w:hAnsi="Times New Roman" w:cs="Times New Roman"/>
          <w:color w:val="222222"/>
          <w:sz w:val="20"/>
          <w:szCs w:val="20"/>
        </w:rPr>
      </w:pPr>
      <w:r w:rsidRPr="00A85CD0">
        <w:rPr>
          <w:rFonts w:ascii="Times New Roman" w:hAnsi="Times New Roman" w:cs="Times New Roman"/>
          <w:color w:val="222222"/>
          <w:sz w:val="20"/>
          <w:szCs w:val="20"/>
        </w:rPr>
        <w:t>Table 1. Comparative analysis of liver damage indicator enzymes 6 hours after brain death induction. (ALT: Alanine aminotransferase; AST: aspartate aminotransferase; LDH: lactate dehydrogenase; ALP: alkaline phosphatase).</w:t>
      </w:r>
    </w:p>
    <w:tbl>
      <w:tblPr>
        <w:tblW w:w="7320" w:type="dxa"/>
        <w:tblCellMar>
          <w:left w:w="0" w:type="dxa"/>
          <w:right w:w="0" w:type="dxa"/>
        </w:tblCellMar>
        <w:tblLook w:val="0600" w:firstRow="0" w:lastRow="0" w:firstColumn="0" w:lastColumn="0" w:noHBand="1" w:noVBand="1"/>
      </w:tblPr>
      <w:tblGrid>
        <w:gridCol w:w="2200"/>
        <w:gridCol w:w="2620"/>
        <w:gridCol w:w="2500"/>
      </w:tblGrid>
      <w:tr w:rsidR="00FB19CC" w:rsidRPr="00A85CD0" w14:paraId="7874880B" w14:textId="77777777" w:rsidTr="00A82E7F">
        <w:trPr>
          <w:trHeight w:val="450"/>
        </w:trPr>
        <w:tc>
          <w:tcPr>
            <w:tcW w:w="2200" w:type="dxa"/>
            <w:tcBorders>
              <w:top w:val="single" w:sz="8" w:space="0" w:color="000000"/>
              <w:left w:val="nil"/>
              <w:bottom w:val="single" w:sz="8" w:space="0" w:color="000000"/>
              <w:right w:val="nil"/>
            </w:tcBorders>
            <w:shd w:val="clear" w:color="auto" w:fill="auto"/>
            <w:tcMar>
              <w:top w:w="144" w:type="dxa"/>
              <w:left w:w="108" w:type="dxa"/>
              <w:bottom w:w="144" w:type="dxa"/>
              <w:right w:w="108" w:type="dxa"/>
            </w:tcMar>
            <w:hideMark/>
          </w:tcPr>
          <w:p w14:paraId="7D78D20A"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p>
        </w:tc>
        <w:tc>
          <w:tcPr>
            <w:tcW w:w="5120" w:type="dxa"/>
            <w:gridSpan w:val="2"/>
            <w:tcBorders>
              <w:top w:val="single" w:sz="8" w:space="0" w:color="000000"/>
              <w:left w:val="nil"/>
              <w:bottom w:val="single" w:sz="8" w:space="0" w:color="000000"/>
              <w:right w:val="nil"/>
            </w:tcBorders>
            <w:shd w:val="clear" w:color="auto" w:fill="auto"/>
            <w:tcMar>
              <w:top w:w="144" w:type="dxa"/>
              <w:left w:w="108" w:type="dxa"/>
              <w:bottom w:w="144" w:type="dxa"/>
              <w:right w:w="108" w:type="dxa"/>
            </w:tcMar>
            <w:hideMark/>
          </w:tcPr>
          <w:p w14:paraId="1F1EB78E"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GROUPS</w:t>
            </w:r>
          </w:p>
        </w:tc>
      </w:tr>
      <w:tr w:rsidR="00FB19CC" w:rsidRPr="00A85CD0" w14:paraId="1D385BC5" w14:textId="77777777" w:rsidTr="00A82E7F">
        <w:trPr>
          <w:trHeight w:val="495"/>
        </w:trPr>
        <w:tc>
          <w:tcPr>
            <w:tcW w:w="2200" w:type="dxa"/>
            <w:tcBorders>
              <w:top w:val="single" w:sz="8" w:space="0" w:color="000000"/>
              <w:left w:val="nil"/>
              <w:bottom w:val="single" w:sz="8" w:space="0" w:color="000000"/>
              <w:right w:val="nil"/>
            </w:tcBorders>
            <w:shd w:val="clear" w:color="auto" w:fill="auto"/>
            <w:tcMar>
              <w:top w:w="144" w:type="dxa"/>
              <w:left w:w="108" w:type="dxa"/>
              <w:bottom w:w="144" w:type="dxa"/>
              <w:right w:w="108" w:type="dxa"/>
            </w:tcMar>
            <w:hideMark/>
          </w:tcPr>
          <w:p w14:paraId="2993F673"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Parameters</w:t>
            </w:r>
          </w:p>
          <w:p w14:paraId="2C625559"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(IU/L)</w:t>
            </w:r>
          </w:p>
        </w:tc>
        <w:tc>
          <w:tcPr>
            <w:tcW w:w="2620" w:type="dxa"/>
            <w:tcBorders>
              <w:top w:val="single" w:sz="8" w:space="0" w:color="000000"/>
              <w:left w:val="nil"/>
              <w:bottom w:val="single" w:sz="8" w:space="0" w:color="000000"/>
              <w:right w:val="nil"/>
            </w:tcBorders>
            <w:shd w:val="clear" w:color="auto" w:fill="auto"/>
            <w:tcMar>
              <w:top w:w="144" w:type="dxa"/>
              <w:left w:w="108" w:type="dxa"/>
              <w:bottom w:w="144" w:type="dxa"/>
              <w:right w:w="108" w:type="dxa"/>
            </w:tcMar>
            <w:hideMark/>
          </w:tcPr>
          <w:p w14:paraId="5370FA51"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Control</w:t>
            </w:r>
          </w:p>
        </w:tc>
        <w:tc>
          <w:tcPr>
            <w:tcW w:w="2500" w:type="dxa"/>
            <w:tcBorders>
              <w:top w:val="single" w:sz="8" w:space="0" w:color="000000"/>
              <w:left w:val="nil"/>
              <w:bottom w:val="single" w:sz="8" w:space="0" w:color="000000"/>
              <w:right w:val="nil"/>
            </w:tcBorders>
            <w:shd w:val="clear" w:color="auto" w:fill="auto"/>
            <w:tcMar>
              <w:top w:w="144" w:type="dxa"/>
              <w:left w:w="108" w:type="dxa"/>
              <w:bottom w:w="144" w:type="dxa"/>
              <w:right w:w="108" w:type="dxa"/>
            </w:tcMar>
            <w:hideMark/>
          </w:tcPr>
          <w:p w14:paraId="303FDE1A"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BD</w:t>
            </w:r>
          </w:p>
        </w:tc>
      </w:tr>
      <w:tr w:rsidR="00FB19CC" w:rsidRPr="00A85CD0" w14:paraId="07F48670" w14:textId="77777777" w:rsidTr="00A82E7F">
        <w:trPr>
          <w:trHeight w:val="450"/>
        </w:trPr>
        <w:tc>
          <w:tcPr>
            <w:tcW w:w="2200" w:type="dxa"/>
            <w:tcBorders>
              <w:top w:val="single" w:sz="8" w:space="0" w:color="000000"/>
              <w:left w:val="nil"/>
              <w:bottom w:val="nil"/>
              <w:right w:val="nil"/>
            </w:tcBorders>
            <w:shd w:val="clear" w:color="auto" w:fill="auto"/>
            <w:tcMar>
              <w:top w:w="144" w:type="dxa"/>
              <w:left w:w="108" w:type="dxa"/>
              <w:bottom w:w="144" w:type="dxa"/>
              <w:right w:w="108" w:type="dxa"/>
            </w:tcMar>
            <w:hideMark/>
          </w:tcPr>
          <w:p w14:paraId="1625639E"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ALT</w:t>
            </w:r>
          </w:p>
        </w:tc>
        <w:tc>
          <w:tcPr>
            <w:tcW w:w="2620" w:type="dxa"/>
            <w:tcBorders>
              <w:top w:val="single" w:sz="8" w:space="0" w:color="000000"/>
              <w:left w:val="nil"/>
              <w:bottom w:val="nil"/>
              <w:right w:val="nil"/>
            </w:tcBorders>
            <w:shd w:val="clear" w:color="auto" w:fill="auto"/>
            <w:tcMar>
              <w:top w:w="144" w:type="dxa"/>
              <w:left w:w="108" w:type="dxa"/>
              <w:bottom w:w="144" w:type="dxa"/>
              <w:right w:w="108" w:type="dxa"/>
            </w:tcMar>
            <w:hideMark/>
          </w:tcPr>
          <w:p w14:paraId="336B7014"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66,6±9,2</w:t>
            </w:r>
          </w:p>
        </w:tc>
        <w:tc>
          <w:tcPr>
            <w:tcW w:w="2500" w:type="dxa"/>
            <w:tcBorders>
              <w:top w:val="single" w:sz="8" w:space="0" w:color="000000"/>
              <w:left w:val="nil"/>
              <w:bottom w:val="nil"/>
              <w:right w:val="nil"/>
            </w:tcBorders>
            <w:shd w:val="clear" w:color="auto" w:fill="auto"/>
            <w:tcMar>
              <w:top w:w="144" w:type="dxa"/>
              <w:left w:w="108" w:type="dxa"/>
              <w:bottom w:w="144" w:type="dxa"/>
              <w:right w:w="108" w:type="dxa"/>
            </w:tcMar>
            <w:hideMark/>
          </w:tcPr>
          <w:p w14:paraId="3BB77446"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232,7±40,9*</w:t>
            </w:r>
          </w:p>
        </w:tc>
      </w:tr>
      <w:tr w:rsidR="00FB19CC" w:rsidRPr="00A85CD0" w14:paraId="5B430F02" w14:textId="77777777" w:rsidTr="00A82E7F">
        <w:trPr>
          <w:trHeight w:val="450"/>
        </w:trPr>
        <w:tc>
          <w:tcPr>
            <w:tcW w:w="2200" w:type="dxa"/>
            <w:tcBorders>
              <w:top w:val="nil"/>
              <w:left w:val="nil"/>
              <w:bottom w:val="nil"/>
              <w:right w:val="nil"/>
            </w:tcBorders>
            <w:shd w:val="clear" w:color="auto" w:fill="auto"/>
            <w:tcMar>
              <w:top w:w="144" w:type="dxa"/>
              <w:left w:w="108" w:type="dxa"/>
              <w:bottom w:w="144" w:type="dxa"/>
              <w:right w:w="108" w:type="dxa"/>
            </w:tcMar>
            <w:hideMark/>
          </w:tcPr>
          <w:p w14:paraId="4AD62478"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AST</w:t>
            </w:r>
          </w:p>
        </w:tc>
        <w:tc>
          <w:tcPr>
            <w:tcW w:w="2620" w:type="dxa"/>
            <w:tcBorders>
              <w:top w:val="nil"/>
              <w:left w:val="nil"/>
              <w:bottom w:val="nil"/>
              <w:right w:val="nil"/>
            </w:tcBorders>
            <w:shd w:val="clear" w:color="auto" w:fill="auto"/>
            <w:tcMar>
              <w:top w:w="144" w:type="dxa"/>
              <w:left w:w="108" w:type="dxa"/>
              <w:bottom w:w="144" w:type="dxa"/>
              <w:right w:w="108" w:type="dxa"/>
            </w:tcMar>
            <w:hideMark/>
          </w:tcPr>
          <w:p w14:paraId="1441E8C3"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140,1±3,9</w:t>
            </w:r>
          </w:p>
        </w:tc>
        <w:tc>
          <w:tcPr>
            <w:tcW w:w="2500" w:type="dxa"/>
            <w:tcBorders>
              <w:top w:val="nil"/>
              <w:left w:val="nil"/>
              <w:bottom w:val="nil"/>
              <w:right w:val="nil"/>
            </w:tcBorders>
            <w:shd w:val="clear" w:color="auto" w:fill="auto"/>
            <w:tcMar>
              <w:top w:w="144" w:type="dxa"/>
              <w:left w:w="108" w:type="dxa"/>
              <w:bottom w:w="144" w:type="dxa"/>
              <w:right w:w="108" w:type="dxa"/>
            </w:tcMar>
            <w:hideMark/>
          </w:tcPr>
          <w:p w14:paraId="3F8B3A29"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349,2±26,5*</w:t>
            </w:r>
          </w:p>
        </w:tc>
      </w:tr>
      <w:tr w:rsidR="00FB19CC" w:rsidRPr="00A85CD0" w14:paraId="1ADD42B3" w14:textId="77777777" w:rsidTr="00A82E7F">
        <w:trPr>
          <w:trHeight w:val="450"/>
        </w:trPr>
        <w:tc>
          <w:tcPr>
            <w:tcW w:w="2200" w:type="dxa"/>
            <w:tcBorders>
              <w:top w:val="nil"/>
              <w:left w:val="nil"/>
              <w:bottom w:val="nil"/>
              <w:right w:val="nil"/>
            </w:tcBorders>
            <w:shd w:val="clear" w:color="auto" w:fill="auto"/>
            <w:tcMar>
              <w:top w:w="144" w:type="dxa"/>
              <w:left w:w="108" w:type="dxa"/>
              <w:bottom w:w="144" w:type="dxa"/>
              <w:right w:w="108" w:type="dxa"/>
            </w:tcMar>
            <w:hideMark/>
          </w:tcPr>
          <w:p w14:paraId="36A3B0F2"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LDH</w:t>
            </w:r>
          </w:p>
        </w:tc>
        <w:tc>
          <w:tcPr>
            <w:tcW w:w="2620" w:type="dxa"/>
            <w:tcBorders>
              <w:top w:val="nil"/>
              <w:left w:val="nil"/>
              <w:bottom w:val="nil"/>
              <w:right w:val="nil"/>
            </w:tcBorders>
            <w:shd w:val="clear" w:color="auto" w:fill="auto"/>
            <w:tcMar>
              <w:top w:w="144" w:type="dxa"/>
              <w:left w:w="108" w:type="dxa"/>
              <w:bottom w:w="144" w:type="dxa"/>
              <w:right w:w="108" w:type="dxa"/>
            </w:tcMar>
            <w:hideMark/>
          </w:tcPr>
          <w:p w14:paraId="40C7F900"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267,1±17,7</w:t>
            </w:r>
          </w:p>
        </w:tc>
        <w:tc>
          <w:tcPr>
            <w:tcW w:w="2500" w:type="dxa"/>
            <w:tcBorders>
              <w:top w:val="nil"/>
              <w:left w:val="nil"/>
              <w:bottom w:val="nil"/>
              <w:right w:val="nil"/>
            </w:tcBorders>
            <w:shd w:val="clear" w:color="auto" w:fill="auto"/>
            <w:tcMar>
              <w:top w:w="144" w:type="dxa"/>
              <w:left w:w="108" w:type="dxa"/>
              <w:bottom w:w="144" w:type="dxa"/>
              <w:right w:w="108" w:type="dxa"/>
            </w:tcMar>
            <w:hideMark/>
          </w:tcPr>
          <w:p w14:paraId="52A83A9C"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411,1±12,4*</w:t>
            </w:r>
          </w:p>
        </w:tc>
      </w:tr>
      <w:tr w:rsidR="00FB19CC" w:rsidRPr="00A85CD0" w14:paraId="4E5A454F" w14:textId="77777777" w:rsidTr="00A82E7F">
        <w:trPr>
          <w:trHeight w:val="450"/>
        </w:trPr>
        <w:tc>
          <w:tcPr>
            <w:tcW w:w="2200" w:type="dxa"/>
            <w:tcBorders>
              <w:top w:val="nil"/>
              <w:left w:val="nil"/>
              <w:bottom w:val="single" w:sz="8" w:space="0" w:color="000000"/>
              <w:right w:val="nil"/>
            </w:tcBorders>
            <w:shd w:val="clear" w:color="auto" w:fill="auto"/>
            <w:tcMar>
              <w:top w:w="144" w:type="dxa"/>
              <w:left w:w="108" w:type="dxa"/>
              <w:bottom w:w="144" w:type="dxa"/>
              <w:right w:w="108" w:type="dxa"/>
            </w:tcMar>
            <w:hideMark/>
          </w:tcPr>
          <w:p w14:paraId="35548034"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b/>
                <w:bCs/>
                <w:color w:val="222222"/>
                <w:sz w:val="20"/>
                <w:szCs w:val="20"/>
              </w:rPr>
              <w:t>ALP</w:t>
            </w:r>
          </w:p>
        </w:tc>
        <w:tc>
          <w:tcPr>
            <w:tcW w:w="2620" w:type="dxa"/>
            <w:tcBorders>
              <w:top w:val="nil"/>
              <w:left w:val="nil"/>
              <w:bottom w:val="single" w:sz="8" w:space="0" w:color="000000"/>
              <w:right w:val="nil"/>
            </w:tcBorders>
            <w:shd w:val="clear" w:color="auto" w:fill="auto"/>
            <w:tcMar>
              <w:top w:w="144" w:type="dxa"/>
              <w:left w:w="108" w:type="dxa"/>
              <w:bottom w:w="144" w:type="dxa"/>
              <w:right w:w="108" w:type="dxa"/>
            </w:tcMar>
            <w:hideMark/>
          </w:tcPr>
          <w:p w14:paraId="05C7270E"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99,2±9,5</w:t>
            </w:r>
          </w:p>
        </w:tc>
        <w:tc>
          <w:tcPr>
            <w:tcW w:w="2500" w:type="dxa"/>
            <w:tcBorders>
              <w:top w:val="nil"/>
              <w:left w:val="nil"/>
              <w:bottom w:val="single" w:sz="8" w:space="0" w:color="000000"/>
              <w:right w:val="nil"/>
            </w:tcBorders>
            <w:shd w:val="clear" w:color="auto" w:fill="auto"/>
            <w:tcMar>
              <w:top w:w="144" w:type="dxa"/>
              <w:left w:w="108" w:type="dxa"/>
              <w:bottom w:w="144" w:type="dxa"/>
              <w:right w:w="108" w:type="dxa"/>
            </w:tcMar>
            <w:hideMark/>
          </w:tcPr>
          <w:p w14:paraId="44320799" w14:textId="77777777" w:rsidR="00FB19CC" w:rsidRPr="00A85CD0" w:rsidRDefault="00FB19CC" w:rsidP="00A82E7F">
            <w:pPr>
              <w:spacing w:line="240" w:lineRule="auto"/>
              <w:jc w:val="both"/>
              <w:rPr>
                <w:rFonts w:ascii="Times New Roman" w:eastAsia="Times New Roman" w:hAnsi="Times New Roman" w:cs="Times New Roman"/>
                <w:color w:val="222222"/>
                <w:sz w:val="20"/>
                <w:szCs w:val="20"/>
                <w:lang w:val="en-US"/>
              </w:rPr>
            </w:pPr>
            <w:r w:rsidRPr="00A85CD0">
              <w:rPr>
                <w:rFonts w:ascii="Times New Roman" w:eastAsia="Times New Roman" w:hAnsi="Times New Roman" w:cs="Times New Roman"/>
                <w:color w:val="222222"/>
                <w:sz w:val="20"/>
                <w:szCs w:val="20"/>
              </w:rPr>
              <w:t>135,8±13,2*</w:t>
            </w:r>
          </w:p>
        </w:tc>
      </w:tr>
    </w:tbl>
    <w:p w14:paraId="7821C189" w14:textId="77777777" w:rsidR="00FB19CC" w:rsidRPr="00A85CD0" w:rsidRDefault="00FB19CC" w:rsidP="00FB19CC">
      <w:pPr>
        <w:rPr>
          <w:rFonts w:ascii="Times New Roman" w:hAnsi="Times New Roman" w:cs="Times New Roman"/>
          <w:sz w:val="20"/>
          <w:szCs w:val="20"/>
        </w:rPr>
      </w:pPr>
      <w:r w:rsidRPr="00A85CD0">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5E91C4D6" wp14:editId="193930D1">
                <wp:simplePos x="0" y="0"/>
                <wp:positionH relativeFrom="column">
                  <wp:posOffset>-55534</wp:posOffset>
                </wp:positionH>
                <wp:positionV relativeFrom="paragraph">
                  <wp:posOffset>36541</wp:posOffset>
                </wp:positionV>
                <wp:extent cx="3000000" cy="361607"/>
                <wp:effectExtent l="0" t="0" r="0" b="0"/>
                <wp:wrapNone/>
                <wp:docPr id="70" name="Google Shape;70;p16"/>
                <wp:cNvGraphicFramePr/>
                <a:graphic xmlns:a="http://schemas.openxmlformats.org/drawingml/2006/main">
                  <a:graphicData uri="http://schemas.microsoft.com/office/word/2010/wordprocessingShape">
                    <wps:wsp>
                      <wps:cNvSpPr txBox="1"/>
                      <wps:spPr>
                        <a:xfrm>
                          <a:off x="0" y="0"/>
                          <a:ext cx="3000000" cy="361607"/>
                        </a:xfrm>
                        <a:prstGeom prst="rect">
                          <a:avLst/>
                        </a:prstGeom>
                        <a:noFill/>
                        <a:ln>
                          <a:noFill/>
                        </a:ln>
                      </wps:spPr>
                      <wps:txbx>
                        <w:txbxContent>
                          <w:p w14:paraId="544D6BF4" w14:textId="77777777" w:rsidR="00FB19CC" w:rsidRDefault="00FB19CC" w:rsidP="00FB19CC">
                            <w:pPr>
                              <w:rPr>
                                <w:rFonts w:eastAsia="Times New Roman"/>
                                <w:color w:val="000000" w:themeColor="dark1"/>
                                <w:sz w:val="20"/>
                                <w:szCs w:val="20"/>
                              </w:rPr>
                            </w:pPr>
                            <w:r>
                              <w:rPr>
                                <w:rFonts w:eastAsia="Times New Roman"/>
                                <w:color w:val="000000" w:themeColor="dark1"/>
                                <w:sz w:val="20"/>
                                <w:szCs w:val="20"/>
                              </w:rPr>
                              <w:t>*</w:t>
                            </w: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wps:txbx>
                      <wps:bodyPr spcFirstLastPara="1" wrap="square" lIns="91425" tIns="91425" rIns="91425" bIns="91425" anchor="t" anchorCtr="0">
                        <a:spAutoFit/>
                      </wps:bodyPr>
                    </wps:wsp>
                  </a:graphicData>
                </a:graphic>
              </wp:anchor>
            </w:drawing>
          </mc:Choice>
          <mc:Fallback>
            <w:pict>
              <v:shapetype w14:anchorId="5E91C4D6" id="_x0000_t202" coordsize="21600,21600" o:spt="202" path="m,l,21600r21600,l21600,xe">
                <v:stroke joinstyle="miter"/>
                <v:path gradientshapeok="t" o:connecttype="rect"/>
              </v:shapetype>
              <v:shape id="Google Shape;70;p16" o:spid="_x0000_s1026" type="#_x0000_t202" style="position:absolute;margin-left:-4.35pt;margin-top:2.9pt;width:236.2pt;height:2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" filled="f" stroked="f">
                <v:textbox style="mso-fit-shape-to-text:t" inset="2.53958mm,2.53958mm,2.53958mm,2.53958mm">
                  <w:txbxContent>
                    <w:p w14:paraId="544D6BF4" w14:textId="77777777" w:rsidR="00FB19CC" w:rsidRDefault="00FB19CC" w:rsidP="00FB19CC">
                      <w:pPr>
                        <w:rPr>
                          <w:rFonts w:eastAsia="Times New Roman"/>
                          <w:color w:val="000000" w:themeColor="dark1"/>
                          <w:sz w:val="20"/>
                          <w:szCs w:val="20"/>
                        </w:rPr>
                      </w:pPr>
                      <w:r>
                        <w:rPr>
                          <w:rFonts w:eastAsia="Times New Roman"/>
                          <w:color w:val="000000" w:themeColor="dark1"/>
                          <w:sz w:val="20"/>
                          <w:szCs w:val="20"/>
                        </w:rPr>
                        <w:t>*</w:t>
                      </w: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v:textbox>
              </v:shape>
            </w:pict>
          </mc:Fallback>
        </mc:AlternateContent>
      </w:r>
    </w:p>
    <w:p w14:paraId="420A9CCE" w14:textId="77777777" w:rsidR="00FB19CC" w:rsidRPr="00A85CD0" w:rsidRDefault="00FB19CC" w:rsidP="00FB19CC">
      <w:pPr>
        <w:rPr>
          <w:rFonts w:ascii="Times New Roman" w:hAnsi="Times New Roman" w:cs="Times New Roman"/>
          <w:sz w:val="20"/>
          <w:szCs w:val="20"/>
        </w:rPr>
      </w:pPr>
    </w:p>
    <w:p w14:paraId="2C2E6460" w14:textId="77777777" w:rsidR="00FB19CC" w:rsidRPr="00A85CD0" w:rsidRDefault="00FB19CC" w:rsidP="00FB19CC">
      <w:pPr>
        <w:rPr>
          <w:rFonts w:ascii="Times New Roman" w:hAnsi="Times New Roman" w:cs="Times New Roman"/>
          <w:sz w:val="20"/>
          <w:szCs w:val="20"/>
        </w:rPr>
      </w:pPr>
    </w:p>
    <w:p w14:paraId="0ACD930A" w14:textId="77777777" w:rsidR="00FB19CC" w:rsidRPr="00A85CD0" w:rsidRDefault="00FB19CC" w:rsidP="00FB19CC">
      <w:pPr>
        <w:rPr>
          <w:rFonts w:ascii="Times New Roman" w:hAnsi="Times New Roman" w:cs="Times New Roman"/>
          <w:sz w:val="20"/>
          <w:szCs w:val="20"/>
        </w:rPr>
      </w:pPr>
    </w:p>
    <w:p w14:paraId="0B8EAA26" w14:textId="77777777" w:rsidR="00FB19CC" w:rsidRPr="00A85CD0" w:rsidRDefault="00FB19CC" w:rsidP="00FB19CC">
      <w:pPr>
        <w:rPr>
          <w:rFonts w:ascii="Times New Roman" w:hAnsi="Times New Roman" w:cs="Times New Roman"/>
          <w:sz w:val="20"/>
          <w:szCs w:val="20"/>
        </w:rPr>
      </w:pPr>
    </w:p>
    <w:p w14:paraId="7B221A2A" w14:textId="77777777" w:rsidR="00FB19CC" w:rsidRPr="00A85CD0" w:rsidRDefault="00FB19CC" w:rsidP="00FB19CC">
      <w:pPr>
        <w:rPr>
          <w:rFonts w:ascii="Times New Roman" w:hAnsi="Times New Roman" w:cs="Times New Roman"/>
          <w:sz w:val="20"/>
          <w:szCs w:val="20"/>
        </w:rPr>
      </w:pPr>
    </w:p>
    <w:p w14:paraId="6652BD75" w14:textId="77777777" w:rsidR="00FB19CC" w:rsidRPr="00A85CD0" w:rsidRDefault="00FB19CC" w:rsidP="00FB19CC">
      <w:pPr>
        <w:rPr>
          <w:rFonts w:ascii="Times New Roman" w:hAnsi="Times New Roman" w:cs="Times New Roman"/>
          <w:sz w:val="20"/>
          <w:szCs w:val="20"/>
        </w:rPr>
      </w:pPr>
    </w:p>
    <w:p w14:paraId="0F3B299E" w14:textId="77777777" w:rsidR="00FB19CC" w:rsidRPr="00A85CD0" w:rsidRDefault="00FB19CC" w:rsidP="00FB19CC">
      <w:pPr>
        <w:rPr>
          <w:rFonts w:ascii="Times New Roman" w:hAnsi="Times New Roman" w:cs="Times New Roman"/>
          <w:sz w:val="20"/>
          <w:szCs w:val="20"/>
        </w:rPr>
      </w:pPr>
    </w:p>
    <w:p w14:paraId="6BB84C64" w14:textId="77777777" w:rsidR="00FB19CC" w:rsidRPr="00A85CD0" w:rsidRDefault="00FB19CC" w:rsidP="00FB19CC">
      <w:pPr>
        <w:rPr>
          <w:rFonts w:ascii="Times New Roman" w:hAnsi="Times New Roman" w:cs="Times New Roman"/>
          <w:sz w:val="20"/>
          <w:szCs w:val="20"/>
        </w:rPr>
      </w:pPr>
    </w:p>
    <w:p w14:paraId="185788CC" w14:textId="77777777" w:rsidR="00FB19CC" w:rsidRPr="00A85CD0" w:rsidRDefault="00FB19CC" w:rsidP="00FB19CC">
      <w:pPr>
        <w:rPr>
          <w:rFonts w:ascii="Times New Roman" w:hAnsi="Times New Roman" w:cs="Times New Roman"/>
          <w:sz w:val="20"/>
          <w:szCs w:val="20"/>
        </w:rPr>
      </w:pPr>
    </w:p>
    <w:p w14:paraId="7127C64F" w14:textId="77777777" w:rsidR="00FB19CC" w:rsidRPr="00A85CD0" w:rsidRDefault="00FB19CC" w:rsidP="00FB19CC">
      <w:pPr>
        <w:rPr>
          <w:rFonts w:ascii="Times New Roman" w:hAnsi="Times New Roman" w:cs="Times New Roman"/>
          <w:sz w:val="20"/>
          <w:szCs w:val="20"/>
        </w:rPr>
      </w:pPr>
    </w:p>
    <w:p w14:paraId="1DEFBA7D" w14:textId="77777777" w:rsidR="00FB19CC" w:rsidRPr="00A85CD0" w:rsidRDefault="00FB19CC" w:rsidP="00FB19CC">
      <w:pPr>
        <w:tabs>
          <w:tab w:val="left" w:pos="2691"/>
        </w:tabs>
        <w:rPr>
          <w:rFonts w:ascii="Times New Roman" w:hAnsi="Times New Roman" w:cs="Times New Roman"/>
          <w:sz w:val="20"/>
          <w:szCs w:val="20"/>
        </w:rPr>
      </w:pPr>
      <w:r w:rsidRPr="00A85CD0">
        <w:rPr>
          <w:rFonts w:ascii="Times New Roman" w:hAnsi="Times New Roman" w:cs="Times New Roman"/>
          <w:sz w:val="20"/>
          <w:szCs w:val="20"/>
        </w:rPr>
        <w:tab/>
      </w:r>
    </w:p>
    <w:p w14:paraId="10D21592" w14:textId="77777777" w:rsidR="00FB19CC" w:rsidRPr="00A85CD0" w:rsidRDefault="00FB19CC" w:rsidP="00FB19CC">
      <w:pPr>
        <w:rPr>
          <w:rFonts w:ascii="Times New Roman" w:hAnsi="Times New Roman" w:cs="Times New Roman"/>
          <w:sz w:val="20"/>
          <w:szCs w:val="20"/>
          <w:lang w:val="en-US"/>
        </w:rPr>
      </w:pPr>
      <w:r w:rsidRPr="00A85CD0">
        <w:rPr>
          <w:rFonts w:ascii="Times New Roman" w:hAnsi="Times New Roman" w:cs="Times New Roman"/>
          <w:sz w:val="20"/>
          <w:szCs w:val="20"/>
        </w:rPr>
        <w:t>Table 2. Comparative analysis of inflammatory mediators in liver tissue 6 hours after brain death induction in different groups. (BD: Brain death; TNF: Tumor necrosis factor).</w:t>
      </w:r>
    </w:p>
    <w:p w14:paraId="66923271" w14:textId="77777777" w:rsidR="00FB19CC" w:rsidRPr="00A85CD0" w:rsidRDefault="00FB19CC" w:rsidP="00FB19CC">
      <w:pPr>
        <w:rPr>
          <w:rFonts w:ascii="Times New Roman" w:hAnsi="Times New Roman" w:cs="Times New Roman"/>
          <w:sz w:val="20"/>
          <w:szCs w:val="20"/>
        </w:rPr>
      </w:pPr>
    </w:p>
    <w:p w14:paraId="11A5FFEE" w14:textId="77777777" w:rsidR="00FB19CC" w:rsidRPr="00A85CD0" w:rsidRDefault="00FB19CC" w:rsidP="00FB19CC">
      <w:pPr>
        <w:rPr>
          <w:rFonts w:ascii="Times New Roman" w:hAnsi="Times New Roman" w:cs="Times New Roman"/>
          <w:sz w:val="20"/>
          <w:szCs w:val="20"/>
        </w:rPr>
      </w:pPr>
      <w:r w:rsidRPr="00A85CD0">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42128B0E" wp14:editId="5C6D7CB7">
                <wp:simplePos x="0" y="0"/>
                <wp:positionH relativeFrom="column">
                  <wp:posOffset>-9236</wp:posOffset>
                </wp:positionH>
                <wp:positionV relativeFrom="paragraph">
                  <wp:posOffset>2792499</wp:posOffset>
                </wp:positionV>
                <wp:extent cx="4572000" cy="1046440"/>
                <wp:effectExtent l="0" t="0" r="0" b="0"/>
                <wp:wrapNone/>
                <wp:docPr id="4" name="TextBox 3">
                  <a:extLst xmlns:a="http://schemas.openxmlformats.org/drawingml/2006/main">
                    <a:ext uri="{FF2B5EF4-FFF2-40B4-BE49-F238E27FC236}">
                      <a16:creationId xmlns:a16="http://schemas.microsoft.com/office/drawing/2014/main" id="{B242E7DE-B1B7-43BB-7797-6EBEF37AF50B}"/>
                    </a:ext>
                  </a:extLst>
                </wp:docPr>
                <wp:cNvGraphicFramePr/>
                <a:graphic xmlns:a="http://schemas.openxmlformats.org/drawingml/2006/main">
                  <a:graphicData uri="http://schemas.microsoft.com/office/word/2010/wordprocessingShape">
                    <wps:wsp>
                      <wps:cNvSpPr txBox="1"/>
                      <wps:spPr>
                        <a:xfrm>
                          <a:off x="0" y="0"/>
                          <a:ext cx="4572000" cy="1046440"/>
                        </a:xfrm>
                        <a:prstGeom prst="rect">
                          <a:avLst/>
                        </a:prstGeom>
                        <a:noFill/>
                      </wps:spPr>
                      <wps:txbx>
                        <w:txbxContent>
                          <w:p w14:paraId="7E1B566C" w14:textId="77777777" w:rsidR="00FB19CC" w:rsidRPr="00A85CD0" w:rsidRDefault="00FB19CC" w:rsidP="00FB19CC">
                            <w:pPr>
                              <w:rPr>
                                <w:color w:val="000000"/>
                                <w:sz w:val="20"/>
                                <w:szCs w:val="20"/>
                              </w:rPr>
                            </w:pPr>
                            <w:r w:rsidRPr="00A85CD0">
                              <w:rPr>
                                <w:color w:val="000000"/>
                                <w:sz w:val="20"/>
                                <w:szCs w:val="20"/>
                              </w:rPr>
                              <w:t xml:space="preserve">*p&lt;0.05 vs. Control;  </w:t>
                            </w:r>
                            <w:r w:rsidRPr="00A85CD0">
                              <w:rPr>
                                <w:color w:val="000000"/>
                                <w:position w:val="12"/>
                                <w:sz w:val="20"/>
                                <w:szCs w:val="20"/>
                                <w:vertAlign w:val="superscript"/>
                              </w:rPr>
                              <w:t>#</w:t>
                            </w:r>
                            <w:r w:rsidRPr="00A85CD0">
                              <w:rPr>
                                <w:color w:val="000000"/>
                                <w:sz w:val="20"/>
                                <w:szCs w:val="20"/>
                              </w:rPr>
                              <w:t>p&lt;0.05 vs. BD.</w:t>
                            </w:r>
                          </w:p>
                          <w:p w14:paraId="79CF73E1" w14:textId="77777777" w:rsidR="00FB19CC" w:rsidRPr="00A85CD0" w:rsidRDefault="00FB19CC" w:rsidP="00FB19CC">
                            <w:pPr>
                              <w:spacing w:after="280"/>
                              <w:rPr>
                                <w:color w:val="000000"/>
                                <w:sz w:val="20"/>
                                <w:szCs w:val="20"/>
                              </w:rPr>
                            </w:pPr>
                          </w:p>
                        </w:txbxContent>
                      </wps:txbx>
                      <wps:bodyPr wrap="square">
                        <a:spAutoFit/>
                      </wps:bodyPr>
                    </wps:wsp>
                  </a:graphicData>
                </a:graphic>
              </wp:anchor>
            </w:drawing>
          </mc:Choice>
          <mc:Fallback>
            <w:pict>
              <v:shape w14:anchorId="42128B0E" id="TextBox 3" o:spid="_x0000_s1027" type="#_x0000_t202" style="position:absolute;margin-left:-.75pt;margin-top:219.9pt;width:5in;height:8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" filled="f" stroked="f">
                <v:textbox style="mso-fit-shape-to-text:t">
                  <w:txbxContent>
                    <w:p w14:paraId="7E1B566C" w14:textId="77777777" w:rsidR="00FB19CC" w:rsidRPr="00A85CD0" w:rsidRDefault="00FB19CC" w:rsidP="00FB19CC">
                      <w:pPr>
                        <w:rPr>
                          <w:color w:val="000000"/>
                          <w:sz w:val="20"/>
                          <w:szCs w:val="20"/>
                        </w:rPr>
                      </w:pPr>
                      <w:r w:rsidRPr="00A85CD0">
                        <w:rPr>
                          <w:color w:val="000000"/>
                          <w:sz w:val="20"/>
                          <w:szCs w:val="20"/>
                        </w:rPr>
                        <w:t xml:space="preserve">*p&lt;0.05 vs. Control;  </w:t>
                      </w:r>
                      <w:r w:rsidRPr="00A85CD0">
                        <w:rPr>
                          <w:color w:val="000000"/>
                          <w:position w:val="12"/>
                          <w:sz w:val="20"/>
                          <w:szCs w:val="20"/>
                          <w:vertAlign w:val="superscript"/>
                        </w:rPr>
                        <w:t>#</w:t>
                      </w:r>
                      <w:r w:rsidRPr="00A85CD0">
                        <w:rPr>
                          <w:color w:val="000000"/>
                          <w:sz w:val="20"/>
                          <w:szCs w:val="20"/>
                        </w:rPr>
                        <w:t>p&lt;0.05 vs. BD.</w:t>
                      </w:r>
                    </w:p>
                    <w:p w14:paraId="79CF73E1" w14:textId="77777777" w:rsidR="00FB19CC" w:rsidRPr="00A85CD0" w:rsidRDefault="00FB19CC" w:rsidP="00FB19CC">
                      <w:pPr>
                        <w:spacing w:after="280"/>
                        <w:rPr>
                          <w:color w:val="000000"/>
                          <w:sz w:val="20"/>
                          <w:szCs w:val="20"/>
                        </w:rPr>
                      </w:pPr>
                    </w:p>
                  </w:txbxContent>
                </v:textbox>
              </v:shape>
            </w:pict>
          </mc:Fallback>
        </mc:AlternateContent>
      </w:r>
      <w:r w:rsidRPr="00A85CD0">
        <w:rPr>
          <w:rFonts w:ascii="Times New Roman" w:hAnsi="Times New Roman" w:cs="Times New Roman"/>
          <w:noProof/>
          <w:sz w:val="20"/>
          <w:szCs w:val="20"/>
        </w:rPr>
        <w:drawing>
          <wp:anchor distT="0" distB="0" distL="114300" distR="114300" simplePos="0" relativeHeight="251660288" behindDoc="0" locked="0" layoutInCell="1" allowOverlap="1" wp14:anchorId="6F565025" wp14:editId="5D4D8936">
            <wp:simplePos x="0" y="0"/>
            <wp:positionH relativeFrom="column">
              <wp:posOffset>221615</wp:posOffset>
            </wp:positionH>
            <wp:positionV relativeFrom="paragraph">
              <wp:posOffset>-635</wp:posOffset>
            </wp:positionV>
            <wp:extent cx="5733415" cy="2768600"/>
            <wp:effectExtent l="0" t="0" r="0" b="0"/>
            <wp:wrapNone/>
            <wp:docPr id="2" name="table" descr="A picture containing dark, night, night sky&#10;&#10;Description automatically generated">
              <a:extLst xmlns:a="http://schemas.openxmlformats.org/drawingml/2006/main">
                <a:ext uri="{FF2B5EF4-FFF2-40B4-BE49-F238E27FC236}">
                  <a16:creationId xmlns:a16="http://schemas.microsoft.com/office/drawing/2014/main" id="{E62DBA4B-DB19-398C-A086-48596D7153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picture containing dark, night, night sky&#10;&#10;Description automatically generated">
                      <a:extLst>
                        <a:ext uri="{FF2B5EF4-FFF2-40B4-BE49-F238E27FC236}">
                          <a16:creationId xmlns:a16="http://schemas.microsoft.com/office/drawing/2014/main" id="{E62DBA4B-DB19-398C-A086-48596D7153C1}"/>
                        </a:ext>
                      </a:extLst>
                    </pic:cNvPr>
                    <pic:cNvPicPr>
                      <a:picLocks noChangeAspect="1"/>
                    </pic:cNvPicPr>
                  </pic:nvPicPr>
                  <pic:blipFill>
                    <a:blip r:embed="rId4"/>
                    <a:stretch>
                      <a:fillRect/>
                    </a:stretch>
                  </pic:blipFill>
                  <pic:spPr>
                    <a:xfrm>
                      <a:off x="0" y="0"/>
                      <a:ext cx="5733415" cy="2768600"/>
                    </a:xfrm>
                    <a:prstGeom prst="rect">
                      <a:avLst/>
                    </a:prstGeom>
                  </pic:spPr>
                </pic:pic>
              </a:graphicData>
            </a:graphic>
          </wp:anchor>
        </w:drawing>
      </w:r>
    </w:p>
    <w:p w14:paraId="28581000" w14:textId="77777777" w:rsidR="00FB19CC" w:rsidRPr="00A85CD0" w:rsidRDefault="00FB19CC" w:rsidP="00FB19CC">
      <w:pPr>
        <w:rPr>
          <w:rFonts w:ascii="Times New Roman" w:hAnsi="Times New Roman" w:cs="Times New Roman"/>
          <w:sz w:val="20"/>
          <w:szCs w:val="20"/>
        </w:rPr>
      </w:pPr>
    </w:p>
    <w:p w14:paraId="556A8EDD" w14:textId="77777777" w:rsidR="00FB19CC" w:rsidRPr="00A85CD0" w:rsidRDefault="00FB19CC" w:rsidP="00FB19CC">
      <w:pPr>
        <w:rPr>
          <w:rFonts w:ascii="Times New Roman" w:hAnsi="Times New Roman" w:cs="Times New Roman"/>
          <w:sz w:val="20"/>
          <w:szCs w:val="20"/>
        </w:rPr>
      </w:pPr>
    </w:p>
    <w:p w14:paraId="73F79D55" w14:textId="77777777" w:rsidR="00FB19CC" w:rsidRPr="00A85CD0" w:rsidRDefault="00FB19CC" w:rsidP="00FB19CC">
      <w:pPr>
        <w:rPr>
          <w:rFonts w:ascii="Times New Roman" w:hAnsi="Times New Roman" w:cs="Times New Roman"/>
          <w:sz w:val="20"/>
          <w:szCs w:val="20"/>
        </w:rPr>
      </w:pPr>
    </w:p>
    <w:p w14:paraId="7D5BB90A" w14:textId="77777777" w:rsidR="00FB19CC" w:rsidRPr="00A85CD0" w:rsidRDefault="00FB19CC" w:rsidP="00FB19CC">
      <w:pPr>
        <w:rPr>
          <w:rFonts w:ascii="Times New Roman" w:hAnsi="Times New Roman" w:cs="Times New Roman"/>
          <w:sz w:val="20"/>
          <w:szCs w:val="20"/>
        </w:rPr>
      </w:pPr>
    </w:p>
    <w:p w14:paraId="42D6BBE1" w14:textId="77777777" w:rsidR="00FB19CC" w:rsidRPr="00A85CD0" w:rsidRDefault="00FB19CC" w:rsidP="00FB19CC">
      <w:pPr>
        <w:rPr>
          <w:rFonts w:ascii="Times New Roman" w:hAnsi="Times New Roman" w:cs="Times New Roman"/>
          <w:sz w:val="20"/>
          <w:szCs w:val="20"/>
        </w:rPr>
      </w:pPr>
    </w:p>
    <w:p w14:paraId="42F27B55" w14:textId="77777777" w:rsidR="00FB19CC" w:rsidRPr="00A85CD0" w:rsidRDefault="00FB19CC" w:rsidP="00FB19CC">
      <w:pPr>
        <w:rPr>
          <w:rFonts w:ascii="Times New Roman" w:hAnsi="Times New Roman" w:cs="Times New Roman"/>
          <w:sz w:val="20"/>
          <w:szCs w:val="20"/>
        </w:rPr>
      </w:pPr>
    </w:p>
    <w:p w14:paraId="6B72487D" w14:textId="77777777" w:rsidR="00FB19CC" w:rsidRPr="00A85CD0" w:rsidRDefault="00FB19CC" w:rsidP="00FB19CC">
      <w:pPr>
        <w:rPr>
          <w:rFonts w:ascii="Times New Roman" w:hAnsi="Times New Roman" w:cs="Times New Roman"/>
          <w:sz w:val="20"/>
          <w:szCs w:val="20"/>
        </w:rPr>
      </w:pPr>
    </w:p>
    <w:p w14:paraId="1A53D0BC" w14:textId="77777777" w:rsidR="00FB19CC" w:rsidRPr="00A85CD0" w:rsidRDefault="00FB19CC" w:rsidP="00FB19CC">
      <w:pPr>
        <w:rPr>
          <w:rFonts w:ascii="Times New Roman" w:hAnsi="Times New Roman" w:cs="Times New Roman"/>
          <w:sz w:val="20"/>
          <w:szCs w:val="20"/>
        </w:rPr>
      </w:pPr>
    </w:p>
    <w:p w14:paraId="1C7B7060" w14:textId="77777777" w:rsidR="00FB19CC" w:rsidRPr="00A85CD0" w:rsidRDefault="00FB19CC" w:rsidP="00FB19CC">
      <w:pPr>
        <w:rPr>
          <w:rFonts w:ascii="Times New Roman" w:hAnsi="Times New Roman" w:cs="Times New Roman"/>
          <w:sz w:val="20"/>
          <w:szCs w:val="20"/>
        </w:rPr>
      </w:pPr>
    </w:p>
    <w:p w14:paraId="4692CF91" w14:textId="77777777" w:rsidR="00FB19CC" w:rsidRPr="00A85CD0" w:rsidRDefault="00FB19CC" w:rsidP="00FB19CC">
      <w:pPr>
        <w:rPr>
          <w:rFonts w:ascii="Times New Roman" w:hAnsi="Times New Roman" w:cs="Times New Roman"/>
          <w:sz w:val="20"/>
          <w:szCs w:val="20"/>
        </w:rPr>
      </w:pPr>
    </w:p>
    <w:p w14:paraId="0931CC77" w14:textId="77777777" w:rsidR="00FB19CC" w:rsidRPr="00A85CD0" w:rsidRDefault="00FB19CC" w:rsidP="00FB19CC">
      <w:pPr>
        <w:rPr>
          <w:rFonts w:ascii="Times New Roman" w:hAnsi="Times New Roman" w:cs="Times New Roman"/>
          <w:sz w:val="20"/>
          <w:szCs w:val="20"/>
        </w:rPr>
      </w:pPr>
    </w:p>
    <w:p w14:paraId="567D9C17" w14:textId="77777777" w:rsidR="00FB19CC" w:rsidRPr="00A85CD0" w:rsidRDefault="00FB19CC" w:rsidP="00FB19CC">
      <w:pPr>
        <w:rPr>
          <w:rFonts w:ascii="Times New Roman" w:hAnsi="Times New Roman" w:cs="Times New Roman"/>
          <w:sz w:val="20"/>
          <w:szCs w:val="20"/>
        </w:rPr>
      </w:pPr>
    </w:p>
    <w:p w14:paraId="2BD9F44D" w14:textId="77777777" w:rsidR="00FB19CC" w:rsidRPr="00A85CD0" w:rsidRDefault="00FB19CC" w:rsidP="00FB19CC">
      <w:pPr>
        <w:rPr>
          <w:rFonts w:ascii="Times New Roman" w:hAnsi="Times New Roman" w:cs="Times New Roman"/>
          <w:sz w:val="20"/>
          <w:szCs w:val="20"/>
        </w:rPr>
      </w:pPr>
    </w:p>
    <w:p w14:paraId="637DEE8F" w14:textId="77777777" w:rsidR="00FB19CC" w:rsidRPr="00A85CD0" w:rsidRDefault="00FB19CC" w:rsidP="00FB19CC">
      <w:pPr>
        <w:rPr>
          <w:rFonts w:ascii="Times New Roman" w:hAnsi="Times New Roman" w:cs="Times New Roman"/>
          <w:sz w:val="20"/>
          <w:szCs w:val="20"/>
        </w:rPr>
      </w:pPr>
    </w:p>
    <w:p w14:paraId="7135D3D1" w14:textId="77777777" w:rsidR="00FB19CC" w:rsidRPr="00A85CD0" w:rsidRDefault="00FB19CC" w:rsidP="00FB19CC">
      <w:pPr>
        <w:rPr>
          <w:rFonts w:ascii="Times New Roman" w:hAnsi="Times New Roman" w:cs="Times New Roman"/>
          <w:sz w:val="20"/>
          <w:szCs w:val="20"/>
        </w:rPr>
      </w:pPr>
    </w:p>
    <w:p w14:paraId="390BDA09" w14:textId="77777777" w:rsidR="00FB19CC" w:rsidRPr="00A85CD0" w:rsidRDefault="00FB19CC" w:rsidP="00FB19CC">
      <w:pPr>
        <w:rPr>
          <w:rFonts w:ascii="Times New Roman" w:hAnsi="Times New Roman" w:cs="Times New Roman"/>
          <w:sz w:val="20"/>
          <w:szCs w:val="20"/>
        </w:rPr>
      </w:pPr>
    </w:p>
    <w:p w14:paraId="16B84E55" w14:textId="77777777" w:rsidR="00FB19CC" w:rsidRPr="00A85CD0" w:rsidRDefault="00FB19CC" w:rsidP="00FB19CC">
      <w:pPr>
        <w:rPr>
          <w:rFonts w:ascii="Times New Roman" w:hAnsi="Times New Roman" w:cs="Times New Roman"/>
          <w:sz w:val="20"/>
          <w:szCs w:val="20"/>
        </w:rPr>
      </w:pPr>
    </w:p>
    <w:p w14:paraId="37A1DC29" w14:textId="77777777" w:rsidR="00FB19CC" w:rsidRPr="00A85CD0" w:rsidRDefault="00FB19CC" w:rsidP="00FB19CC">
      <w:pPr>
        <w:rPr>
          <w:rFonts w:ascii="Times New Roman" w:hAnsi="Times New Roman" w:cs="Times New Roman"/>
          <w:sz w:val="20"/>
          <w:szCs w:val="20"/>
        </w:rPr>
      </w:pPr>
    </w:p>
    <w:p w14:paraId="5787DD18" w14:textId="77777777" w:rsidR="00FB19CC" w:rsidRPr="00A85CD0" w:rsidRDefault="00FB19CC" w:rsidP="00FB19CC">
      <w:pPr>
        <w:rPr>
          <w:rFonts w:ascii="Times New Roman" w:hAnsi="Times New Roman" w:cs="Times New Roman"/>
          <w:sz w:val="20"/>
          <w:szCs w:val="20"/>
        </w:rPr>
      </w:pPr>
    </w:p>
    <w:p w14:paraId="1239D782" w14:textId="77777777" w:rsidR="00FB19CC" w:rsidRPr="00A85CD0" w:rsidRDefault="00FB19CC" w:rsidP="00FB19CC">
      <w:pPr>
        <w:rPr>
          <w:rFonts w:ascii="Times New Roman" w:hAnsi="Times New Roman" w:cs="Times New Roman"/>
          <w:sz w:val="20"/>
          <w:szCs w:val="20"/>
        </w:rPr>
      </w:pPr>
    </w:p>
    <w:p w14:paraId="500D5E62" w14:textId="77777777" w:rsidR="00FB19CC" w:rsidRPr="00A85CD0" w:rsidRDefault="00FB19CC" w:rsidP="00FB19CC">
      <w:pPr>
        <w:tabs>
          <w:tab w:val="left" w:pos="8029"/>
        </w:tabs>
        <w:rPr>
          <w:rFonts w:ascii="Times New Roman" w:hAnsi="Times New Roman" w:cs="Times New Roman"/>
          <w:sz w:val="20"/>
          <w:szCs w:val="20"/>
          <w:lang w:val="en-US"/>
        </w:rPr>
      </w:pPr>
      <w:r w:rsidRPr="00A85CD0">
        <w:rPr>
          <w:rFonts w:ascii="Times New Roman" w:hAnsi="Times New Roman" w:cs="Times New Roman"/>
          <w:sz w:val="20"/>
          <w:szCs w:val="20"/>
        </w:rPr>
        <w:t xml:space="preserve">Table 3. Expression of Class I MHC and Class II MHC in liver tissue 6 hours after brain death induction in the different groups. (BD: Brain death; MHC: </w:t>
      </w:r>
      <w:r w:rsidRPr="00A85CD0">
        <w:rPr>
          <w:rFonts w:ascii="Times New Roman" w:hAnsi="Times New Roman" w:cs="Times New Roman"/>
          <w:sz w:val="20"/>
          <w:szCs w:val="20"/>
          <w:lang w:val="en-US"/>
        </w:rPr>
        <w:t>major histocompatibility complex).</w:t>
      </w:r>
    </w:p>
    <w:p w14:paraId="2BEAAC5F" w14:textId="77777777" w:rsidR="00FB19CC" w:rsidRPr="00A85CD0" w:rsidRDefault="00FB19CC" w:rsidP="00FB19CC">
      <w:pPr>
        <w:tabs>
          <w:tab w:val="left" w:pos="8029"/>
        </w:tabs>
        <w:rPr>
          <w:rFonts w:ascii="Times New Roman" w:hAnsi="Times New Roman" w:cs="Times New Roman"/>
          <w:sz w:val="20"/>
          <w:szCs w:val="20"/>
          <w:lang w:val="en-US"/>
        </w:rPr>
      </w:pPr>
    </w:p>
    <w:p w14:paraId="64E37906" w14:textId="77777777" w:rsidR="00FB19CC" w:rsidRPr="00A85CD0" w:rsidRDefault="00FB19CC" w:rsidP="00FB19CC">
      <w:pPr>
        <w:tabs>
          <w:tab w:val="left" w:pos="8029"/>
        </w:tabs>
        <w:rPr>
          <w:rFonts w:ascii="Times New Roman" w:hAnsi="Times New Roman" w:cs="Times New Roman"/>
          <w:sz w:val="20"/>
          <w:szCs w:val="20"/>
          <w:lang w:val="en-US"/>
        </w:rPr>
      </w:pPr>
      <w:r w:rsidRPr="00A85CD0">
        <w:rPr>
          <w:rFonts w:ascii="Times New Roman" w:hAnsi="Times New Roman" w:cs="Times New Roman"/>
          <w:noProof/>
          <w:sz w:val="20"/>
          <w:szCs w:val="20"/>
        </w:rPr>
        <w:drawing>
          <wp:anchor distT="0" distB="0" distL="114300" distR="114300" simplePos="0" relativeHeight="251663360" behindDoc="0" locked="0" layoutInCell="1" allowOverlap="1" wp14:anchorId="0295BA82" wp14:editId="4520B131">
            <wp:simplePos x="0" y="0"/>
            <wp:positionH relativeFrom="column">
              <wp:posOffset>1</wp:posOffset>
            </wp:positionH>
            <wp:positionV relativeFrom="paragraph">
              <wp:posOffset>166775</wp:posOffset>
            </wp:positionV>
            <wp:extent cx="4572000" cy="1277396"/>
            <wp:effectExtent l="0" t="0" r="0" b="5715"/>
            <wp:wrapNone/>
            <wp:docPr id="9" name="table" descr="Graphical user interface, application&#10;&#10;Description automatically generated">
              <a:extLst xmlns:a="http://schemas.openxmlformats.org/drawingml/2006/main">
                <a:ext uri="{FF2B5EF4-FFF2-40B4-BE49-F238E27FC236}">
                  <a16:creationId xmlns:a16="http://schemas.microsoft.com/office/drawing/2014/main" id="{EAFFB229-9711-8EC4-9FDB-068ADB4FD3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descr="Graphical user interface, application&#10;&#10;Description automatically generated">
                      <a:extLst>
                        <a:ext uri="{FF2B5EF4-FFF2-40B4-BE49-F238E27FC236}">
                          <a16:creationId xmlns:a16="http://schemas.microsoft.com/office/drawing/2014/main" id="{EAFFB229-9711-8EC4-9FDB-068ADB4FD318}"/>
                        </a:ext>
                      </a:extLst>
                    </pic:cNvPr>
                    <pic:cNvPicPr>
                      <a:picLocks noChangeAspect="1"/>
                    </pic:cNvPicPr>
                  </pic:nvPicPr>
                  <pic:blipFill>
                    <a:blip r:embed="rId5"/>
                    <a:stretch>
                      <a:fillRect/>
                    </a:stretch>
                  </pic:blipFill>
                  <pic:spPr>
                    <a:xfrm>
                      <a:off x="0" y="0"/>
                      <a:ext cx="4615426" cy="1289529"/>
                    </a:xfrm>
                    <a:prstGeom prst="rect">
                      <a:avLst/>
                    </a:prstGeom>
                  </pic:spPr>
                </pic:pic>
              </a:graphicData>
            </a:graphic>
            <wp14:sizeRelH relativeFrom="margin">
              <wp14:pctWidth>0</wp14:pctWidth>
            </wp14:sizeRelH>
            <wp14:sizeRelV relativeFrom="margin">
              <wp14:pctHeight>0</wp14:pctHeight>
            </wp14:sizeRelV>
          </wp:anchor>
        </w:drawing>
      </w:r>
    </w:p>
    <w:p w14:paraId="05A6C415" w14:textId="77777777" w:rsidR="00FB19CC" w:rsidRPr="00A85CD0" w:rsidRDefault="00FB19CC" w:rsidP="00FB19CC">
      <w:pPr>
        <w:tabs>
          <w:tab w:val="left" w:pos="8029"/>
        </w:tabs>
        <w:rPr>
          <w:rFonts w:ascii="Times New Roman" w:hAnsi="Times New Roman" w:cs="Times New Roman"/>
          <w:sz w:val="20"/>
          <w:szCs w:val="20"/>
          <w:lang w:val="en-US"/>
        </w:rPr>
      </w:pPr>
    </w:p>
    <w:p w14:paraId="69BD187E" w14:textId="77777777" w:rsidR="00FB19CC" w:rsidRPr="00A85CD0" w:rsidRDefault="00FB19CC" w:rsidP="00FB19CC">
      <w:pPr>
        <w:tabs>
          <w:tab w:val="left" w:pos="8029"/>
        </w:tabs>
        <w:rPr>
          <w:rFonts w:ascii="Times New Roman" w:hAnsi="Times New Roman" w:cs="Times New Roman"/>
          <w:sz w:val="20"/>
          <w:szCs w:val="20"/>
          <w:lang w:val="en-US"/>
        </w:rPr>
      </w:pPr>
    </w:p>
    <w:p w14:paraId="166182D3" w14:textId="77777777" w:rsidR="00FB19CC" w:rsidRPr="00A85CD0" w:rsidRDefault="00FB19CC" w:rsidP="00FB19CC">
      <w:pPr>
        <w:tabs>
          <w:tab w:val="left" w:pos="8029"/>
        </w:tabs>
        <w:rPr>
          <w:rFonts w:ascii="Times New Roman" w:hAnsi="Times New Roman" w:cs="Times New Roman"/>
          <w:sz w:val="20"/>
          <w:szCs w:val="20"/>
          <w:lang w:val="en-US"/>
        </w:rPr>
      </w:pPr>
    </w:p>
    <w:p w14:paraId="35E4A574" w14:textId="77777777" w:rsidR="00FB19CC" w:rsidRPr="00A85CD0" w:rsidRDefault="00FB19CC" w:rsidP="00FB19CC">
      <w:pPr>
        <w:tabs>
          <w:tab w:val="left" w:pos="8029"/>
        </w:tabs>
        <w:rPr>
          <w:rFonts w:ascii="Times New Roman" w:hAnsi="Times New Roman" w:cs="Times New Roman"/>
          <w:sz w:val="20"/>
          <w:szCs w:val="20"/>
          <w:lang w:val="en-US"/>
        </w:rPr>
      </w:pPr>
    </w:p>
    <w:p w14:paraId="1FAC33F3" w14:textId="77777777" w:rsidR="00FB19CC" w:rsidRPr="00A85CD0" w:rsidRDefault="00FB19CC" w:rsidP="00FB19CC">
      <w:pPr>
        <w:tabs>
          <w:tab w:val="left" w:pos="8029"/>
        </w:tabs>
        <w:rPr>
          <w:rFonts w:ascii="Times New Roman" w:hAnsi="Times New Roman" w:cs="Times New Roman"/>
          <w:sz w:val="20"/>
          <w:szCs w:val="20"/>
          <w:lang w:val="en-US"/>
        </w:rPr>
      </w:pPr>
    </w:p>
    <w:p w14:paraId="2C51BED4" w14:textId="77777777" w:rsidR="00FB19CC" w:rsidRPr="00A85CD0" w:rsidRDefault="00FB19CC" w:rsidP="00FB19CC">
      <w:pPr>
        <w:tabs>
          <w:tab w:val="left" w:pos="8029"/>
        </w:tabs>
        <w:rPr>
          <w:rFonts w:ascii="Times New Roman" w:hAnsi="Times New Roman" w:cs="Times New Roman"/>
          <w:sz w:val="20"/>
          <w:szCs w:val="20"/>
          <w:lang w:val="en-US"/>
        </w:rPr>
      </w:pPr>
    </w:p>
    <w:p w14:paraId="5712A4C7" w14:textId="77777777" w:rsidR="00FB19CC" w:rsidRPr="00A85CD0" w:rsidRDefault="00FB19CC" w:rsidP="00FB19CC">
      <w:pPr>
        <w:tabs>
          <w:tab w:val="left" w:pos="8029"/>
        </w:tabs>
        <w:rPr>
          <w:rFonts w:ascii="Times New Roman" w:hAnsi="Times New Roman" w:cs="Times New Roman"/>
          <w:sz w:val="20"/>
          <w:szCs w:val="20"/>
          <w:lang w:val="en-US"/>
        </w:rPr>
      </w:pPr>
    </w:p>
    <w:p w14:paraId="0148575D" w14:textId="77777777" w:rsidR="00FB19CC" w:rsidRPr="00A85CD0" w:rsidRDefault="00FB19CC" w:rsidP="00FB19CC">
      <w:pPr>
        <w:tabs>
          <w:tab w:val="left" w:pos="8029"/>
        </w:tabs>
        <w:rPr>
          <w:rFonts w:ascii="Times New Roman" w:hAnsi="Times New Roman" w:cs="Times New Roman"/>
          <w:sz w:val="20"/>
          <w:szCs w:val="20"/>
          <w:lang w:val="en-US"/>
        </w:rPr>
      </w:pPr>
      <w:r w:rsidRPr="00A85CD0">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123A85D7" wp14:editId="6A2D35D6">
                <wp:simplePos x="0" y="0"/>
                <wp:positionH relativeFrom="column">
                  <wp:posOffset>-36946</wp:posOffset>
                </wp:positionH>
                <wp:positionV relativeFrom="paragraph">
                  <wp:posOffset>158635</wp:posOffset>
                </wp:positionV>
                <wp:extent cx="3000000" cy="361607"/>
                <wp:effectExtent l="0" t="0" r="0" b="0"/>
                <wp:wrapNone/>
                <wp:docPr id="96" name="Google Shape;96;p21"/>
                <wp:cNvGraphicFramePr/>
                <a:graphic xmlns:a="http://schemas.openxmlformats.org/drawingml/2006/main">
                  <a:graphicData uri="http://schemas.microsoft.com/office/word/2010/wordprocessingShape">
                    <wps:wsp>
                      <wps:cNvSpPr txBox="1"/>
                      <wps:spPr>
                        <a:xfrm>
                          <a:off x="0" y="0"/>
                          <a:ext cx="3000000" cy="361607"/>
                        </a:xfrm>
                        <a:prstGeom prst="rect">
                          <a:avLst/>
                        </a:prstGeom>
                        <a:noFill/>
                        <a:ln>
                          <a:noFill/>
                        </a:ln>
                      </wps:spPr>
                      <wps:txbx>
                        <w:txbxContent>
                          <w:p w14:paraId="7FB79C5A" w14:textId="77777777" w:rsidR="00FB19CC" w:rsidRDefault="00FB19CC" w:rsidP="00FB19CC">
                            <w:pPr>
                              <w:rPr>
                                <w:color w:val="000000" w:themeColor="dark1"/>
                                <w:sz w:val="20"/>
                                <w:szCs w:val="20"/>
                              </w:rPr>
                            </w:pP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wps:txbx>
                      <wps:bodyPr spcFirstLastPara="1" wrap="square" lIns="91425" tIns="91425" rIns="91425" bIns="91425" anchor="t" anchorCtr="0">
                        <a:spAutoFit/>
                      </wps:bodyPr>
                    </wps:wsp>
                  </a:graphicData>
                </a:graphic>
              </wp:anchor>
            </w:drawing>
          </mc:Choice>
          <mc:Fallback>
            <w:pict>
              <v:shape w14:anchorId="123A85D7" id="Google Shape;96;p21" o:spid="_x0000_s1028" type="#_x0000_t202" style="position:absolute;margin-left:-2.9pt;margin-top:12.5pt;width:236.2pt;height:28.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" filled="f" stroked="f">
                <v:textbox style="mso-fit-shape-to-text:t" inset="2.53958mm,2.53958mm,2.53958mm,2.53958mm">
                  <w:txbxContent>
                    <w:p w14:paraId="7FB79C5A" w14:textId="77777777" w:rsidR="00FB19CC" w:rsidRDefault="00FB19CC" w:rsidP="00FB19CC">
                      <w:pPr>
                        <w:rPr>
                          <w:color w:val="000000" w:themeColor="dark1"/>
                          <w:sz w:val="20"/>
                          <w:szCs w:val="20"/>
                        </w:rPr>
                      </w:pP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v:textbox>
              </v:shape>
            </w:pict>
          </mc:Fallback>
        </mc:AlternateContent>
      </w:r>
    </w:p>
    <w:p w14:paraId="4F4C41EF" w14:textId="77777777" w:rsidR="00FB19CC" w:rsidRPr="00A85CD0" w:rsidRDefault="00FB19CC" w:rsidP="00FB19CC">
      <w:pPr>
        <w:tabs>
          <w:tab w:val="left" w:pos="8029"/>
        </w:tabs>
        <w:rPr>
          <w:rFonts w:ascii="Times New Roman" w:hAnsi="Times New Roman" w:cs="Times New Roman"/>
          <w:sz w:val="20"/>
          <w:szCs w:val="20"/>
          <w:lang w:val="en-US"/>
        </w:rPr>
      </w:pPr>
    </w:p>
    <w:p w14:paraId="3B8A3BAD" w14:textId="77777777" w:rsidR="00FB19CC" w:rsidRPr="00A85CD0" w:rsidRDefault="00FB19CC" w:rsidP="00FB19CC">
      <w:pPr>
        <w:tabs>
          <w:tab w:val="left" w:pos="8029"/>
        </w:tabs>
        <w:rPr>
          <w:rFonts w:ascii="Times New Roman" w:hAnsi="Times New Roman" w:cs="Times New Roman"/>
          <w:sz w:val="20"/>
          <w:szCs w:val="20"/>
          <w:lang w:val="en-US"/>
        </w:rPr>
      </w:pPr>
    </w:p>
    <w:p w14:paraId="41203696" w14:textId="77777777" w:rsidR="00FB19CC" w:rsidRPr="00A85CD0" w:rsidRDefault="00FB19CC" w:rsidP="00FB19CC">
      <w:pPr>
        <w:tabs>
          <w:tab w:val="left" w:pos="8029"/>
        </w:tabs>
        <w:rPr>
          <w:rFonts w:ascii="Times New Roman" w:hAnsi="Times New Roman" w:cs="Times New Roman"/>
          <w:sz w:val="20"/>
          <w:szCs w:val="20"/>
          <w:lang w:val="en-US"/>
        </w:rPr>
      </w:pPr>
    </w:p>
    <w:p w14:paraId="0BDAF110" w14:textId="77777777" w:rsidR="00FB19CC" w:rsidRPr="00A85CD0" w:rsidRDefault="00FB19CC" w:rsidP="00FB19CC">
      <w:pPr>
        <w:tabs>
          <w:tab w:val="left" w:pos="8029"/>
        </w:tabs>
        <w:rPr>
          <w:rFonts w:ascii="Times New Roman" w:hAnsi="Times New Roman" w:cs="Times New Roman"/>
          <w:sz w:val="20"/>
          <w:szCs w:val="20"/>
        </w:rPr>
      </w:pPr>
      <w:r w:rsidRPr="00A85CD0">
        <w:rPr>
          <w:rFonts w:ascii="Times New Roman" w:hAnsi="Times New Roman" w:cs="Times New Roman"/>
          <w:sz w:val="20"/>
          <w:szCs w:val="20"/>
        </w:rPr>
        <w:t>Table 4. Comparative analysis of inflammatory mediators in plasma 6 hours after brain death induction in the different groups. (BD: Brain death).</w:t>
      </w:r>
    </w:p>
    <w:p w14:paraId="695E9ABF" w14:textId="77777777" w:rsidR="00FB19CC" w:rsidRPr="00A85CD0" w:rsidRDefault="00FB19CC" w:rsidP="00FB19CC">
      <w:pPr>
        <w:tabs>
          <w:tab w:val="left" w:pos="8029"/>
        </w:tabs>
        <w:rPr>
          <w:rFonts w:ascii="Times New Roman" w:hAnsi="Times New Roman" w:cs="Times New Roman"/>
          <w:sz w:val="20"/>
          <w:szCs w:val="20"/>
          <w:lang w:val="en-US"/>
        </w:rPr>
      </w:pPr>
      <w:r w:rsidRPr="00A85CD0">
        <w:rPr>
          <w:rFonts w:ascii="Times New Roman" w:hAnsi="Times New Roman" w:cs="Times New Roman"/>
          <w:noProof/>
          <w:sz w:val="20"/>
          <w:szCs w:val="20"/>
        </w:rPr>
        <w:drawing>
          <wp:anchor distT="0" distB="0" distL="114300" distR="114300" simplePos="0" relativeHeight="251662336" behindDoc="0" locked="0" layoutInCell="1" allowOverlap="1" wp14:anchorId="63773D70" wp14:editId="707CE4B3">
            <wp:simplePos x="0" y="0"/>
            <wp:positionH relativeFrom="column">
              <wp:posOffset>1</wp:posOffset>
            </wp:positionH>
            <wp:positionV relativeFrom="paragraph">
              <wp:posOffset>-4849</wp:posOffset>
            </wp:positionV>
            <wp:extent cx="4221018" cy="2034587"/>
            <wp:effectExtent l="0" t="0" r="0" b="0"/>
            <wp:wrapNone/>
            <wp:docPr id="8" name="table" descr="A picture containing text, night sky&#10;&#10;Description automatically generated">
              <a:extLst xmlns:a="http://schemas.openxmlformats.org/drawingml/2006/main">
                <a:ext uri="{FF2B5EF4-FFF2-40B4-BE49-F238E27FC236}">
                  <a16:creationId xmlns:a16="http://schemas.microsoft.com/office/drawing/2014/main" id="{51FDC511-5E65-45BA-BA3C-6D73A6C418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descr="A picture containing text, night sky&#10;&#10;Description automatically generated">
                      <a:extLst>
                        <a:ext uri="{FF2B5EF4-FFF2-40B4-BE49-F238E27FC236}">
                          <a16:creationId xmlns:a16="http://schemas.microsoft.com/office/drawing/2014/main" id="{51FDC511-5E65-45BA-BA3C-6D73A6C4185B}"/>
                        </a:ext>
                      </a:extLst>
                    </pic:cNvPr>
                    <pic:cNvPicPr>
                      <a:picLocks noChangeAspect="1"/>
                    </pic:cNvPicPr>
                  </pic:nvPicPr>
                  <pic:blipFill>
                    <a:blip r:embed="rId6"/>
                    <a:stretch>
                      <a:fillRect/>
                    </a:stretch>
                  </pic:blipFill>
                  <pic:spPr>
                    <a:xfrm>
                      <a:off x="0" y="0"/>
                      <a:ext cx="4233714" cy="2040706"/>
                    </a:xfrm>
                    <a:prstGeom prst="rect">
                      <a:avLst/>
                    </a:prstGeom>
                  </pic:spPr>
                </pic:pic>
              </a:graphicData>
            </a:graphic>
            <wp14:sizeRelH relativeFrom="margin">
              <wp14:pctWidth>0</wp14:pctWidth>
            </wp14:sizeRelH>
            <wp14:sizeRelV relativeFrom="margin">
              <wp14:pctHeight>0</wp14:pctHeight>
            </wp14:sizeRelV>
          </wp:anchor>
        </w:drawing>
      </w:r>
    </w:p>
    <w:p w14:paraId="6D638A78" w14:textId="77777777" w:rsidR="00FB19CC" w:rsidRPr="00A85CD0" w:rsidRDefault="00FB19CC" w:rsidP="00FB19CC">
      <w:pPr>
        <w:tabs>
          <w:tab w:val="left" w:pos="8029"/>
        </w:tabs>
        <w:rPr>
          <w:rFonts w:ascii="Times New Roman" w:hAnsi="Times New Roman" w:cs="Times New Roman"/>
          <w:sz w:val="20"/>
          <w:szCs w:val="20"/>
          <w:lang w:val="en-US"/>
        </w:rPr>
      </w:pPr>
    </w:p>
    <w:p w14:paraId="1EC40BD1" w14:textId="77777777" w:rsidR="00FB19CC" w:rsidRDefault="00FB19CC" w:rsidP="00FB19CC">
      <w:pPr>
        <w:tabs>
          <w:tab w:val="left" w:pos="8029"/>
        </w:tabs>
        <w:rPr>
          <w:rFonts w:ascii="Times New Roman" w:hAnsi="Times New Roman" w:cs="Times New Roman"/>
          <w:sz w:val="20"/>
          <w:szCs w:val="20"/>
        </w:rPr>
      </w:pPr>
      <w:r w:rsidRPr="00A85CD0">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025EA044" wp14:editId="03370049">
                <wp:simplePos x="0" y="0"/>
                <wp:positionH relativeFrom="column">
                  <wp:posOffset>36945</wp:posOffset>
                </wp:positionH>
                <wp:positionV relativeFrom="paragraph">
                  <wp:posOffset>1894436</wp:posOffset>
                </wp:positionV>
                <wp:extent cx="3000000" cy="361607"/>
                <wp:effectExtent l="0" t="0" r="0" b="0"/>
                <wp:wrapNone/>
                <wp:docPr id="7" name="Google Shape;102;p22"/>
                <wp:cNvGraphicFramePr/>
                <a:graphic xmlns:a="http://schemas.openxmlformats.org/drawingml/2006/main">
                  <a:graphicData uri="http://schemas.microsoft.com/office/word/2010/wordprocessingShape">
                    <wps:wsp>
                      <wps:cNvSpPr txBox="1"/>
                      <wps:spPr>
                        <a:xfrm>
                          <a:off x="0" y="0"/>
                          <a:ext cx="3000000" cy="361607"/>
                        </a:xfrm>
                        <a:prstGeom prst="rect">
                          <a:avLst/>
                        </a:prstGeom>
                        <a:noFill/>
                        <a:ln>
                          <a:noFill/>
                        </a:ln>
                      </wps:spPr>
                      <wps:txbx>
                        <w:txbxContent>
                          <w:p w14:paraId="194FCAF7" w14:textId="77777777" w:rsidR="00FB19CC" w:rsidRDefault="00FB19CC" w:rsidP="00FB19CC">
                            <w:pPr>
                              <w:rPr>
                                <w:color w:val="000000" w:themeColor="dark1"/>
                                <w:sz w:val="20"/>
                                <w:szCs w:val="20"/>
                              </w:rPr>
                            </w:pP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wps:txbx>
                      <wps:bodyPr spcFirstLastPara="1" wrap="square" lIns="91425" tIns="91425" rIns="91425" bIns="91425" anchor="t" anchorCtr="0">
                        <a:spAutoFit/>
                      </wps:bodyPr>
                    </wps:wsp>
                  </a:graphicData>
                </a:graphic>
              </wp:anchor>
            </w:drawing>
          </mc:Choice>
          <mc:Fallback>
            <w:pict>
              <v:shape w14:anchorId="025EA044" id="Google Shape;102;p22" o:spid="_x0000_s1029" type="#_x0000_t202" style="position:absolute;margin-left:2.9pt;margin-top:149.15pt;width:236.2pt;height:28.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" filled="f" stroked="f">
                <v:textbox style="mso-fit-shape-to-text:t" inset="2.53958mm,2.53958mm,2.53958mm,2.53958mm">
                  <w:txbxContent>
                    <w:p w14:paraId="194FCAF7" w14:textId="77777777" w:rsidR="00FB19CC" w:rsidRDefault="00FB19CC" w:rsidP="00FB19CC">
                      <w:pPr>
                        <w:rPr>
                          <w:color w:val="000000" w:themeColor="dark1"/>
                          <w:sz w:val="20"/>
                          <w:szCs w:val="20"/>
                        </w:rPr>
                      </w:pPr>
                      <w:r>
                        <w:rPr>
                          <w:color w:val="000000" w:themeColor="dark1"/>
                          <w:sz w:val="20"/>
                          <w:szCs w:val="20"/>
                        </w:rPr>
                        <w:t xml:space="preserve">*p&lt;0.05 vs. Control;  </w:t>
                      </w:r>
                      <w:r>
                        <w:rPr>
                          <w:color w:val="000000" w:themeColor="dark1"/>
                          <w:position w:val="6"/>
                          <w:sz w:val="20"/>
                          <w:szCs w:val="20"/>
                          <w:vertAlign w:val="superscript"/>
                        </w:rPr>
                        <w:t>#</w:t>
                      </w:r>
                      <w:r>
                        <w:rPr>
                          <w:color w:val="000000" w:themeColor="dark1"/>
                          <w:sz w:val="20"/>
                          <w:szCs w:val="20"/>
                        </w:rPr>
                        <w:t>p&lt;0.05 vs. BD.</w:t>
                      </w:r>
                    </w:p>
                  </w:txbxContent>
                </v:textbox>
              </v:shape>
            </w:pict>
          </mc:Fallback>
        </mc:AlternateContent>
      </w:r>
      <w:r>
        <w:rPr>
          <w:rFonts w:ascii="Times New Roman" w:hAnsi="Times New Roman" w:cs="Times New Roman"/>
          <w:sz w:val="20"/>
          <w:szCs w:val="20"/>
        </w:rPr>
        <w:br w:type="page"/>
      </w:r>
    </w:p>
    <w:p w14:paraId="62060BE5" w14:textId="77777777" w:rsidR="00FB19CC" w:rsidRPr="00F26B33" w:rsidRDefault="00FB19CC" w:rsidP="00FB19CC">
      <w:pPr>
        <w:tabs>
          <w:tab w:val="left" w:pos="8029"/>
        </w:tabs>
        <w:rPr>
          <w:rFonts w:ascii="Times New Roman" w:hAnsi="Times New Roman" w:cs="Times New Roman"/>
          <w:sz w:val="20"/>
          <w:szCs w:val="20"/>
          <w:lang w:val="en-US"/>
        </w:rPr>
      </w:pPr>
      <w:r w:rsidRPr="00F26B33">
        <w:rPr>
          <w:rFonts w:ascii="Times New Roman" w:hAnsi="Times New Roman" w:cs="Times New Roman"/>
          <w:sz w:val="20"/>
          <w:szCs w:val="20"/>
        </w:rPr>
        <w:lastRenderedPageBreak/>
        <w:t>Figur</w:t>
      </w:r>
      <w:r>
        <w:rPr>
          <w:rFonts w:ascii="Times New Roman" w:hAnsi="Times New Roman" w:cs="Times New Roman"/>
          <w:sz w:val="20"/>
          <w:szCs w:val="20"/>
        </w:rPr>
        <w:t>e</w:t>
      </w:r>
      <w:r w:rsidRPr="00F26B33">
        <w:rPr>
          <w:rFonts w:ascii="Times New Roman" w:hAnsi="Times New Roman" w:cs="Times New Roman"/>
          <w:sz w:val="20"/>
          <w:szCs w:val="20"/>
        </w:rPr>
        <w:t xml:space="preserve"> 1. Analysis of cerebral blood flow identified by transcranial color ultrasound. (A) Presence of blood flow in the reverse direction (yellow arrow) before brain death. (B) Presence of flow compatible with brain circulatory collapse (yellow arrow).</w:t>
      </w:r>
    </w:p>
    <w:p w14:paraId="1D032829" w14:textId="77777777" w:rsidR="00FB19CC" w:rsidRDefault="00FB19CC" w:rsidP="00FB19CC">
      <w:pPr>
        <w:tabs>
          <w:tab w:val="left" w:pos="8029"/>
        </w:tabs>
        <w:rPr>
          <w:rFonts w:ascii="Times New Roman" w:hAnsi="Times New Roman" w:cs="Times New Roman"/>
          <w:sz w:val="20"/>
          <w:szCs w:val="20"/>
        </w:rPr>
      </w:pPr>
    </w:p>
    <w:p w14:paraId="1D2869D0" w14:textId="77777777" w:rsidR="00FB19CC" w:rsidRDefault="00FB19CC" w:rsidP="00FB19CC">
      <w:pPr>
        <w:tabs>
          <w:tab w:val="left" w:pos="8029"/>
        </w:tabs>
        <w:rPr>
          <w:rFonts w:ascii="Times New Roman" w:hAnsi="Times New Roman" w:cs="Times New Roman"/>
          <w:sz w:val="20"/>
          <w:szCs w:val="20"/>
        </w:rPr>
      </w:pPr>
      <w:r w:rsidRPr="00F26B33">
        <w:rPr>
          <w:rFonts w:ascii="Times New Roman" w:hAnsi="Times New Roman" w:cs="Times New Roman"/>
          <w:sz w:val="20"/>
          <w:szCs w:val="20"/>
        </w:rPr>
        <w:t>Figure 2. Comparative analyzes of the evolution of MBP between the groups during a period of 6 hours after the induction of brain death. (MBP: Mean blood pressure).</w:t>
      </w:r>
    </w:p>
    <w:p w14:paraId="32701DE4" w14:textId="77777777" w:rsidR="00FB19CC" w:rsidRDefault="00FB19CC" w:rsidP="00FB19CC">
      <w:pPr>
        <w:tabs>
          <w:tab w:val="left" w:pos="8029"/>
        </w:tabs>
        <w:rPr>
          <w:rFonts w:ascii="Times New Roman" w:hAnsi="Times New Roman" w:cs="Times New Roman"/>
          <w:sz w:val="20"/>
          <w:szCs w:val="20"/>
        </w:rPr>
      </w:pPr>
    </w:p>
    <w:p w14:paraId="123778B1" w14:textId="77777777" w:rsidR="00FB19CC" w:rsidRDefault="00FB19CC" w:rsidP="00FB19CC">
      <w:pPr>
        <w:tabs>
          <w:tab w:val="left" w:pos="8029"/>
        </w:tabs>
        <w:rPr>
          <w:rFonts w:ascii="Times New Roman" w:hAnsi="Times New Roman" w:cs="Times New Roman"/>
          <w:sz w:val="20"/>
          <w:szCs w:val="20"/>
        </w:rPr>
      </w:pPr>
      <w:r w:rsidRPr="00F26B33">
        <w:rPr>
          <w:rFonts w:ascii="Times New Roman" w:hAnsi="Times New Roman" w:cs="Times New Roman"/>
          <w:sz w:val="20"/>
          <w:szCs w:val="20"/>
        </w:rPr>
        <w:t>Figure 3. Immunohistochemistry for detection of M1 macrophages (arrows) in liver tissue 6 hours after induction of brain death. (A) Control; (B) Brain death; 400X magnification.</w:t>
      </w:r>
    </w:p>
    <w:p w14:paraId="751DCF00" w14:textId="77777777" w:rsidR="00FB19CC" w:rsidRDefault="00FB19CC" w:rsidP="00FB19CC">
      <w:pPr>
        <w:tabs>
          <w:tab w:val="left" w:pos="8029"/>
        </w:tabs>
        <w:rPr>
          <w:rFonts w:ascii="Times New Roman" w:hAnsi="Times New Roman" w:cs="Times New Roman"/>
          <w:sz w:val="20"/>
          <w:szCs w:val="20"/>
        </w:rPr>
      </w:pPr>
    </w:p>
    <w:p w14:paraId="139B35C1" w14:textId="77777777" w:rsidR="00FB19CC" w:rsidRDefault="00FB19CC" w:rsidP="00FB19CC">
      <w:pPr>
        <w:tabs>
          <w:tab w:val="left" w:pos="8029"/>
        </w:tabs>
        <w:rPr>
          <w:rFonts w:ascii="Times New Roman" w:hAnsi="Times New Roman" w:cs="Times New Roman"/>
          <w:sz w:val="20"/>
          <w:szCs w:val="20"/>
        </w:rPr>
      </w:pPr>
      <w:r w:rsidRPr="00F26B33">
        <w:rPr>
          <w:rFonts w:ascii="Times New Roman" w:hAnsi="Times New Roman" w:cs="Times New Roman"/>
          <w:sz w:val="20"/>
          <w:szCs w:val="20"/>
        </w:rPr>
        <w:t>Figure 4. Quantification of M1 macrophage infiltrate 6 hours after brain death induction in different experimental groups. *p&lt;0.05 vs. Control; (BD: Brain death)</w:t>
      </w:r>
      <w:r>
        <w:rPr>
          <w:rFonts w:ascii="Times New Roman" w:hAnsi="Times New Roman" w:cs="Times New Roman"/>
          <w:sz w:val="20"/>
          <w:szCs w:val="20"/>
        </w:rPr>
        <w:t>.</w:t>
      </w:r>
    </w:p>
    <w:p w14:paraId="4469DF3E" w14:textId="77777777" w:rsidR="00FB19CC" w:rsidRDefault="00FB19CC" w:rsidP="00FB19CC">
      <w:pPr>
        <w:tabs>
          <w:tab w:val="left" w:pos="8029"/>
        </w:tabs>
        <w:rPr>
          <w:rFonts w:ascii="Times New Roman" w:hAnsi="Times New Roman" w:cs="Times New Roman"/>
          <w:sz w:val="20"/>
          <w:szCs w:val="20"/>
        </w:rPr>
      </w:pPr>
    </w:p>
    <w:p w14:paraId="2CA614DB" w14:textId="77777777" w:rsidR="00FB19CC" w:rsidRDefault="00FB19CC" w:rsidP="00FB19CC">
      <w:pPr>
        <w:tabs>
          <w:tab w:val="left" w:pos="8029"/>
        </w:tabs>
        <w:rPr>
          <w:rFonts w:ascii="Times New Roman" w:hAnsi="Times New Roman" w:cs="Times New Roman"/>
          <w:sz w:val="20"/>
          <w:szCs w:val="20"/>
        </w:rPr>
      </w:pPr>
      <w:r w:rsidRPr="00F26B33">
        <w:rPr>
          <w:rFonts w:ascii="Times New Roman" w:hAnsi="Times New Roman" w:cs="Times New Roman"/>
          <w:sz w:val="20"/>
          <w:szCs w:val="20"/>
        </w:rPr>
        <w:t>Figure 5. Comparative analyzes of gene expression and concentration of inflammatory meters in liver tissue 6 hours after brain death in the different groups. *p&lt;0.05 vs. Control; #p&lt;0.05 vs. BD. (BD: Brain death)</w:t>
      </w:r>
      <w:r>
        <w:rPr>
          <w:rFonts w:ascii="Times New Roman" w:hAnsi="Times New Roman" w:cs="Times New Roman"/>
          <w:sz w:val="20"/>
          <w:szCs w:val="20"/>
        </w:rPr>
        <w:t>.</w:t>
      </w:r>
    </w:p>
    <w:p w14:paraId="7A7AEC66" w14:textId="77777777" w:rsidR="00FB19CC" w:rsidRDefault="00FB19CC" w:rsidP="00FB19CC">
      <w:pPr>
        <w:tabs>
          <w:tab w:val="left" w:pos="8029"/>
        </w:tabs>
        <w:rPr>
          <w:rFonts w:ascii="Times New Roman" w:hAnsi="Times New Roman" w:cs="Times New Roman"/>
          <w:sz w:val="20"/>
          <w:szCs w:val="20"/>
        </w:rPr>
      </w:pPr>
    </w:p>
    <w:p w14:paraId="58CBF2E6" w14:textId="77777777" w:rsidR="00FB19CC" w:rsidRPr="00F26B33" w:rsidRDefault="00FB19CC" w:rsidP="00FB19CC">
      <w:pPr>
        <w:tabs>
          <w:tab w:val="left" w:pos="8029"/>
        </w:tabs>
        <w:rPr>
          <w:rFonts w:ascii="Times New Roman" w:hAnsi="Times New Roman" w:cs="Times New Roman"/>
          <w:sz w:val="20"/>
          <w:szCs w:val="20"/>
          <w:lang w:val="en-US"/>
        </w:rPr>
      </w:pPr>
      <w:r w:rsidRPr="00F26B33">
        <w:rPr>
          <w:rFonts w:ascii="Times New Roman" w:hAnsi="Times New Roman" w:cs="Times New Roman"/>
          <w:sz w:val="20"/>
          <w:szCs w:val="20"/>
        </w:rPr>
        <w:t xml:space="preserve">Figure 6. Comparative analyzes of Class I MHC and Class II MHC expression in liver tissue 6 hours after brain death in the different experimental groups. *p&lt;0.05 vs. Control; #p&lt;0.05 vs. BD. (BD: Brain death; MHC: </w:t>
      </w:r>
      <w:r w:rsidRPr="00F26B33">
        <w:rPr>
          <w:rFonts w:ascii="Times New Roman" w:hAnsi="Times New Roman" w:cs="Times New Roman"/>
          <w:sz w:val="20"/>
          <w:szCs w:val="20"/>
          <w:lang w:val="en-US"/>
        </w:rPr>
        <w:t>major histocompatibility complex).</w:t>
      </w:r>
    </w:p>
    <w:p w14:paraId="2332467C" w14:textId="77777777" w:rsidR="00FB19CC" w:rsidRDefault="00FB19CC" w:rsidP="00FB19CC">
      <w:pPr>
        <w:tabs>
          <w:tab w:val="left" w:pos="8029"/>
        </w:tabs>
        <w:rPr>
          <w:rFonts w:ascii="Times New Roman" w:hAnsi="Times New Roman" w:cs="Times New Roman"/>
          <w:sz w:val="20"/>
          <w:szCs w:val="20"/>
        </w:rPr>
      </w:pPr>
    </w:p>
    <w:p w14:paraId="5AC6D039" w14:textId="77777777" w:rsidR="00FB19CC" w:rsidRDefault="00FB19CC" w:rsidP="00FB19CC">
      <w:pPr>
        <w:tabs>
          <w:tab w:val="left" w:pos="8029"/>
        </w:tabs>
        <w:rPr>
          <w:rFonts w:ascii="Times New Roman" w:hAnsi="Times New Roman" w:cs="Times New Roman"/>
          <w:sz w:val="20"/>
          <w:szCs w:val="20"/>
        </w:rPr>
      </w:pPr>
      <w:r w:rsidRPr="00F26B33">
        <w:rPr>
          <w:rFonts w:ascii="Times New Roman" w:hAnsi="Times New Roman" w:cs="Times New Roman"/>
          <w:sz w:val="20"/>
          <w:szCs w:val="20"/>
        </w:rPr>
        <w:t>Figure 7. Comparative analyze s of NFB gene expression in liver tissue 6 hours after brain death in different groups. *p&lt;0.05 vs. Control; #p&lt;0.05 vs. BD. (BD: Brain death)</w:t>
      </w:r>
      <w:r>
        <w:rPr>
          <w:rFonts w:ascii="Times New Roman" w:hAnsi="Times New Roman" w:cs="Times New Roman"/>
          <w:sz w:val="20"/>
          <w:szCs w:val="20"/>
        </w:rPr>
        <w:t>.</w:t>
      </w:r>
    </w:p>
    <w:p w14:paraId="182EF7FF" w14:textId="77777777" w:rsidR="00FB19CC" w:rsidRDefault="00FB19CC" w:rsidP="00FB19CC">
      <w:pPr>
        <w:tabs>
          <w:tab w:val="left" w:pos="8029"/>
        </w:tabs>
        <w:rPr>
          <w:rFonts w:ascii="Times New Roman" w:hAnsi="Times New Roman" w:cs="Times New Roman"/>
          <w:sz w:val="20"/>
          <w:szCs w:val="20"/>
        </w:rPr>
      </w:pPr>
    </w:p>
    <w:p w14:paraId="5CECAA95" w14:textId="77777777" w:rsidR="00FB19CC" w:rsidRPr="00F26B33" w:rsidRDefault="00FB19CC" w:rsidP="00FB19CC">
      <w:pPr>
        <w:tabs>
          <w:tab w:val="left" w:pos="8029"/>
        </w:tabs>
        <w:rPr>
          <w:rFonts w:ascii="Times New Roman" w:hAnsi="Times New Roman" w:cs="Times New Roman"/>
          <w:sz w:val="20"/>
          <w:szCs w:val="20"/>
          <w:lang w:val="en-US"/>
        </w:rPr>
      </w:pPr>
      <w:r w:rsidRPr="00F26B33">
        <w:rPr>
          <w:rFonts w:ascii="Times New Roman" w:hAnsi="Times New Roman" w:cs="Times New Roman"/>
          <w:sz w:val="20"/>
          <w:szCs w:val="20"/>
        </w:rPr>
        <w:t>Figure 8. Analysis of the densiometric quantification (arbitrary units) of the NF-αB band in the liver tissue in the different groups. *p&lt;0.05 vs. Control; #p&lt;0.05 vs. BD. (BD: Brain death).</w:t>
      </w:r>
    </w:p>
    <w:p w14:paraId="7E58F1C3" w14:textId="77777777" w:rsidR="00FB19CC" w:rsidRDefault="00FB19CC" w:rsidP="00FB19CC">
      <w:pPr>
        <w:tabs>
          <w:tab w:val="left" w:pos="8029"/>
        </w:tabs>
        <w:rPr>
          <w:rFonts w:ascii="Times New Roman" w:hAnsi="Times New Roman" w:cs="Times New Roman"/>
          <w:sz w:val="20"/>
          <w:szCs w:val="20"/>
          <w:lang w:val="en-US"/>
        </w:rPr>
      </w:pPr>
    </w:p>
    <w:p w14:paraId="353FCBAA" w14:textId="77777777" w:rsidR="00FB19CC" w:rsidRPr="00F26B33" w:rsidRDefault="00FB19CC" w:rsidP="00FB19CC">
      <w:pPr>
        <w:tabs>
          <w:tab w:val="left" w:pos="8029"/>
        </w:tabs>
        <w:rPr>
          <w:rFonts w:ascii="Times New Roman" w:hAnsi="Times New Roman" w:cs="Times New Roman"/>
          <w:sz w:val="20"/>
          <w:szCs w:val="20"/>
          <w:lang w:val="en-US"/>
        </w:rPr>
      </w:pPr>
      <w:r w:rsidRPr="00F26B33">
        <w:rPr>
          <w:rFonts w:ascii="Times New Roman" w:hAnsi="Times New Roman" w:cs="Times New Roman"/>
          <w:sz w:val="20"/>
          <w:szCs w:val="20"/>
          <w:lang w:val="en-US"/>
        </w:rPr>
        <w:t>Figur</w:t>
      </w:r>
      <w:r>
        <w:rPr>
          <w:rFonts w:ascii="Times New Roman" w:hAnsi="Times New Roman" w:cs="Times New Roman"/>
          <w:sz w:val="20"/>
          <w:szCs w:val="20"/>
          <w:lang w:val="en-US"/>
        </w:rPr>
        <w:t xml:space="preserve">e </w:t>
      </w:r>
      <w:r w:rsidRPr="00F26B33">
        <w:rPr>
          <w:rFonts w:ascii="Times New Roman" w:hAnsi="Times New Roman" w:cs="Times New Roman"/>
          <w:sz w:val="20"/>
          <w:szCs w:val="20"/>
          <w:lang w:val="en-US"/>
        </w:rPr>
        <w:t>9. Illustrative image of the Super-Shift assay 6 hours after brain death induction (BD group), indicating that the dimers present in liver tissue are composed of the p50, p65 and c-Rel subunits. (BD: Brain death)</w:t>
      </w:r>
    </w:p>
    <w:p w14:paraId="6B74FC1E" w14:textId="77777777" w:rsidR="00FB19CC" w:rsidRPr="00F26B33" w:rsidRDefault="00FB19CC" w:rsidP="00FB19CC">
      <w:pPr>
        <w:tabs>
          <w:tab w:val="left" w:pos="8029"/>
        </w:tabs>
        <w:rPr>
          <w:rFonts w:ascii="Times New Roman" w:hAnsi="Times New Roman" w:cs="Times New Roman"/>
          <w:sz w:val="20"/>
          <w:szCs w:val="20"/>
          <w:lang w:val="en-US"/>
        </w:rPr>
      </w:pPr>
    </w:p>
    <w:p w14:paraId="01F8F00E" w14:textId="77777777" w:rsidR="00FB19CC" w:rsidRDefault="00FB19CC" w:rsidP="00FB19CC">
      <w:pPr>
        <w:tabs>
          <w:tab w:val="left" w:pos="8029"/>
        </w:tabs>
        <w:rPr>
          <w:rFonts w:ascii="Times New Roman" w:hAnsi="Times New Roman" w:cs="Times New Roman"/>
          <w:sz w:val="20"/>
          <w:szCs w:val="20"/>
        </w:rPr>
      </w:pPr>
    </w:p>
    <w:p w14:paraId="461E04F4" w14:textId="77777777" w:rsidR="00FB19CC" w:rsidRDefault="00FB19CC" w:rsidP="00FB19CC">
      <w:pPr>
        <w:tabs>
          <w:tab w:val="left" w:pos="8029"/>
        </w:tabs>
        <w:rPr>
          <w:rFonts w:ascii="Times New Roman" w:hAnsi="Times New Roman" w:cs="Times New Roman"/>
          <w:sz w:val="20"/>
          <w:szCs w:val="20"/>
        </w:rPr>
      </w:pPr>
    </w:p>
    <w:p w14:paraId="08B0E382" w14:textId="77777777" w:rsidR="00FB19CC" w:rsidRPr="00F26B33" w:rsidRDefault="00FB19CC" w:rsidP="00FB19CC">
      <w:pPr>
        <w:tabs>
          <w:tab w:val="left" w:pos="8029"/>
        </w:tabs>
        <w:rPr>
          <w:rFonts w:ascii="Times New Roman" w:hAnsi="Times New Roman" w:cs="Times New Roman"/>
          <w:sz w:val="20"/>
          <w:szCs w:val="20"/>
          <w:lang w:val="en-US"/>
        </w:rPr>
      </w:pPr>
    </w:p>
    <w:p w14:paraId="051494B3" w14:textId="77777777" w:rsidR="00FB19CC" w:rsidRDefault="00FB19CC" w:rsidP="00FB19CC">
      <w:pPr>
        <w:tabs>
          <w:tab w:val="left" w:pos="8029"/>
        </w:tabs>
        <w:rPr>
          <w:rFonts w:ascii="Times New Roman" w:hAnsi="Times New Roman" w:cs="Times New Roman"/>
          <w:sz w:val="20"/>
          <w:szCs w:val="20"/>
          <w:lang w:val="en-US"/>
        </w:rPr>
      </w:pPr>
    </w:p>
    <w:p w14:paraId="0199396C" w14:textId="77777777" w:rsidR="00FB19CC" w:rsidRPr="00F26B33" w:rsidRDefault="00FB19CC" w:rsidP="00FB19CC">
      <w:pPr>
        <w:tabs>
          <w:tab w:val="left" w:pos="8029"/>
        </w:tabs>
        <w:rPr>
          <w:rFonts w:ascii="Times New Roman" w:hAnsi="Times New Roman" w:cs="Times New Roman"/>
          <w:sz w:val="20"/>
          <w:szCs w:val="20"/>
          <w:lang w:val="en-US"/>
        </w:rPr>
      </w:pPr>
    </w:p>
    <w:p w14:paraId="6E3CA605" w14:textId="77777777" w:rsidR="00FB19CC" w:rsidRPr="00F26B33" w:rsidRDefault="00FB19CC" w:rsidP="00FB19CC">
      <w:pPr>
        <w:tabs>
          <w:tab w:val="left" w:pos="8029"/>
        </w:tabs>
        <w:rPr>
          <w:rFonts w:ascii="Times New Roman" w:hAnsi="Times New Roman" w:cs="Times New Roman"/>
          <w:sz w:val="20"/>
          <w:szCs w:val="20"/>
          <w:lang w:val="en-US"/>
        </w:rPr>
      </w:pPr>
    </w:p>
    <w:p w14:paraId="27B9FA17" w14:textId="77777777" w:rsidR="00FB19CC" w:rsidRPr="00F26B33" w:rsidRDefault="00FB19CC" w:rsidP="00FB19CC">
      <w:pPr>
        <w:tabs>
          <w:tab w:val="left" w:pos="8029"/>
        </w:tabs>
        <w:rPr>
          <w:rFonts w:ascii="Times New Roman" w:hAnsi="Times New Roman" w:cs="Times New Roman"/>
          <w:sz w:val="20"/>
          <w:szCs w:val="20"/>
          <w:lang w:val="en-US"/>
        </w:rPr>
      </w:pPr>
    </w:p>
    <w:p w14:paraId="24BC1581" w14:textId="77777777" w:rsidR="00FB19CC" w:rsidRPr="00A85CD0" w:rsidRDefault="00FB19CC" w:rsidP="00FB19CC">
      <w:pPr>
        <w:tabs>
          <w:tab w:val="left" w:pos="8029"/>
        </w:tabs>
        <w:rPr>
          <w:rFonts w:ascii="Times New Roman" w:hAnsi="Times New Roman" w:cs="Times New Roman"/>
          <w:sz w:val="20"/>
          <w:szCs w:val="20"/>
        </w:rPr>
      </w:pPr>
    </w:p>
    <w:p w14:paraId="54AE6722" w14:textId="77777777" w:rsidR="00FB19CC" w:rsidRDefault="00FB19CC"/>
    <w:sectPr w:rsidR="00FB19C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CC"/>
    <w:rsid w:val="00427D82"/>
    <w:rsid w:val="00FB19CC"/>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36B4E1FA"/>
  <w15:chartTrackingRefBased/>
  <w15:docId w15:val="{A1E779C5-E9C9-C441-AC2B-809F6F50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CC"/>
    <w:pPr>
      <w:spacing w:line="276" w:lineRule="auto"/>
    </w:pPr>
    <w:rPr>
      <w:rFonts w:ascii="Arial" w:eastAsia="Arial" w:hAnsi="Arial" w:cs="Arial"/>
      <w:sz w:val="22"/>
      <w:szCs w:val="22"/>
      <w:lang w:val="es-4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Zimelewicz Oberman</dc:creator>
  <cp:keywords/>
  <dc:description/>
  <cp:lastModifiedBy>Dan Zimelewicz Oberman</cp:lastModifiedBy>
  <cp:revision>1</cp:revision>
  <dcterms:created xsi:type="dcterms:W3CDTF">2022-06-29T12:55:00Z</dcterms:created>
  <dcterms:modified xsi:type="dcterms:W3CDTF">2022-06-29T12:56:00Z</dcterms:modified>
</cp:coreProperties>
</file>