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Times New Roman Bold Italic" w:hAnsi="Times New Roman Bold Italic" w:cs="Times New Roman Bold Italic"/>
          <w:b/>
          <w:bCs/>
          <w:i/>
          <w:iCs/>
          <w:sz w:val="32"/>
          <w:szCs w:val="32"/>
        </w:rPr>
      </w:pPr>
      <w:r>
        <w:rPr>
          <w:rFonts w:hint="default" w:ascii="Times New Roman Bold Italic" w:hAnsi="Times New Roman Bold Italic" w:cs="Times New Roman Bold Italic"/>
          <w:b/>
          <w:bCs/>
          <w:i/>
          <w:iCs/>
          <w:sz w:val="32"/>
          <w:szCs w:val="32"/>
        </w:rPr>
        <w:t>Supplementary Material</w:t>
      </w:r>
    </w:p>
    <w:p>
      <w:pPr>
        <w:pStyle w:val="2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 Figures</w:t>
      </w:r>
    </w:p>
    <w:p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drawing>
          <wp:inline distT="0" distB="0" distL="114300" distR="114300">
            <wp:extent cx="5779135" cy="5139055"/>
            <wp:effectExtent l="0" t="0" r="12065" b="17145"/>
            <wp:docPr id="9" name="图片 9" descr="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513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 Figure 1</w:t>
      </w:r>
      <w:r>
        <w:rPr>
          <w:rFonts w:ascii="Times New Roman" w:hAnsi="Times New Roman"/>
          <w:sz w:val="24"/>
          <w:szCs w:val="24"/>
        </w:rPr>
        <w:t xml:space="preserve">: Dilution curve of alpha diversity. </w:t>
      </w:r>
    </w:p>
    <w:p>
      <w:r>
        <w:drawing>
          <wp:inline distT="0" distB="0" distL="114300" distR="114300">
            <wp:extent cx="5266690" cy="6198235"/>
            <wp:effectExtent l="0" t="0" r="16510" b="24765"/>
            <wp:docPr id="1" name="图片 1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490595"/>
            <wp:effectExtent l="0" t="0" r="12065" b="14605"/>
            <wp:docPr id="2" name="图片 2" descr="未标题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color w:val="000000"/>
          <w:kern w:val="0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 Figure 2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hint="eastAsia" w:ascii="Times New Roman" w:hAnsi="Times New Roman"/>
          <w:sz w:val="24"/>
          <w:szCs w:val="24"/>
          <w:lang w:val="en-US" w:eastAsia="zh-Hans"/>
        </w:rPr>
        <w:t>T</w:t>
      </w:r>
      <w:r>
        <w:rPr>
          <w:rFonts w:hint="default" w:ascii="Times New Roman Regular" w:hAnsi="Times New Roman Regular" w:cs="Times New Roman Regular"/>
          <w:color w:val="000000"/>
          <w:kern w:val="0"/>
          <w:sz w:val="24"/>
          <w:szCs w:val="24"/>
        </w:rPr>
        <w:t>he sequence quality information</w:t>
      </w:r>
    </w:p>
    <w:p>
      <w:pPr>
        <w:rPr>
          <w:rFonts w:hint="default" w:ascii="Times New Roman Regular" w:hAnsi="Times New Roman Regular" w:cs="Times New Roman Regular"/>
          <w:color w:val="000000"/>
          <w:kern w:val="0"/>
          <w:sz w:val="24"/>
          <w:szCs w:val="24"/>
        </w:rPr>
      </w:pPr>
    </w:p>
    <w:p>
      <w:pPr>
        <w:pStyle w:val="2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 Table</w:t>
      </w:r>
    </w:p>
    <w:p>
      <w:pPr>
        <w:rPr>
          <w:rFonts w:hint="default"/>
        </w:rPr>
      </w:pPr>
    </w:p>
    <w:p>
      <w:pPr>
        <w:spacing w:line="240" w:lineRule="auto"/>
        <w:rPr>
          <w:rFonts w:ascii="Times New Roman Regular" w:hAnsi="Times New Roman Regular" w:cs="Times New Roman Regular"/>
          <w:color w:val="000000"/>
          <w:shd w:val="clear" w:color="auto" w:fill="FFFFFF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Table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1</w:t>
      </w: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:</w:t>
      </w:r>
      <w:r>
        <w:rPr>
          <w:rFonts w:ascii="Times New Roman Regular" w:hAnsi="Times New Roman Regular" w:cs="Times New Roman Regular"/>
          <w:color w:val="000000"/>
          <w:sz w:val="24"/>
          <w:szCs w:val="24"/>
          <w:lang w:eastAsia="zh-Hans"/>
        </w:rPr>
        <w:t xml:space="preserve"> Correlation results of </w:t>
      </w:r>
      <w:r>
        <w:rPr>
          <w:rFonts w:ascii="Times New Roman Regular" w:hAnsi="Times New Roman Regular" w:cs="Times New Roman Regular"/>
          <w:color w:val="000000"/>
          <w:sz w:val="24"/>
          <w:szCs w:val="24"/>
          <w:shd w:val="clear" w:color="auto" w:fill="FFFFFF"/>
        </w:rPr>
        <w:t>clinical parameters</w:t>
      </w:r>
      <w:r>
        <w:rPr>
          <w:rFonts w:ascii="Times New Roman Regular" w:hAnsi="Times New Roman Regular" w:cs="Times New Roman Regular"/>
          <w:color w:val="000000"/>
          <w:sz w:val="24"/>
          <w:szCs w:val="24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color w:val="000000"/>
          <w:sz w:val="24"/>
          <w:szCs w:val="24"/>
          <w:shd w:val="clear" w:color="auto" w:fill="FFFFFF"/>
        </w:rPr>
        <w:t>specific gut microbiota</w:t>
      </w:r>
    </w:p>
    <w:tbl>
      <w:tblPr>
        <w:tblStyle w:val="6"/>
        <w:tblW w:w="745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6"/>
        <w:gridCol w:w="2871"/>
        <w:gridCol w:w="1604"/>
        <w:gridCol w:w="9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shd w:val="clear" w:color="auto" w:fill="FFFFFF"/>
              </w:rPr>
              <w:t>clinical parameters</w:t>
            </w:r>
          </w:p>
        </w:tc>
        <w:tc>
          <w:tcPr>
            <w:tcW w:w="287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Bacterial taxon</w:t>
            </w:r>
          </w:p>
        </w:tc>
        <w:tc>
          <w:tcPr>
            <w:tcW w:w="160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correlation coefficient</w:t>
            </w:r>
          </w:p>
        </w:tc>
        <w:tc>
          <w:tcPr>
            <w:tcW w:w="98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</w:t>
            </w:r>
          </w:p>
        </w:tc>
        <w:tc>
          <w:tcPr>
            <w:tcW w:w="2871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0.302</w:t>
            </w:r>
          </w:p>
        </w:tc>
        <w:tc>
          <w:tcPr>
            <w:tcW w:w="988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B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0.292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Streptococcus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0.270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CD4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vertAlign w:val="superscript"/>
                <w:lang w:bidi="ar"/>
              </w:rPr>
              <w:t>+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0.310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Enterobacteriaceae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-0.255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Th1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Prevotella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0.279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CAG-352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0.283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Th2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0.429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Escherichia-Shigella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-0.261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Th17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Prevotella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0.262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0.288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Th17/Treg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Dorea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0.273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IL-2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0.443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IL-4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0.303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IL-6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Muribaculaceae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0.312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Lachnospiraceae_UCG-004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0.320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IL-10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Ruminococcus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-0.254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CAG-352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-0.284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IL-17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[Eubacterium]_hallii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0.286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IFN-gama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Phascolarctobacterium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0.366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ESR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Roseburia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0.342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Butyricicoccus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0.310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Klebsiella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0.309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CRP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Faecalibacterium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0.352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Muribaculaceae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0.268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ASDAS-CRP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Faecalibacterium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0.351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Ruminococcus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0.274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age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-0.257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Dorea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-0.294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Butyricicoccus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0.259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BMI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Lachnospira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0.280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Lachnospiraceae_UCG-004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0.333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RBC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Dorea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0.252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WBC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Agathobacter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0.251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[Eubacterium]_eligens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0.266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0.0369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PLT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Anaerostipes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0.291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0.0220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Streptococcus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0.356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0.0045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Clostridium_sensu_stricto_1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0.255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0.0452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NEUT%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/>
                <w:sz w:val="24"/>
                <w:szCs w:val="24"/>
                <w:lang w:bidi="ar"/>
              </w:rPr>
              <w:t>Escherichia-Shigella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0.313</w:t>
            </w:r>
          </w:p>
        </w:tc>
        <w:tc>
          <w:tcPr>
            <w:tcW w:w="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0.0132</w:t>
            </w:r>
          </w:p>
        </w:tc>
      </w:tr>
    </w:tbl>
    <w:p>
      <w:pPr>
        <w:rPr>
          <w:rFonts w:hint="default" w:ascii="Times New Roman Regular" w:hAnsi="Times New Roman Regular" w:cs="Times New Roman Regular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HelveticaNeueLTPro-Bd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BymshnMinion-Blac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hrqfMinionPro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pttrmMinionProI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ysmtkMinionProI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kcdljMinionPro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system-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ngwdvMinionPro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Noto Sans Kaithi">
    <w:panose1 w:val="020B0502040504020204"/>
    <w:charset w:val="00"/>
    <w:family w:val="auto"/>
    <w:pitch w:val="default"/>
    <w:sig w:usb0="80008003" w:usb1="02002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9" w:usb3="00000000" w:csb0="0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PingFang SC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font-weight : 400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16FE095"/>
    <w:rsid w:val="5FCDE532"/>
    <w:rsid w:val="73FFF5EC"/>
    <w:rsid w:val="76C58BC1"/>
    <w:rsid w:val="76FF4BE7"/>
    <w:rsid w:val="7BBF5DC8"/>
    <w:rsid w:val="7CDF6839"/>
    <w:rsid w:val="7DB419B7"/>
    <w:rsid w:val="7EF09C1D"/>
    <w:rsid w:val="7EFB2BB7"/>
    <w:rsid w:val="96F5A47B"/>
    <w:rsid w:val="9F7BEA1B"/>
    <w:rsid w:val="BDFF613B"/>
    <w:rsid w:val="C6FDDFB4"/>
    <w:rsid w:val="CDCF97EF"/>
    <w:rsid w:val="EBB36EE5"/>
    <w:rsid w:val="EDEF11FB"/>
    <w:rsid w:val="F16FE095"/>
    <w:rsid w:val="FEEEA7AA"/>
    <w:rsid w:val="FFE2BE93"/>
    <w:rsid w:val="FFFF8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7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2022-04-26T17:29:00Z</dcterms:created>
  <dc:creator>songsong</dc:creator>
  <cp:lastModifiedBy>songsong</cp:lastModifiedBy>
  <dcterms:modified xsi:type="dcterms:W3CDTF">2022-05-14T14:14:34Z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