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BBD13" w14:textId="143A4EC7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5E3F">
        <w:rPr>
          <w:rFonts w:ascii="Times New Roman" w:eastAsia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</w:rPr>
        <w:t>S1</w:t>
      </w:r>
      <w:r w:rsidRPr="00BC5E3F">
        <w:rPr>
          <w:rFonts w:ascii="Times New Roman" w:eastAsia="Times New Roman" w:hAnsi="Times New Roman" w:cs="Times New Roman"/>
          <w:sz w:val="24"/>
          <w:szCs w:val="24"/>
        </w:rPr>
        <w:t xml:space="preserve">. Experiment 1 results from linear models for each response variable for symbionts grown in culture. Bold signifies a significant p-value. </w:t>
      </w:r>
    </w:p>
    <w:tbl>
      <w:tblPr>
        <w:tblW w:w="9420" w:type="dxa"/>
        <w:tblInd w:w="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985"/>
        <w:gridCol w:w="1710"/>
        <w:gridCol w:w="900"/>
        <w:gridCol w:w="1485"/>
      </w:tblGrid>
      <w:tr w:rsidR="00C05B1A" w:rsidRPr="00BC5E3F" w14:paraId="5C73ACFC" w14:textId="77777777" w:rsidTr="002D298D">
        <w:trPr>
          <w:trHeight w:val="438"/>
        </w:trPr>
        <w:tc>
          <w:tcPr>
            <w:tcW w:w="234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515DFE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Response</w:t>
            </w: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8F95D0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Factor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7343C6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FBDC78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4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45C3C2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C05B1A" w:rsidRPr="00BC5E3F" w14:paraId="00C03D22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032A3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Growth rate (May)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3710E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4F7C3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9.7430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1A6DE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B60E1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114AEE57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5E6F7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A899D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E0462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8.9367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AEDDC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3C49F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1AAAC6FB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64CA3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6B233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F3616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10.8498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A8F28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CEF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213D9983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03838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97631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7F1F7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A8B77" w14:textId="77777777" w:rsidR="00C05B1A" w:rsidRPr="00BC5E3F" w:rsidRDefault="00C05B1A" w:rsidP="002D29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51BF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5B1A" w:rsidRPr="00BC5E3F" w14:paraId="4EB97562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6E97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Growth rate (July)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760E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C921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8.0253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D946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2627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626B3611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902E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00FC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65A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0.4162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A135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453A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0.66213</w:t>
            </w:r>
          </w:p>
        </w:tc>
      </w:tr>
      <w:tr w:rsidR="00C05B1A" w:rsidRPr="00BC5E3F" w14:paraId="32AD276C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60DA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7AE7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C03E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2.2302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ED9F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D784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0.04309</w:t>
            </w:r>
          </w:p>
        </w:tc>
      </w:tr>
      <w:tr w:rsidR="00C05B1A" w:rsidRPr="00BC5E3F" w14:paraId="463A2640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E210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66F6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D669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4848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DA75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5B1A" w:rsidRPr="00BC5E3F" w14:paraId="36A14A4F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A371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Respiration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F94D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ECEA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6.8217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9E95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A0CF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002579BB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C90F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22C8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2CD8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2.6140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3540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BCC9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0.0843</w:t>
            </w:r>
          </w:p>
        </w:tc>
      </w:tr>
      <w:tr w:rsidR="00C05B1A" w:rsidRPr="00BC5E3F" w14:paraId="4D26F191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BB47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7995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291D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4.5551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1F33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D815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617F08EC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E2C2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0C44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60DF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37FF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13DD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5B1A" w:rsidRPr="00BC5E3F" w14:paraId="54DF3C5F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6241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Gross Photosynthesis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2945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0AFB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14.8777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27DB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D94B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0CBD116F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BE71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C803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FC6A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7.5119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4B42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F506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0.0015</w:t>
            </w:r>
          </w:p>
        </w:tc>
      </w:tr>
      <w:tr w:rsidR="00C05B1A" w:rsidRPr="00BC5E3F" w14:paraId="77B05E11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28CD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1F2D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D062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4.7140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2ECC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24EA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59E9FB3B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5A69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5B95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506F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8237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4825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5B1A" w:rsidRPr="00BC5E3F" w14:paraId="1CE0FF7D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7F15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Net Photosynthesis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3119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7A0E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24.8424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4C99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6492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637CD4FD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6193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2B67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EB86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12.0215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4A0E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DB02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4EEF1D24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3C68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4E47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E846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6.5137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91F2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E0C6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7C61C2F8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DD7B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9D8C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D4A5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8D5F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5956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D819E87" w14:textId="77777777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AB7365" w14:textId="77777777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768EB5" w14:textId="34666D38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5E3F">
        <w:rPr>
          <w:rFonts w:ascii="Times New Roman" w:eastAsia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</w:rPr>
        <w:t>S2</w:t>
      </w:r>
      <w:r w:rsidRPr="00BC5E3F">
        <w:rPr>
          <w:rFonts w:ascii="Times New Roman" w:eastAsia="Times New Roman" w:hAnsi="Times New Roman" w:cs="Times New Roman"/>
          <w:sz w:val="24"/>
          <w:szCs w:val="24"/>
        </w:rPr>
        <w:t xml:space="preserve">. Experiment 2 results from log-linear analyses on proportion of polyps to reach each development stage and on survival. Bold signifies a significant p-value. </w:t>
      </w:r>
    </w:p>
    <w:tbl>
      <w:tblPr>
        <w:tblW w:w="9345" w:type="dxa"/>
        <w:tblInd w:w="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985"/>
        <w:gridCol w:w="1710"/>
        <w:gridCol w:w="900"/>
        <w:gridCol w:w="1410"/>
      </w:tblGrid>
      <w:tr w:rsidR="00C05B1A" w:rsidRPr="00BC5E3F" w14:paraId="1D3A7B5F" w14:textId="77777777" w:rsidTr="002D298D">
        <w:trPr>
          <w:trHeight w:val="438"/>
        </w:trPr>
        <w:tc>
          <w:tcPr>
            <w:tcW w:w="234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4D854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Developmental Stage</w:t>
            </w: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FDE93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Factor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E83A9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1CB6B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4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9AF1C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C05B1A" w:rsidRPr="00BC5E3F" w14:paraId="1F42A4FB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BACB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Inoculation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D29E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DDC8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27.1375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153A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2DAD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533252F9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FE51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5384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D55E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9.4716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59C1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307E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0.00878</w:t>
            </w:r>
          </w:p>
        </w:tc>
      </w:tr>
      <w:tr w:rsidR="00C05B1A" w:rsidRPr="00BC5E3F" w14:paraId="58AFE2B4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60D8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28DB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2DDB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16.3532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FF56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6D82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0.03760</w:t>
            </w:r>
          </w:p>
        </w:tc>
      </w:tr>
      <w:tr w:rsidR="00C05B1A" w:rsidRPr="00BC5E3F" w14:paraId="195CFF8E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9019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Strobilation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FB5E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359D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67.176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A094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3053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2599A356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4B0D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21D0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049F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26.719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374C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4F36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0183B035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BDEA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9804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B65A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23.474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6CE0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A6B5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0.00281</w:t>
            </w:r>
          </w:p>
        </w:tc>
      </w:tr>
      <w:tr w:rsidR="00C05B1A" w:rsidRPr="00BC5E3F" w14:paraId="675846E5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B80F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Released Ephyra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EBDC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23B1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63.934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0C1E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BCD1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1BE7357F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4A0F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04BE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749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29.903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3AE4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0A35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505E3536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C0A6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7CCE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CE90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18.745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477F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B81C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0.01628</w:t>
            </w:r>
          </w:p>
        </w:tc>
      </w:tr>
      <w:tr w:rsidR="00C05B1A" w:rsidRPr="00BC5E3F" w14:paraId="78C1A27A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C3FF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Survival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DECE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6000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8.422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D046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E01A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0.13446</w:t>
            </w:r>
          </w:p>
        </w:tc>
      </w:tr>
      <w:tr w:rsidR="00C05B1A" w:rsidRPr="00BC5E3F" w14:paraId="1D3A81BE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3217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8023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AAB7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10.775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19F4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7F121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0.00457</w:t>
            </w:r>
          </w:p>
        </w:tc>
      </w:tr>
    </w:tbl>
    <w:p w14:paraId="68900826" w14:textId="77777777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95877F" w14:textId="77777777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5E3F">
        <w:rPr>
          <w:rFonts w:ascii="Times New Roman" w:hAnsi="Times New Roman" w:cs="Times New Roman"/>
          <w:sz w:val="24"/>
          <w:szCs w:val="24"/>
        </w:rPr>
        <w:br w:type="page"/>
      </w:r>
    </w:p>
    <w:p w14:paraId="1B7C1058" w14:textId="49A290E5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5E3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</w:rPr>
        <w:t>S3</w:t>
      </w:r>
      <w:r w:rsidRPr="00BC5E3F">
        <w:rPr>
          <w:rFonts w:ascii="Times New Roman" w:eastAsia="Times New Roman" w:hAnsi="Times New Roman" w:cs="Times New Roman"/>
          <w:sz w:val="24"/>
          <w:szCs w:val="24"/>
        </w:rPr>
        <w:t>. Experiment 2 results from linear models (total bud production) and linear mixed models (total ephyra production and average days to reach each developmental stage) of fitness component response variables. Bold signifies a significant p-value.</w:t>
      </w:r>
    </w:p>
    <w:tbl>
      <w:tblPr>
        <w:tblW w:w="9330" w:type="dxa"/>
        <w:tblInd w:w="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985"/>
        <w:gridCol w:w="1710"/>
        <w:gridCol w:w="900"/>
        <w:gridCol w:w="1395"/>
      </w:tblGrid>
      <w:tr w:rsidR="00C05B1A" w:rsidRPr="00BC5E3F" w14:paraId="001821BF" w14:textId="77777777" w:rsidTr="002D298D">
        <w:trPr>
          <w:trHeight w:val="474"/>
        </w:trPr>
        <w:tc>
          <w:tcPr>
            <w:tcW w:w="234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8BC78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Response</w:t>
            </w: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724B6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Factor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C4761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 or </w:t>
            </w: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F2CEA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39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EDEFD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C05B1A" w:rsidRPr="00BC5E3F" w14:paraId="2CC495D4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346C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Bud Production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FD29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F6B4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F = 12.6960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2B2D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3E993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278EE756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4AF6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8A2B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5DEE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F = 5.6778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4264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CF84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0.00369</w:t>
            </w:r>
          </w:p>
        </w:tc>
      </w:tr>
      <w:tr w:rsidR="00C05B1A" w:rsidRPr="00BC5E3F" w14:paraId="5E83C304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D92C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5A40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28D6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F = 2.7966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7F26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C0E0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0.00232</w:t>
            </w:r>
          </w:p>
        </w:tc>
      </w:tr>
      <w:tr w:rsidR="00C05B1A" w:rsidRPr="00BC5E3F" w14:paraId="31DE4D80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D569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F5BB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1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E16F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4681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1395" w:type="dxa"/>
            <w:tcBorders>
              <w:bottom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8EF3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5B1A" w:rsidRPr="00BC5E3F" w14:paraId="506A8C10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001A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Ephyra Production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BB7C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57CC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92.8153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F7B3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5A512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376034FE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C2A9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9AD9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5DE3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42.9593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B963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E7D7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7E7D06E4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DCA4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666C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2B23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27.6654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BFB4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423C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2D202FCD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E603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Days to Inoculation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E4D3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5F18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549.970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FB61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A49D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1808E3E1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68BD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F6BB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3C5D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21.141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A713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66B8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3BCBA81E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AF88B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DC31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3087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20.702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8FB1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5D28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0.00798</w:t>
            </w:r>
          </w:p>
        </w:tc>
      </w:tr>
      <w:tr w:rsidR="00C05B1A" w:rsidRPr="00BC5E3F" w14:paraId="2DAE15A6" w14:textId="77777777" w:rsidTr="002D298D">
        <w:trPr>
          <w:trHeight w:val="144"/>
        </w:trPr>
        <w:tc>
          <w:tcPr>
            <w:tcW w:w="2340" w:type="dxa"/>
            <w:tcBorders>
              <w:top w:val="single" w:sz="24" w:space="0" w:color="000000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D5D98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Days to Strobilation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C49C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6AAD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55.3634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59EC7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8FEA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0D6B8844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1580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9B18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D0E8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6.7575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2C2C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8456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0.03409</w:t>
            </w:r>
          </w:p>
        </w:tc>
      </w:tr>
      <w:tr w:rsidR="00C05B1A" w:rsidRPr="00BC5E3F" w14:paraId="67FFA7BA" w14:textId="77777777" w:rsidTr="002D298D">
        <w:trPr>
          <w:trHeight w:val="144"/>
        </w:trPr>
        <w:tc>
          <w:tcPr>
            <w:tcW w:w="234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7583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11D90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7EB7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18.3033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0F90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DDE8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0.01906</w:t>
            </w:r>
          </w:p>
        </w:tc>
      </w:tr>
      <w:tr w:rsidR="00C05B1A" w:rsidRPr="00BC5E3F" w14:paraId="3E2D908E" w14:textId="77777777" w:rsidTr="002D298D">
        <w:trPr>
          <w:trHeight w:val="144"/>
        </w:trPr>
        <w:tc>
          <w:tcPr>
            <w:tcW w:w="2340" w:type="dxa"/>
            <w:vMerge w:val="restart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288F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Days to Ephyra Release</w:t>
            </w:r>
          </w:p>
        </w:tc>
        <w:tc>
          <w:tcPr>
            <w:tcW w:w="298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DA2B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Symbiont Genotype</w:t>
            </w:r>
          </w:p>
        </w:tc>
        <w:tc>
          <w:tcPr>
            <w:tcW w:w="171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7C2F6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203.865</w:t>
            </w:r>
          </w:p>
        </w:tc>
        <w:tc>
          <w:tcPr>
            <w:tcW w:w="900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F1C9A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5" w:type="dxa"/>
            <w:tcBorders>
              <w:top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9137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79B8DE1D" w14:textId="77777777" w:rsidTr="002D298D">
        <w:trPr>
          <w:trHeight w:val="144"/>
        </w:trPr>
        <w:tc>
          <w:tcPr>
            <w:tcW w:w="23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F71DF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0737E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B8FCC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139.675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87C05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AAFD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05B1A" w:rsidRPr="00BC5E3F" w14:paraId="7C135118" w14:textId="77777777" w:rsidTr="002D298D">
        <w:trPr>
          <w:trHeight w:val="144"/>
        </w:trPr>
        <w:tc>
          <w:tcPr>
            <w:tcW w:w="23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DE6E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0538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Genotype*Temperature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16EE9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Cambria Math" w:eastAsia="Times New Roman" w:hAnsi="Cambria Math" w:cs="Cambria Math"/>
                <w:sz w:val="24"/>
                <w:szCs w:val="24"/>
              </w:rPr>
              <w:t>𝛘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14.257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8A6B4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01ADD" w14:textId="77777777" w:rsidR="00C05B1A" w:rsidRPr="00BC5E3F" w:rsidRDefault="00C05B1A" w:rsidP="002D298D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0.07531</w:t>
            </w:r>
          </w:p>
        </w:tc>
      </w:tr>
    </w:tbl>
    <w:p w14:paraId="0C1B0A7F" w14:textId="77777777" w:rsidR="00C05B1A" w:rsidRPr="00BC5E3F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1B990F" w14:textId="438AF0CA" w:rsidR="004F35B5" w:rsidRPr="00C05B1A" w:rsidRDefault="00C05B1A" w:rsidP="00C05B1A">
      <w:pPr>
        <w:spacing w:after="0" w:line="480" w:lineRule="auto"/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u w:val="single"/>
        </w:rPr>
      </w:pPr>
    </w:p>
    <w:sectPr w:rsidR="004F35B5" w:rsidRPr="00C05B1A" w:rsidSect="00E802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B1A"/>
    <w:rsid w:val="00171461"/>
    <w:rsid w:val="00232A9A"/>
    <w:rsid w:val="005D6491"/>
    <w:rsid w:val="0094011A"/>
    <w:rsid w:val="00C05B1A"/>
    <w:rsid w:val="00E80229"/>
    <w:rsid w:val="00E9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37E692"/>
  <w15:chartTrackingRefBased/>
  <w15:docId w15:val="{C14C80DB-50C9-B04B-AE4C-508EAE7CA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B1A"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05B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5B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5B1A"/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384</Words>
  <Characters>2190</Characters>
  <Application>Microsoft Office Word</Application>
  <DocSecurity>0</DocSecurity>
  <Lines>18</Lines>
  <Paragraphs>5</Paragraphs>
  <ScaleCrop>false</ScaleCrop>
  <Company>California State University, Northridge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 terHorst</dc:creator>
  <cp:keywords/>
  <dc:description/>
  <cp:lastModifiedBy>Casey terHorst</cp:lastModifiedBy>
  <cp:revision>1</cp:revision>
  <dcterms:created xsi:type="dcterms:W3CDTF">2021-10-14T15:40:00Z</dcterms:created>
  <dcterms:modified xsi:type="dcterms:W3CDTF">2021-10-14T15:41:00Z</dcterms:modified>
</cp:coreProperties>
</file>