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3A64" w:rsidRDefault="00673A64" w:rsidP="00673A64">
      <w:pPr>
        <w:rPr>
          <w:b/>
          <w:sz w:val="24"/>
          <w:lang w:val="en-GB"/>
        </w:rPr>
      </w:pPr>
      <w:r>
        <w:rPr>
          <w:b/>
          <w:sz w:val="24"/>
          <w:lang w:val="en-GB"/>
        </w:rPr>
        <w:t>SUPPLEMENTARY MATERIAL</w:t>
      </w:r>
    </w:p>
    <w:p w:rsidR="00673A64" w:rsidRPr="00D73601" w:rsidRDefault="00673A64" w:rsidP="00673A64">
      <w:pPr>
        <w:rPr>
          <w:b/>
          <w:sz w:val="24"/>
          <w:lang w:val="en-GB"/>
        </w:rPr>
      </w:pPr>
    </w:p>
    <w:p w:rsidR="00673A64" w:rsidRPr="00D73601" w:rsidRDefault="00673A64" w:rsidP="00673A64">
      <w:pPr>
        <w:rPr>
          <w:b/>
          <w:sz w:val="24"/>
          <w:lang w:val="en-GB"/>
        </w:rPr>
      </w:pPr>
      <w:r w:rsidRPr="004C7EEC">
        <w:rPr>
          <w:noProof/>
          <w:lang w:eastAsia="en-ZA"/>
        </w:rPr>
        <w:t xml:space="preserve"> </w:t>
      </w:r>
      <w:r>
        <w:rPr>
          <w:noProof/>
          <w:lang w:eastAsia="en-ZA"/>
        </w:rPr>
        <w:drawing>
          <wp:inline distT="0" distB="0" distL="0" distR="0" wp14:anchorId="71D8639D" wp14:editId="157267D6">
            <wp:extent cx="5731510" cy="3212465"/>
            <wp:effectExtent l="0" t="0" r="2540" b="698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rsidR="00673A64" w:rsidRPr="00D73601" w:rsidRDefault="00673A64" w:rsidP="00673A64">
      <w:pPr>
        <w:rPr>
          <w:b/>
          <w:bCs/>
          <w:lang w:val="en-US"/>
        </w:rPr>
      </w:pPr>
    </w:p>
    <w:p w:rsidR="00673A64" w:rsidRDefault="00673A64" w:rsidP="00673A64">
      <w:pPr>
        <w:spacing w:line="276" w:lineRule="auto"/>
        <w:rPr>
          <w:bCs/>
          <w:lang w:val="en-US"/>
        </w:rPr>
      </w:pPr>
      <w:r>
        <w:rPr>
          <w:b/>
          <w:bCs/>
          <w:lang w:val="en-US"/>
        </w:rPr>
        <w:t xml:space="preserve">Supplementary </w:t>
      </w:r>
      <w:r w:rsidRPr="00D73601">
        <w:rPr>
          <w:b/>
          <w:bCs/>
          <w:lang w:val="en-US"/>
        </w:rPr>
        <w:t>Figure 1.</w:t>
      </w:r>
      <w:r w:rsidRPr="00D73601">
        <w:rPr>
          <w:bCs/>
          <w:lang w:val="en-US"/>
        </w:rPr>
        <w:t xml:space="preserve"> Number of cases detected</w:t>
      </w:r>
      <w:r>
        <w:rPr>
          <w:bCs/>
          <w:lang w:val="en-US"/>
        </w:rPr>
        <w:t xml:space="preserve">, infections diagnosed using the TaqPath test, </w:t>
      </w:r>
      <w:r w:rsidRPr="00D73601">
        <w:rPr>
          <w:bCs/>
          <w:lang w:val="en-US"/>
        </w:rPr>
        <w:t xml:space="preserve">and percentage of S-gene </w:t>
      </w:r>
      <w:r>
        <w:rPr>
          <w:bCs/>
          <w:lang w:val="en-US"/>
        </w:rPr>
        <w:t xml:space="preserve">target </w:t>
      </w:r>
      <w:r w:rsidRPr="00D73601">
        <w:rPr>
          <w:bCs/>
          <w:lang w:val="en-US"/>
        </w:rPr>
        <w:t xml:space="preserve">positive </w:t>
      </w:r>
      <w:r>
        <w:rPr>
          <w:bCs/>
          <w:lang w:val="en-US"/>
        </w:rPr>
        <w:t xml:space="preserve">(SGTP) </w:t>
      </w:r>
      <w:r w:rsidRPr="00D73601">
        <w:rPr>
          <w:bCs/>
          <w:lang w:val="en-US"/>
        </w:rPr>
        <w:t>and S-gene target failure (SGTF) infections by</w:t>
      </w:r>
      <w:r>
        <w:rPr>
          <w:bCs/>
          <w:lang w:val="en-US"/>
        </w:rPr>
        <w:t xml:space="preserve"> month, 1 October 2021 – 26 April 2022 </w:t>
      </w:r>
    </w:p>
    <w:p w:rsidR="00673A64" w:rsidRPr="00CE114F" w:rsidRDefault="00673A64" w:rsidP="00673A64">
      <w:pPr>
        <w:rPr>
          <w:lang w:val="en-US"/>
        </w:rPr>
      </w:pPr>
    </w:p>
    <w:p w:rsidR="00673A64" w:rsidRPr="00E80D1E" w:rsidRDefault="00673A64" w:rsidP="00673A64">
      <w:pPr>
        <w:rPr>
          <w:lang w:val="en-US"/>
        </w:rPr>
      </w:pPr>
      <w:r w:rsidRPr="006E1D20">
        <w:rPr>
          <w:b/>
          <w:lang w:val="en-US"/>
        </w:rPr>
        <w:t>Supplementary Table 1</w:t>
      </w:r>
      <w:r>
        <w:rPr>
          <w:b/>
          <w:lang w:val="en-US"/>
        </w:rPr>
        <w:t xml:space="preserve">. </w:t>
      </w:r>
      <w:r>
        <w:rPr>
          <w:lang w:val="en-US"/>
        </w:rPr>
        <w:t>Percentage of SARS-CoV-2 variant/lineage by month of diagnosis, South Africa, based on genomic surveillance data from NGS-SA</w:t>
      </w:r>
      <w:r>
        <w:rPr>
          <w:lang w:val="en-US"/>
        </w:rPr>
        <w:fldChar w:fldCharType="begin" w:fldLock="1"/>
      </w:r>
      <w:r>
        <w:rPr>
          <w:lang w:val="en-US"/>
        </w:rPr>
        <w:instrText>ADDIN CSL_CITATION {"citationItems":[{"id":"ITEM-1","itemData":{"URL":"https://www.nicd.ac.za/diseases-a-z-index/disease-index-covid-19/sars-cov-2-genomic-surveillance-update/","accessed":{"date-parts":[["2022","6","8"]]},"author":[{"dropping-particle":"","family":"Network for Genomics Surveillance in South Africa (NGS-SA)","given":"","non-dropping-particle":"","parse-names":false,"suffix":""}],"id":"ITEM-1","issued":{"date-parts":[["2022"]]},"title":"SARS-CoV-2 Genomic Surveillance Update (3 June 2022)","type":"webpage"},"uris":["http://www.mendeley.com/documents/?uuid=9e0abdf1-91e4-4bf8-b408-06836accb3f3"]}],"mendeley":{"formattedCitation":"&lt;sup&gt;1&lt;/sup&gt;","plainTextFormattedCitation":"1","previouslyFormattedCitation":"&lt;sup&gt;1&lt;/sup&gt;"},"properties":{"noteIndex":0},"schema":"https://github.com/citation-style-language/schema/raw/master/csl-citation.json"}</w:instrText>
      </w:r>
      <w:r>
        <w:rPr>
          <w:lang w:val="en-US"/>
        </w:rPr>
        <w:fldChar w:fldCharType="separate"/>
      </w:r>
      <w:r w:rsidRPr="006E1D20">
        <w:rPr>
          <w:noProof/>
          <w:vertAlign w:val="superscript"/>
          <w:lang w:val="en-US"/>
        </w:rPr>
        <w:t>1</w:t>
      </w:r>
      <w:r>
        <w:rPr>
          <w:lang w:val="en-US"/>
        </w:rPr>
        <w:fldChar w:fldCharType="end"/>
      </w:r>
      <w:r>
        <w:rPr>
          <w:lang w:val="en-US"/>
        </w:rPr>
        <w:t xml:space="preserve"> </w:t>
      </w:r>
    </w:p>
    <w:tbl>
      <w:tblPr>
        <w:tblStyle w:val="ListTable6Colorful"/>
        <w:tblW w:w="0" w:type="auto"/>
        <w:tblLook w:val="06A0" w:firstRow="1" w:lastRow="0" w:firstColumn="1" w:lastColumn="0" w:noHBand="1" w:noVBand="1"/>
      </w:tblPr>
      <w:tblGrid>
        <w:gridCol w:w="1803"/>
        <w:gridCol w:w="1803"/>
        <w:gridCol w:w="1803"/>
        <w:gridCol w:w="1803"/>
        <w:gridCol w:w="1804"/>
      </w:tblGrid>
      <w:tr w:rsidR="00673A64" w:rsidTr="00433F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rsidR="00673A64" w:rsidRDefault="00673A64" w:rsidP="00433F85">
            <w:pPr>
              <w:rPr>
                <w:b w:val="0"/>
                <w:lang w:val="en-US"/>
              </w:rPr>
            </w:pPr>
          </w:p>
        </w:tc>
        <w:tc>
          <w:tcPr>
            <w:tcW w:w="1803" w:type="dxa"/>
          </w:tcPr>
          <w:p w:rsidR="00673A64" w:rsidRDefault="00673A64" w:rsidP="00433F85">
            <w:pPr>
              <w:jc w:val="center"/>
              <w:cnfStyle w:val="100000000000" w:firstRow="1" w:lastRow="0" w:firstColumn="0" w:lastColumn="0" w:oddVBand="0" w:evenVBand="0" w:oddHBand="0" w:evenHBand="0" w:firstRowFirstColumn="0" w:firstRowLastColumn="0" w:lastRowFirstColumn="0" w:lastRowLastColumn="0"/>
              <w:rPr>
                <w:b w:val="0"/>
                <w:lang w:val="en-US"/>
              </w:rPr>
            </w:pPr>
            <w:r>
              <w:rPr>
                <w:b w:val="0"/>
                <w:lang w:val="en-US"/>
              </w:rPr>
              <w:t>Delta (%)</w:t>
            </w:r>
          </w:p>
          <w:p w:rsidR="00673A64" w:rsidRDefault="00673A64" w:rsidP="00433F85">
            <w:pPr>
              <w:jc w:val="center"/>
              <w:cnfStyle w:val="100000000000" w:firstRow="1" w:lastRow="0" w:firstColumn="0" w:lastColumn="0" w:oddVBand="0" w:evenVBand="0" w:oddHBand="0" w:evenHBand="0" w:firstRowFirstColumn="0" w:firstRowLastColumn="0" w:lastRowFirstColumn="0" w:lastRowLastColumn="0"/>
              <w:rPr>
                <w:b w:val="0"/>
                <w:lang w:val="en-US"/>
              </w:rPr>
            </w:pPr>
            <w:r>
              <w:rPr>
                <w:b w:val="0"/>
                <w:lang w:val="en-US"/>
              </w:rPr>
              <w:t>SGTP</w:t>
            </w:r>
          </w:p>
        </w:tc>
        <w:tc>
          <w:tcPr>
            <w:tcW w:w="1803" w:type="dxa"/>
          </w:tcPr>
          <w:p w:rsidR="00673A64" w:rsidRDefault="00673A64" w:rsidP="00433F85">
            <w:pPr>
              <w:jc w:val="center"/>
              <w:cnfStyle w:val="100000000000" w:firstRow="1" w:lastRow="0" w:firstColumn="0" w:lastColumn="0" w:oddVBand="0" w:evenVBand="0" w:oddHBand="0" w:evenHBand="0" w:firstRowFirstColumn="0" w:firstRowLastColumn="0" w:lastRowFirstColumn="0" w:lastRowLastColumn="0"/>
              <w:rPr>
                <w:b w:val="0"/>
                <w:lang w:val="en-US"/>
              </w:rPr>
            </w:pPr>
            <w:r>
              <w:rPr>
                <w:b w:val="0"/>
                <w:lang w:val="en-US"/>
              </w:rPr>
              <w:t>BA.1 (%)</w:t>
            </w:r>
          </w:p>
          <w:p w:rsidR="00673A64" w:rsidRDefault="00673A64" w:rsidP="00433F85">
            <w:pPr>
              <w:jc w:val="center"/>
              <w:cnfStyle w:val="100000000000" w:firstRow="1" w:lastRow="0" w:firstColumn="0" w:lastColumn="0" w:oddVBand="0" w:evenVBand="0" w:oddHBand="0" w:evenHBand="0" w:firstRowFirstColumn="0" w:firstRowLastColumn="0" w:lastRowFirstColumn="0" w:lastRowLastColumn="0"/>
              <w:rPr>
                <w:b w:val="0"/>
                <w:lang w:val="en-US"/>
              </w:rPr>
            </w:pPr>
            <w:r>
              <w:rPr>
                <w:b w:val="0"/>
                <w:lang w:val="en-US"/>
              </w:rPr>
              <w:t>SGTF</w:t>
            </w:r>
          </w:p>
        </w:tc>
        <w:tc>
          <w:tcPr>
            <w:tcW w:w="1803" w:type="dxa"/>
          </w:tcPr>
          <w:p w:rsidR="00673A64" w:rsidRDefault="00673A64" w:rsidP="00433F85">
            <w:pPr>
              <w:jc w:val="center"/>
              <w:cnfStyle w:val="100000000000" w:firstRow="1" w:lastRow="0" w:firstColumn="0" w:lastColumn="0" w:oddVBand="0" w:evenVBand="0" w:oddHBand="0" w:evenHBand="0" w:firstRowFirstColumn="0" w:firstRowLastColumn="0" w:lastRowFirstColumn="0" w:lastRowLastColumn="0"/>
              <w:rPr>
                <w:b w:val="0"/>
                <w:lang w:val="en-US"/>
              </w:rPr>
            </w:pPr>
            <w:r>
              <w:rPr>
                <w:b w:val="0"/>
                <w:lang w:val="en-US"/>
              </w:rPr>
              <w:t>BA.2 (%)</w:t>
            </w:r>
          </w:p>
          <w:p w:rsidR="00673A64" w:rsidRDefault="00673A64" w:rsidP="00433F85">
            <w:pPr>
              <w:jc w:val="center"/>
              <w:cnfStyle w:val="100000000000" w:firstRow="1" w:lastRow="0" w:firstColumn="0" w:lastColumn="0" w:oddVBand="0" w:evenVBand="0" w:oddHBand="0" w:evenHBand="0" w:firstRowFirstColumn="0" w:firstRowLastColumn="0" w:lastRowFirstColumn="0" w:lastRowLastColumn="0"/>
              <w:rPr>
                <w:b w:val="0"/>
                <w:lang w:val="en-US"/>
              </w:rPr>
            </w:pPr>
            <w:r>
              <w:rPr>
                <w:b w:val="0"/>
                <w:lang w:val="en-US"/>
              </w:rPr>
              <w:t>SGTP</w:t>
            </w:r>
          </w:p>
        </w:tc>
        <w:tc>
          <w:tcPr>
            <w:tcW w:w="1804" w:type="dxa"/>
          </w:tcPr>
          <w:p w:rsidR="00673A64" w:rsidRDefault="00673A64" w:rsidP="00433F85">
            <w:pPr>
              <w:jc w:val="center"/>
              <w:cnfStyle w:val="100000000000" w:firstRow="1" w:lastRow="0" w:firstColumn="0" w:lastColumn="0" w:oddVBand="0" w:evenVBand="0" w:oddHBand="0" w:evenHBand="0" w:firstRowFirstColumn="0" w:firstRowLastColumn="0" w:lastRowFirstColumn="0" w:lastRowLastColumn="0"/>
              <w:rPr>
                <w:b w:val="0"/>
                <w:lang w:val="en-US"/>
              </w:rPr>
            </w:pPr>
            <w:r>
              <w:rPr>
                <w:b w:val="0"/>
                <w:lang w:val="en-US"/>
              </w:rPr>
              <w:t>BA.4/BA.5 (%)</w:t>
            </w:r>
          </w:p>
          <w:p w:rsidR="00673A64" w:rsidRDefault="00673A64" w:rsidP="00433F85">
            <w:pPr>
              <w:jc w:val="center"/>
              <w:cnfStyle w:val="100000000000" w:firstRow="1" w:lastRow="0" w:firstColumn="0" w:lastColumn="0" w:oddVBand="0" w:evenVBand="0" w:oddHBand="0" w:evenHBand="0" w:firstRowFirstColumn="0" w:firstRowLastColumn="0" w:lastRowFirstColumn="0" w:lastRowLastColumn="0"/>
              <w:rPr>
                <w:b w:val="0"/>
                <w:lang w:val="en-US"/>
              </w:rPr>
            </w:pPr>
            <w:r>
              <w:rPr>
                <w:b w:val="0"/>
                <w:lang w:val="en-US"/>
              </w:rPr>
              <w:t>SGTF</w:t>
            </w:r>
          </w:p>
        </w:tc>
      </w:tr>
      <w:tr w:rsidR="00673A64" w:rsidTr="00433F85">
        <w:tc>
          <w:tcPr>
            <w:cnfStyle w:val="001000000000" w:firstRow="0" w:lastRow="0" w:firstColumn="1" w:lastColumn="0" w:oddVBand="0" w:evenVBand="0" w:oddHBand="0" w:evenHBand="0" w:firstRowFirstColumn="0" w:firstRowLastColumn="0" w:lastRowFirstColumn="0" w:lastRowLastColumn="0"/>
            <w:tcW w:w="1803" w:type="dxa"/>
          </w:tcPr>
          <w:p w:rsidR="00673A64" w:rsidRDefault="00673A64" w:rsidP="00433F85">
            <w:pPr>
              <w:rPr>
                <w:b w:val="0"/>
                <w:lang w:val="en-US"/>
              </w:rPr>
            </w:pPr>
            <w:r>
              <w:rPr>
                <w:b w:val="0"/>
                <w:lang w:val="en-US"/>
              </w:rPr>
              <w:t>October 2021</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86.0</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0.5</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0.0</w:t>
            </w:r>
          </w:p>
        </w:tc>
        <w:tc>
          <w:tcPr>
            <w:tcW w:w="1804"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0.0</w:t>
            </w:r>
          </w:p>
        </w:tc>
      </w:tr>
      <w:tr w:rsidR="00673A64" w:rsidTr="00433F85">
        <w:tc>
          <w:tcPr>
            <w:cnfStyle w:val="001000000000" w:firstRow="0" w:lastRow="0" w:firstColumn="1" w:lastColumn="0" w:oddVBand="0" w:evenVBand="0" w:oddHBand="0" w:evenHBand="0" w:firstRowFirstColumn="0" w:firstRowLastColumn="0" w:lastRowFirstColumn="0" w:lastRowLastColumn="0"/>
            <w:tcW w:w="1803" w:type="dxa"/>
          </w:tcPr>
          <w:p w:rsidR="00673A64" w:rsidRDefault="00673A64" w:rsidP="00433F85">
            <w:pPr>
              <w:rPr>
                <w:b w:val="0"/>
                <w:lang w:val="en-US"/>
              </w:rPr>
            </w:pPr>
            <w:r>
              <w:rPr>
                <w:b w:val="0"/>
                <w:lang w:val="en-US"/>
              </w:rPr>
              <w:t>November 2021</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10.1</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86.9</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0.4</w:t>
            </w:r>
          </w:p>
        </w:tc>
        <w:tc>
          <w:tcPr>
            <w:tcW w:w="1804"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0.0</w:t>
            </w:r>
          </w:p>
        </w:tc>
      </w:tr>
      <w:tr w:rsidR="00673A64" w:rsidTr="00433F85">
        <w:tc>
          <w:tcPr>
            <w:cnfStyle w:val="001000000000" w:firstRow="0" w:lastRow="0" w:firstColumn="1" w:lastColumn="0" w:oddVBand="0" w:evenVBand="0" w:oddHBand="0" w:evenHBand="0" w:firstRowFirstColumn="0" w:firstRowLastColumn="0" w:lastRowFirstColumn="0" w:lastRowLastColumn="0"/>
            <w:tcW w:w="1803" w:type="dxa"/>
          </w:tcPr>
          <w:p w:rsidR="00673A64" w:rsidRDefault="00673A64" w:rsidP="00433F85">
            <w:pPr>
              <w:rPr>
                <w:b w:val="0"/>
                <w:lang w:val="en-US"/>
              </w:rPr>
            </w:pPr>
            <w:r>
              <w:rPr>
                <w:b w:val="0"/>
                <w:lang w:val="en-US"/>
              </w:rPr>
              <w:t>December 2021</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0.3</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92.9</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5.0</w:t>
            </w:r>
          </w:p>
        </w:tc>
        <w:tc>
          <w:tcPr>
            <w:tcW w:w="1804"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0.0</w:t>
            </w:r>
          </w:p>
        </w:tc>
      </w:tr>
      <w:tr w:rsidR="00673A64" w:rsidTr="00433F85">
        <w:tc>
          <w:tcPr>
            <w:cnfStyle w:val="001000000000" w:firstRow="0" w:lastRow="0" w:firstColumn="1" w:lastColumn="0" w:oddVBand="0" w:evenVBand="0" w:oddHBand="0" w:evenHBand="0" w:firstRowFirstColumn="0" w:firstRowLastColumn="0" w:lastRowFirstColumn="0" w:lastRowLastColumn="0"/>
            <w:tcW w:w="1803" w:type="dxa"/>
          </w:tcPr>
          <w:p w:rsidR="00673A64" w:rsidRDefault="00673A64" w:rsidP="00433F85">
            <w:pPr>
              <w:rPr>
                <w:b w:val="0"/>
                <w:lang w:val="en-US"/>
              </w:rPr>
            </w:pPr>
            <w:r>
              <w:rPr>
                <w:b w:val="0"/>
                <w:lang w:val="en-US"/>
              </w:rPr>
              <w:t>January 2022</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0..3</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55.1</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42.9</w:t>
            </w:r>
          </w:p>
        </w:tc>
        <w:tc>
          <w:tcPr>
            <w:tcW w:w="1804"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0.1</w:t>
            </w:r>
          </w:p>
        </w:tc>
      </w:tr>
      <w:tr w:rsidR="00673A64" w:rsidTr="00433F85">
        <w:tc>
          <w:tcPr>
            <w:cnfStyle w:val="001000000000" w:firstRow="0" w:lastRow="0" w:firstColumn="1" w:lastColumn="0" w:oddVBand="0" w:evenVBand="0" w:oddHBand="0" w:evenHBand="0" w:firstRowFirstColumn="0" w:firstRowLastColumn="0" w:lastRowFirstColumn="0" w:lastRowLastColumn="0"/>
            <w:tcW w:w="1803" w:type="dxa"/>
          </w:tcPr>
          <w:p w:rsidR="00673A64" w:rsidRDefault="00673A64" w:rsidP="00433F85">
            <w:pPr>
              <w:rPr>
                <w:b w:val="0"/>
                <w:lang w:val="en-US"/>
              </w:rPr>
            </w:pPr>
            <w:r>
              <w:rPr>
                <w:b w:val="0"/>
                <w:lang w:val="en-US"/>
              </w:rPr>
              <w:t>February 2022</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0.5</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11.8</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85.8</w:t>
            </w:r>
          </w:p>
        </w:tc>
        <w:tc>
          <w:tcPr>
            <w:tcW w:w="1804"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0.5</w:t>
            </w:r>
          </w:p>
        </w:tc>
      </w:tr>
      <w:tr w:rsidR="00673A64" w:rsidTr="00433F85">
        <w:tc>
          <w:tcPr>
            <w:cnfStyle w:val="001000000000" w:firstRow="0" w:lastRow="0" w:firstColumn="1" w:lastColumn="0" w:oddVBand="0" w:evenVBand="0" w:oddHBand="0" w:evenHBand="0" w:firstRowFirstColumn="0" w:firstRowLastColumn="0" w:lastRowFirstColumn="0" w:lastRowLastColumn="0"/>
            <w:tcW w:w="1803" w:type="dxa"/>
          </w:tcPr>
          <w:p w:rsidR="00673A64" w:rsidRDefault="00673A64" w:rsidP="00433F85">
            <w:pPr>
              <w:rPr>
                <w:b w:val="0"/>
                <w:lang w:val="en-US"/>
              </w:rPr>
            </w:pPr>
            <w:r>
              <w:rPr>
                <w:b w:val="0"/>
                <w:lang w:val="en-US"/>
              </w:rPr>
              <w:t>March 2022</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0.6</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4.2</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77.6</w:t>
            </w:r>
          </w:p>
        </w:tc>
        <w:tc>
          <w:tcPr>
            <w:tcW w:w="1804"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16.2</w:t>
            </w:r>
          </w:p>
        </w:tc>
      </w:tr>
      <w:tr w:rsidR="00673A64" w:rsidTr="00433F85">
        <w:tc>
          <w:tcPr>
            <w:cnfStyle w:val="001000000000" w:firstRow="0" w:lastRow="0" w:firstColumn="1" w:lastColumn="0" w:oddVBand="0" w:evenVBand="0" w:oddHBand="0" w:evenHBand="0" w:firstRowFirstColumn="0" w:firstRowLastColumn="0" w:lastRowFirstColumn="0" w:lastRowLastColumn="0"/>
            <w:tcW w:w="1803" w:type="dxa"/>
          </w:tcPr>
          <w:p w:rsidR="00673A64" w:rsidRDefault="00673A64" w:rsidP="00433F85">
            <w:pPr>
              <w:rPr>
                <w:b w:val="0"/>
                <w:lang w:val="en-US"/>
              </w:rPr>
            </w:pPr>
            <w:r>
              <w:rPr>
                <w:b w:val="0"/>
                <w:lang w:val="en-US"/>
              </w:rPr>
              <w:t>April 2022</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0.1</w:t>
            </w:r>
          </w:p>
        </w:tc>
        <w:tc>
          <w:tcPr>
            <w:tcW w:w="1803" w:type="dxa"/>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1.3</w:t>
            </w:r>
          </w:p>
        </w:tc>
        <w:tc>
          <w:tcPr>
            <w:tcW w:w="1803"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25.1</w:t>
            </w:r>
          </w:p>
        </w:tc>
        <w:tc>
          <w:tcPr>
            <w:tcW w:w="1804" w:type="dxa"/>
            <w:shd w:val="clear" w:color="auto" w:fill="DEEAF6" w:themeFill="accent1" w:themeFillTint="33"/>
          </w:tcPr>
          <w:p w:rsidR="00673A64" w:rsidRPr="002E28A3" w:rsidRDefault="00673A64" w:rsidP="00433F85">
            <w:pPr>
              <w:jc w:val="center"/>
              <w:cnfStyle w:val="000000000000" w:firstRow="0" w:lastRow="0" w:firstColumn="0" w:lastColumn="0" w:oddVBand="0" w:evenVBand="0" w:oddHBand="0" w:evenHBand="0" w:firstRowFirstColumn="0" w:firstRowLastColumn="0" w:lastRowFirstColumn="0" w:lastRowLastColumn="0"/>
              <w:rPr>
                <w:lang w:val="en-US"/>
              </w:rPr>
            </w:pPr>
            <w:r w:rsidRPr="002E28A3">
              <w:rPr>
                <w:lang w:val="en-US"/>
              </w:rPr>
              <w:t>73.0</w:t>
            </w:r>
          </w:p>
        </w:tc>
      </w:tr>
    </w:tbl>
    <w:p w:rsidR="00673A64" w:rsidRPr="002E28A3" w:rsidRDefault="00673A64" w:rsidP="00673A64">
      <w:pPr>
        <w:rPr>
          <w:lang w:val="en-US"/>
        </w:rPr>
      </w:pPr>
      <w:r w:rsidRPr="002E28A3">
        <w:rPr>
          <w:lang w:val="en-US"/>
        </w:rPr>
        <w:t>SGTP: S-gene target positive, SGTF: S-gene target failure</w:t>
      </w:r>
    </w:p>
    <w:p w:rsidR="008D5485" w:rsidRPr="00673A64" w:rsidRDefault="00673A64" w:rsidP="00673A64">
      <w:pPr>
        <w:spacing w:line="360" w:lineRule="auto"/>
        <w:rPr>
          <w:lang w:val="en-GB"/>
        </w:rPr>
      </w:pPr>
      <w:r>
        <w:rPr>
          <w:lang w:val="en-GB"/>
        </w:rPr>
        <w:t>Blue highlighting: SGTP infections diagnosed in October and November 2021 were classified as Delta, SGTF infections diagnosed between November 2021 through January 2022 were classified as BA.1, SGTP infections diagnosed from February through April 2022 were classified as BA.2 and SGTF infections diagnosed in April 2022 were classified as BA.4/BA.5</w:t>
      </w:r>
      <w:r w:rsidRPr="00D73601">
        <w:rPr>
          <w:lang w:val="en-GB"/>
        </w:rPr>
        <w:t xml:space="preserve">. </w:t>
      </w:r>
      <w:bookmarkStart w:id="0" w:name="_GoBack"/>
      <w:bookmarkEnd w:id="0"/>
    </w:p>
    <w:sectPr w:rsidR="008D5485" w:rsidRPr="00673A64" w:rsidSect="00B279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A64"/>
    <w:rsid w:val="00673A64"/>
    <w:rsid w:val="008D548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05CEE"/>
  <w15:chartTrackingRefBased/>
  <w15:docId w15:val="{6F03C882-A815-4720-A08B-94D213F47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3A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6Colorful">
    <w:name w:val="List Table 6 Colorful"/>
    <w:basedOn w:val="TableNormal"/>
    <w:uiPriority w:val="51"/>
    <w:rsid w:val="00673A6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nicolew\Documents\Manuscripts\Wolter_BA.4_BA.5%20severity_2022\BA.4_5%20severity%20figures_8%20June%20202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743424929026732"/>
          <c:y val="5.4580896686159841E-2"/>
          <c:w val="0.76663237846203414"/>
          <c:h val="0.6583910617730161"/>
        </c:manualLayout>
      </c:layout>
      <c:barChart>
        <c:barDir val="col"/>
        <c:grouping val="clustered"/>
        <c:varyColors val="0"/>
        <c:ser>
          <c:idx val="0"/>
          <c:order val="0"/>
          <c:tx>
            <c:strRef>
              <c:f>'Suppl fig 1'!$B$3</c:f>
              <c:strCache>
                <c:ptCount val="1"/>
                <c:pt idx="0">
                  <c:v>Cases (N=884,379)</c:v>
                </c:pt>
              </c:strCache>
            </c:strRef>
          </c:tx>
          <c:spPr>
            <a:solidFill>
              <a:schemeClr val="accent1"/>
            </a:solidFill>
            <a:ln>
              <a:noFill/>
            </a:ln>
            <a:effectLst/>
          </c:spPr>
          <c:invertIfNegative val="0"/>
          <c:cat>
            <c:numRef>
              <c:f>'Suppl fig 1'!$A$4:$A$12</c:f>
              <c:numCache>
                <c:formatCode>mmm\-yy</c:formatCode>
                <c:ptCount val="9"/>
                <c:pt idx="0">
                  <c:v>44470</c:v>
                </c:pt>
                <c:pt idx="1">
                  <c:v>44501</c:v>
                </c:pt>
                <c:pt idx="2">
                  <c:v>44531</c:v>
                </c:pt>
                <c:pt idx="3">
                  <c:v>44562</c:v>
                </c:pt>
                <c:pt idx="4">
                  <c:v>44593</c:v>
                </c:pt>
                <c:pt idx="5">
                  <c:v>44621</c:v>
                </c:pt>
                <c:pt idx="6">
                  <c:v>44652</c:v>
                </c:pt>
              </c:numCache>
            </c:numRef>
          </c:cat>
          <c:val>
            <c:numRef>
              <c:f>'Suppl fig 1'!$B$4:$B$12</c:f>
              <c:numCache>
                <c:formatCode>#,##0</c:formatCode>
                <c:ptCount val="9"/>
                <c:pt idx="0">
                  <c:v>68849</c:v>
                </c:pt>
                <c:pt idx="1">
                  <c:v>166577</c:v>
                </c:pt>
                <c:pt idx="2">
                  <c:v>145793</c:v>
                </c:pt>
                <c:pt idx="3">
                  <c:v>109447</c:v>
                </c:pt>
                <c:pt idx="4">
                  <c:v>57780</c:v>
                </c:pt>
                <c:pt idx="5">
                  <c:v>56322</c:v>
                </c:pt>
                <c:pt idx="6">
                  <c:v>31686</c:v>
                </c:pt>
              </c:numCache>
            </c:numRef>
          </c:val>
          <c:extLst>
            <c:ext xmlns:c16="http://schemas.microsoft.com/office/drawing/2014/chart" uri="{C3380CC4-5D6E-409C-BE32-E72D297353CC}">
              <c16:uniqueId val="{00000000-6DAD-4EF7-93C2-A8A503DFC1CE}"/>
            </c:ext>
          </c:extLst>
        </c:ser>
        <c:ser>
          <c:idx val="3"/>
          <c:order val="1"/>
          <c:tx>
            <c:strRef>
              <c:f>'Suppl fig 1'!$C$3</c:f>
              <c:strCache>
                <c:ptCount val="1"/>
                <c:pt idx="0">
                  <c:v>TaqPath tests (N=144,086)</c:v>
                </c:pt>
              </c:strCache>
            </c:strRef>
          </c:tx>
          <c:spPr>
            <a:solidFill>
              <a:schemeClr val="accent4"/>
            </a:solidFill>
            <a:ln>
              <a:noFill/>
            </a:ln>
            <a:effectLst/>
          </c:spPr>
          <c:invertIfNegative val="0"/>
          <c:val>
            <c:numRef>
              <c:f>'Suppl fig 1'!$C$4:$C$12</c:f>
              <c:numCache>
                <c:formatCode>#,##0</c:formatCode>
                <c:ptCount val="9"/>
                <c:pt idx="0">
                  <c:v>2178</c:v>
                </c:pt>
                <c:pt idx="1">
                  <c:v>3532</c:v>
                </c:pt>
                <c:pt idx="2">
                  <c:v>93027</c:v>
                </c:pt>
                <c:pt idx="3">
                  <c:v>21171</c:v>
                </c:pt>
                <c:pt idx="4">
                  <c:v>12398</c:v>
                </c:pt>
                <c:pt idx="5">
                  <c:v>8313</c:v>
                </c:pt>
                <c:pt idx="6">
                  <c:v>3467</c:v>
                </c:pt>
              </c:numCache>
            </c:numRef>
          </c:val>
          <c:extLst>
            <c:ext xmlns:c16="http://schemas.microsoft.com/office/drawing/2014/chart" uri="{C3380CC4-5D6E-409C-BE32-E72D297353CC}">
              <c16:uniqueId val="{00000001-6DAD-4EF7-93C2-A8A503DFC1CE}"/>
            </c:ext>
          </c:extLst>
        </c:ser>
        <c:dLbls>
          <c:showLegendKey val="0"/>
          <c:showVal val="0"/>
          <c:showCatName val="0"/>
          <c:showSerName val="0"/>
          <c:showPercent val="0"/>
          <c:showBubbleSize val="0"/>
        </c:dLbls>
        <c:gapWidth val="150"/>
        <c:axId val="1617770687"/>
        <c:axId val="1617769439"/>
        <c:extLst>
          <c:ext xmlns:c15="http://schemas.microsoft.com/office/drawing/2012/chart" uri="{02D57815-91ED-43cb-92C2-25804820EDAC}">
            <c15:filteredBarSeries>
              <c15:ser>
                <c:idx val="4"/>
                <c:order val="2"/>
                <c:tx>
                  <c:strRef>
                    <c:extLst>
                      <c:ext uri="{02D57815-91ED-43cb-92C2-25804820EDAC}">
                        <c15:formulaRef>
                          <c15:sqref>'Suppl fig 1'!$D$3</c15:sqref>
                        </c15:formulaRef>
                      </c:ext>
                    </c:extLst>
                    <c:strCache>
                      <c:ptCount val="1"/>
                      <c:pt idx="0">
                        <c:v>Hospital admissions (N=60,662)</c:v>
                      </c:pt>
                    </c:strCache>
                  </c:strRef>
                </c:tx>
                <c:spPr>
                  <a:solidFill>
                    <a:srgbClr val="00B050"/>
                  </a:solidFill>
                  <a:ln>
                    <a:noFill/>
                  </a:ln>
                  <a:effectLst/>
                </c:spPr>
                <c:invertIfNegative val="0"/>
                <c:val>
                  <c:numRef>
                    <c:extLst>
                      <c:ext uri="{02D57815-91ED-43cb-92C2-25804820EDAC}">
                        <c15:formulaRef>
                          <c15:sqref>'Suppl fig 1'!$D$4:$D$10</c15:sqref>
                        </c15:formulaRef>
                      </c:ext>
                    </c:extLst>
                    <c:numCache>
                      <c:formatCode>#,##0</c:formatCode>
                      <c:ptCount val="7"/>
                      <c:pt idx="0">
                        <c:v>3305</c:v>
                      </c:pt>
                      <c:pt idx="1">
                        <c:v>3592</c:v>
                      </c:pt>
                      <c:pt idx="2">
                        <c:v>29408</c:v>
                      </c:pt>
                      <c:pt idx="3">
                        <c:v>14461</c:v>
                      </c:pt>
                      <c:pt idx="4">
                        <c:v>5445</c:v>
                      </c:pt>
                      <c:pt idx="5">
                        <c:v>3277</c:v>
                      </c:pt>
                      <c:pt idx="6">
                        <c:v>1174</c:v>
                      </c:pt>
                    </c:numCache>
                  </c:numRef>
                </c:val>
                <c:extLst>
                  <c:ext xmlns:c16="http://schemas.microsoft.com/office/drawing/2014/chart" uri="{C3380CC4-5D6E-409C-BE32-E72D297353CC}">
                    <c16:uniqueId val="{00000004-6DAD-4EF7-93C2-A8A503DFC1CE}"/>
                  </c:ext>
                </c:extLst>
              </c15:ser>
            </c15:filteredBarSeries>
          </c:ext>
        </c:extLst>
      </c:barChart>
      <c:lineChart>
        <c:grouping val="standard"/>
        <c:varyColors val="0"/>
        <c:ser>
          <c:idx val="1"/>
          <c:order val="3"/>
          <c:tx>
            <c:strRef>
              <c:f>'Suppl fig 1'!$E$3</c:f>
              <c:strCache>
                <c:ptCount val="1"/>
                <c:pt idx="0">
                  <c:v>% S-gene target failure (N=79,687)</c:v>
                </c:pt>
              </c:strCache>
            </c:strRef>
          </c:tx>
          <c:spPr>
            <a:ln w="28575" cap="rnd">
              <a:solidFill>
                <a:schemeClr val="accent2"/>
              </a:solidFill>
              <a:round/>
            </a:ln>
            <a:effectLst/>
          </c:spPr>
          <c:marker>
            <c:symbol val="none"/>
          </c:marker>
          <c:cat>
            <c:numRef>
              <c:f>'Suppl fig 1'!$A$4:$A$12</c:f>
              <c:numCache>
                <c:formatCode>mmm\-yy</c:formatCode>
                <c:ptCount val="9"/>
                <c:pt idx="0">
                  <c:v>44470</c:v>
                </c:pt>
                <c:pt idx="1">
                  <c:v>44501</c:v>
                </c:pt>
                <c:pt idx="2">
                  <c:v>44531</c:v>
                </c:pt>
                <c:pt idx="3">
                  <c:v>44562</c:v>
                </c:pt>
                <c:pt idx="4">
                  <c:v>44593</c:v>
                </c:pt>
                <c:pt idx="5">
                  <c:v>44621</c:v>
                </c:pt>
                <c:pt idx="6">
                  <c:v>44652</c:v>
                </c:pt>
              </c:numCache>
            </c:numRef>
          </c:cat>
          <c:val>
            <c:numRef>
              <c:f>'Suppl fig 1'!$E$4:$E$12</c:f>
              <c:numCache>
                <c:formatCode>0.0</c:formatCode>
                <c:ptCount val="9"/>
                <c:pt idx="0">
                  <c:v>2.2522522522522523</c:v>
                </c:pt>
                <c:pt idx="1">
                  <c:v>92.699029126213588</c:v>
                </c:pt>
                <c:pt idx="2">
                  <c:v>95.053763440860223</c:v>
                </c:pt>
                <c:pt idx="3">
                  <c:v>53.960086224880058</c:v>
                </c:pt>
                <c:pt idx="4">
                  <c:v>7.2910947622707809</c:v>
                </c:pt>
                <c:pt idx="5">
                  <c:v>27.619532044760938</c:v>
                </c:pt>
                <c:pt idx="6">
                  <c:v>71.074380165289256</c:v>
                </c:pt>
              </c:numCache>
            </c:numRef>
          </c:val>
          <c:smooth val="0"/>
          <c:extLst>
            <c:ext xmlns:c16="http://schemas.microsoft.com/office/drawing/2014/chart" uri="{C3380CC4-5D6E-409C-BE32-E72D297353CC}">
              <c16:uniqueId val="{00000002-6DAD-4EF7-93C2-A8A503DFC1CE}"/>
            </c:ext>
          </c:extLst>
        </c:ser>
        <c:ser>
          <c:idx val="2"/>
          <c:order val="4"/>
          <c:tx>
            <c:strRef>
              <c:f>'Suppl fig 1'!$F$3</c:f>
              <c:strCache>
                <c:ptCount val="1"/>
                <c:pt idx="0">
                  <c:v>% S-gene target positive (N=24,745)</c:v>
                </c:pt>
              </c:strCache>
            </c:strRef>
          </c:tx>
          <c:spPr>
            <a:ln w="28575" cap="rnd">
              <a:solidFill>
                <a:schemeClr val="accent3"/>
              </a:solidFill>
              <a:round/>
            </a:ln>
            <a:effectLst/>
          </c:spPr>
          <c:marker>
            <c:symbol val="none"/>
          </c:marker>
          <c:cat>
            <c:numRef>
              <c:f>'Suppl fig 1'!$A$4:$A$12</c:f>
              <c:numCache>
                <c:formatCode>mmm\-yy</c:formatCode>
                <c:ptCount val="9"/>
                <c:pt idx="0">
                  <c:v>44470</c:v>
                </c:pt>
                <c:pt idx="1">
                  <c:v>44501</c:v>
                </c:pt>
                <c:pt idx="2">
                  <c:v>44531</c:v>
                </c:pt>
                <c:pt idx="3">
                  <c:v>44562</c:v>
                </c:pt>
                <c:pt idx="4">
                  <c:v>44593</c:v>
                </c:pt>
                <c:pt idx="5">
                  <c:v>44621</c:v>
                </c:pt>
                <c:pt idx="6">
                  <c:v>44652</c:v>
                </c:pt>
              </c:numCache>
            </c:numRef>
          </c:cat>
          <c:val>
            <c:numRef>
              <c:f>'Suppl fig 1'!$F$4:$F$12</c:f>
              <c:numCache>
                <c:formatCode>0.0</c:formatCode>
                <c:ptCount val="9"/>
                <c:pt idx="0">
                  <c:v>97.747747747747752</c:v>
                </c:pt>
                <c:pt idx="1">
                  <c:v>7.3009708737864081</c:v>
                </c:pt>
                <c:pt idx="2">
                  <c:v>4.946236559139785</c:v>
                </c:pt>
                <c:pt idx="3">
                  <c:v>46.039913775119949</c:v>
                </c:pt>
                <c:pt idx="4">
                  <c:v>92.708905237729226</c:v>
                </c:pt>
                <c:pt idx="5">
                  <c:v>72.38046795523907</c:v>
                </c:pt>
                <c:pt idx="6">
                  <c:v>28.925619834710741</c:v>
                </c:pt>
              </c:numCache>
            </c:numRef>
          </c:val>
          <c:smooth val="0"/>
          <c:extLst>
            <c:ext xmlns:c16="http://schemas.microsoft.com/office/drawing/2014/chart" uri="{C3380CC4-5D6E-409C-BE32-E72D297353CC}">
              <c16:uniqueId val="{00000003-6DAD-4EF7-93C2-A8A503DFC1CE}"/>
            </c:ext>
          </c:extLst>
        </c:ser>
        <c:dLbls>
          <c:showLegendKey val="0"/>
          <c:showVal val="0"/>
          <c:showCatName val="0"/>
          <c:showSerName val="0"/>
          <c:showPercent val="0"/>
          <c:showBubbleSize val="0"/>
        </c:dLbls>
        <c:marker val="1"/>
        <c:smooth val="0"/>
        <c:axId val="1354811199"/>
        <c:axId val="1368928031"/>
      </c:lineChart>
      <c:dateAx>
        <c:axId val="1617770687"/>
        <c:scaling>
          <c:orientation val="minMax"/>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Month</a:t>
                </a:r>
                <a:r>
                  <a:rPr lang="en-US" baseline="0">
                    <a:solidFill>
                      <a:sysClr val="windowText" lastClr="000000"/>
                    </a:solidFill>
                  </a:rPr>
                  <a:t> and Year</a:t>
                </a:r>
                <a:endParaRPr 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mmm\-yy"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617769439"/>
        <c:crosses val="autoZero"/>
        <c:auto val="1"/>
        <c:lblOffset val="100"/>
        <c:baseTimeUnit val="months"/>
      </c:dateAx>
      <c:valAx>
        <c:axId val="1617769439"/>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Number of individuals</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0"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17770687"/>
        <c:crosses val="autoZero"/>
        <c:crossBetween val="between"/>
      </c:valAx>
      <c:valAx>
        <c:axId val="1368928031"/>
        <c:scaling>
          <c:orientation val="minMax"/>
          <c:max val="100"/>
        </c:scaling>
        <c:delete val="0"/>
        <c:axPos val="r"/>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Percentage</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0.0"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54811199"/>
        <c:crosses val="max"/>
        <c:crossBetween val="between"/>
      </c:valAx>
      <c:dateAx>
        <c:axId val="1354811199"/>
        <c:scaling>
          <c:orientation val="minMax"/>
        </c:scaling>
        <c:delete val="1"/>
        <c:axPos val="b"/>
        <c:numFmt formatCode="mmm\-yy" sourceLinked="1"/>
        <c:majorTickMark val="out"/>
        <c:minorTickMark val="none"/>
        <c:tickLblPos val="nextTo"/>
        <c:crossAx val="1368928031"/>
        <c:crosses val="autoZero"/>
        <c:auto val="1"/>
        <c:lblOffset val="100"/>
        <c:baseTimeUnit val="months"/>
      </c:dateAx>
      <c:spPr>
        <a:noFill/>
        <a:ln>
          <a:noFill/>
        </a:ln>
        <a:effectLst/>
      </c:spPr>
    </c:plotArea>
    <c:legend>
      <c:legendPos val="b"/>
      <c:layout>
        <c:manualLayout>
          <c:xMode val="edge"/>
          <c:yMode val="edge"/>
          <c:x val="3.4322342779363926E-2"/>
          <c:y val="0.85382384578976811"/>
          <c:w val="0.91706231010320871"/>
          <c:h val="0.12796121796250878"/>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Wolter</dc:creator>
  <cp:keywords/>
  <dc:description/>
  <cp:lastModifiedBy>Nicole Wolter</cp:lastModifiedBy>
  <cp:revision>1</cp:revision>
  <dcterms:created xsi:type="dcterms:W3CDTF">2022-06-24T12:03:00Z</dcterms:created>
  <dcterms:modified xsi:type="dcterms:W3CDTF">2022-06-24T12:04:00Z</dcterms:modified>
</cp:coreProperties>
</file>