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7C28" w14:textId="77777777" w:rsidR="00326760" w:rsidRPr="007B7503" w:rsidRDefault="00326760" w:rsidP="003E39DC">
      <w:pPr>
        <w:ind w:firstLine="0"/>
        <w:jc w:val="center"/>
        <w:rPr>
          <w:b/>
          <w:bCs/>
        </w:rPr>
      </w:pPr>
      <w:r w:rsidRPr="007B7503">
        <w:rPr>
          <w:b/>
          <w:bCs/>
        </w:rPr>
        <w:t>Supplementary methods</w:t>
      </w:r>
    </w:p>
    <w:p w14:paraId="0C95DEC1" w14:textId="77777777" w:rsidR="00326760" w:rsidRPr="00A73ACA" w:rsidRDefault="00326760" w:rsidP="003E39DC">
      <w:pPr>
        <w:pStyle w:val="1standard"/>
        <w:tabs>
          <w:tab w:val="left" w:pos="5371"/>
        </w:tabs>
        <w:rPr>
          <w:b/>
          <w:bCs/>
        </w:rPr>
      </w:pPr>
      <w:r w:rsidRPr="00A73ACA">
        <w:rPr>
          <w:b/>
          <w:bCs/>
        </w:rPr>
        <w:t xml:space="preserve">Breeding </w:t>
      </w:r>
      <w:r>
        <w:rPr>
          <w:b/>
          <w:bCs/>
        </w:rPr>
        <w:t>and early-life stress model</w:t>
      </w:r>
      <w:r>
        <w:rPr>
          <w:b/>
          <w:bCs/>
        </w:rPr>
        <w:tab/>
      </w:r>
    </w:p>
    <w:p w14:paraId="6C8F4BE1" w14:textId="77777777" w:rsidR="00326760" w:rsidRPr="00A73ACA" w:rsidRDefault="00326760" w:rsidP="003E39DC">
      <w:pPr>
        <w:ind w:firstLine="0"/>
        <w:rPr>
          <w:rFonts w:cstheme="minorHAnsi"/>
        </w:rPr>
      </w:pPr>
      <w:r w:rsidRPr="006D48F5">
        <w:rPr>
          <w:rFonts w:cstheme="minorHAnsi"/>
        </w:rPr>
        <w:t>Male</w:t>
      </w:r>
      <w:r w:rsidRPr="00A73ACA">
        <w:rPr>
          <w:rFonts w:cstheme="minorHAnsi"/>
          <w:color w:val="000000"/>
        </w:rPr>
        <w:t xml:space="preserve"> (6 weeks of age) and primiparous female (8 weeks of age) </w:t>
      </w:r>
      <w:r w:rsidRPr="006D48F5">
        <w:rPr>
          <w:rFonts w:cstheme="minorHAnsi"/>
        </w:rPr>
        <w:t xml:space="preserve">C57Bl/6J mice were purchased from Harlan Laboratories B.V. (Venray, The Netherlands), housed in a controlled environment (temperature 22±1°C, humidity 55±5%) with </w:t>
      </w:r>
      <w:r w:rsidRPr="0075094D">
        <w:rPr>
          <w:rFonts w:cstheme="minorHAnsi"/>
          <w:i/>
        </w:rPr>
        <w:t xml:space="preserve">ad libitum </w:t>
      </w:r>
      <w:r w:rsidRPr="0060219D">
        <w:rPr>
          <w:rFonts w:cstheme="minorHAnsi"/>
        </w:rPr>
        <w:t xml:space="preserve">standard rodent chow and water, under a 12:12 h light-dark cycle schedule (lights on at 8 AM). After two weeks of acclimatization, mice were bred in house by housing two females with one male for one week. After another week of </w:t>
      </w:r>
      <w:proofErr w:type="gramStart"/>
      <w:r w:rsidRPr="0060219D">
        <w:rPr>
          <w:rFonts w:cstheme="minorHAnsi"/>
        </w:rPr>
        <w:t>paired-housing</w:t>
      </w:r>
      <w:proofErr w:type="gramEnd"/>
      <w:r w:rsidRPr="0060219D">
        <w:rPr>
          <w:rFonts w:cstheme="minorHAnsi"/>
        </w:rPr>
        <w:t xml:space="preserve"> of the two females, females were housed individually in a standard cage (type 1 short cage) covered with a filter top.</w:t>
      </w:r>
      <w:r w:rsidRPr="004A526A">
        <w:rPr>
          <w:rFonts w:cstheme="minorHAnsi"/>
        </w:rPr>
        <w:t xml:space="preserve"> Females were monitored daily, between 9 and 10 AM, for the birth of pups. When a litter was detected, the previous day was designated the day of birth (postnatal day (P)0). At P2, litters were randomly assigned to control (CTR) or early-life stress (ELS) </w:t>
      </w:r>
      <w:r w:rsidRPr="005E1E30">
        <w:rPr>
          <w:rFonts w:cstheme="minorHAnsi"/>
        </w:rPr>
        <w:t>groups. Only male mice were used in this study.</w:t>
      </w:r>
      <w:r w:rsidRPr="00A73ACA">
        <w:rPr>
          <w:rFonts w:cstheme="minorHAnsi"/>
        </w:rPr>
        <w:t xml:space="preserve"> </w:t>
      </w:r>
    </w:p>
    <w:p w14:paraId="505EF8AA" w14:textId="77777777" w:rsidR="00326760" w:rsidRDefault="00326760" w:rsidP="003E39DC">
      <w:pPr>
        <w:pStyle w:val="1standard"/>
      </w:pPr>
    </w:p>
    <w:p w14:paraId="66766A65" w14:textId="173DB27A" w:rsidR="00326760" w:rsidRPr="000616E3" w:rsidRDefault="00326760" w:rsidP="003E39DC">
      <w:pPr>
        <w:pStyle w:val="1standard"/>
        <w:rPr>
          <w:b/>
          <w:bCs/>
        </w:rPr>
      </w:pPr>
      <w:r w:rsidRPr="006D48F5">
        <w:t>Early-</w:t>
      </w:r>
      <w:r w:rsidRPr="0075094D">
        <w:t>life stress was induced via the limited bedding and nes</w:t>
      </w:r>
      <w:r w:rsidRPr="0060219D">
        <w:t>ting (LBN) stress paradigm as described before by our group and others</w:t>
      </w:r>
      <w:r w:rsidRPr="006D48F5">
        <w:fldChar w:fldCharType="begin" w:fldLock="1"/>
      </w:r>
      <w:r w:rsidR="005E40D4">
        <w:instrText>ADDIN CSL_CITATION {"citationItems":[{"id":"ITEM-1","itemData":{"DOI":"10.1210/en.2008-0633","ISBN":"0013-7227","ISSN":"00137227","PMID":"18566122","abstract":"Chronic early-life stress (ES) exerts profound acute and long-lasting effects on the hypothalamic-pituitary-adrenal system, with relevance to cognitive function and affective disorders. Our ability to determine the molecular mechanisms underlying these effects should benefit greatly from appropriate mouse models because these would enable use of powerful transgenic methods. Therefore, we have characterized a mouse model of chronic ES, which was provoked in mouse pups by abnormal, fragmented interactions with the dam. Dam-pup interaction was disrupted by limiting the nesting and bedding material in the cages, a manipulation that affected this parameter in a dose-dependent manner. At the end of their week-long rearing in the limited-nesting cages, mouse pups were stressed, as apparent from elevated basal plasma corticosterone levels. In addition, steady-state mRNA levels of CRH in the hypothalamic paraventricular nucleus of ES-experiencing pups were reduced, without significant change in mRNA levels of arginine vasopressin. Rearing mouse pups in this stress-provoking cage environment resulted in enduring effects: basal plasma corticosterone levels were still increased, and CRH mRNA levels in paraventricular nucleus remained reduced in adult ES mice, compared with those of controls. In addition, hippocampus-dependent learning and memory functions were impaired in 4- to 8-month-old ES mice. In summary, this novel, robust model of chronic early life stress in the mouse results in acute and enduring neuroendocrine and cognitive abnormalities. This model should facilitate the examination of the specific genes and molecules involved in the generation of this stress as well as in its consequences. Copyright © 2008 by The Endocrine Society.","author":[{"dropping-particle":"","family":"Rice","given":"Courtney J.","non-dropping-particle":"","parse-names":false,"suffix":""},{"dropping-particle":"","family":"Sandman","given":"Curt A.","non-dropping-particle":"","parse-names":false,"suffix":""},{"dropping-particle":"","family":"Lenjavi","given":"Mohammed R.","non-dropping-particle":"","parse-names":false,"suffix":""},{"dropping-particle":"","family":"Baram","given":"Tallie Z.","non-dropping-particle":"","parse-names":false,"suffix":""}],"container-title":"Endocrinology","id":"ITEM-1","issue":"10","issued":{"date-parts":[["2008","10"]]},"page":"4892-4900","publisher":"Endocrine Society","title":"A novel mouse model for acute and long-lasting consequences of early life stress","type":"article-journal","volume":"149"},"uris":["http://www.mendeley.com/documents/?uuid=15ac4b27-17d8-4fbd-93aa-7ed44d017b66"]},{"id":"ITEM-2","itemData":{"DOI":"10.1002/hipo.22374","ISSN":"10981063","PMID":"25269685","abstract":"Early life stress (ES) increases vulnerability to psychopathology and impairs cognition in adulthood. These ES-induced deficits are associated with lasting changes in hippocampal plasticity. Detailed information on the neurobiological basis, the onset, and progression of such changes and their sex-specificity is currently lacking but is required to tailor specific intervention strategies. Here, we use a chronic ES mouse model based on limited nesting and bedding material from postnatal day (P) 2-9 to investigate; (1) if ES leads to impairments in hippocampus-dependent cognitive function in adulthood and (2) if these alterations are paralleled by changes in developmental and/or adult hippocampal neurogenesis. ES increased developmental neurogenesis (proliferation and differentiation) in the dentate gyrus (DG) at P9, and the number of immature (NeurD1+) cells migrating postnatally from the secondary dentate matrix, indicating prompt changes in DG structure in both sexes. ES lastingly reduced DG volume and the long-term survival of developmentally born neurons in both sexes at P150. In adult male mice only, ES reduced survival of adult-born neurons (BrdU/NeuN+ cells), while proliferation (Ki67+) and differentiation (DCX+) were unaffected. These changes correlated with impaired performance in all learning and memory tasks used here. In contrast, in female mice, despite early alterations in developmental neurogenesis, no lasting changes were present in adult neurogenesis after ES and the cognitive impairments were less prominent and only apparent in some cognitive tasks. We further show that, although neurogenesis and cognition correlate positively, only the hippocampus-dependent functions depend on changes in neurogenesis, whereas cognitive functions that are not exclusively hippocampus-dependent do not. This study indicates that chronic ES has lasting consequences on hippocampal structure and function in mice and suggests that male mice are more susceptible to ES than females. Unraveling the mechanisms that underlie the persistent ES-induced effects may have clinical implications for treatments to counteract ES-induced deficits.","author":[{"dropping-particle":"","family":"Naninck","given":"Eva F.G.","non-dropping-particle":"","parse-names":false,"suffix":""},{"dropping-particle":"","family":"Hoeijmakers","given":"Lianne","non-dropping-particle":"","parse-names":false,"suffix":""},{"dropping-particle":"","family":"Kakava-Georgiadou","given":"Nefeli","non-dropping-particle":"","parse-names":false,"suffix":""},{"dropping-particle":"","family":"Meesters","given":"Astrid","non-dropping-particle":"","parse-names":false,"suffix":""},{"dropping-particle":"","family":"Lazic","given":"Stanley E.","non-dropping-particle":"","parse-names":false,"suffix":""},{"dropping-particle":"","family":"Lucassen","given":"Paul J.","non-dropping-particle":"","parse-names":false,"suffix":""},{"dropping-particle":"","family":"Korosi","given":"Aniko","non-dropping-particle":"","parse-names":false,"suffix":""}],"container-title":"Hippocampus","id":"ITEM-2","issue":"3","issued":{"date-parts":[["2015","3","1"]]},"page":"309-328","publisher":"Hippocampus","title":"Chronic early life stress alters developmental and adult neurogenesis and impairs cognitive function in mice","type":"article-journal","volume":"25"},"uris":["http://www.mendeley.com/documents/?uuid=3da9f524-9244-406f-873b-1394f87774eb"]},{"id":"ITEM-3","itemData":{"DOI":"10.1016/j.bbi.2016.12.023","ISSN":"10902139","PMID":"28027926","abstract":"Exposure to stress during the sensitive period of early-life increases the risk to develop cognitive impairments and psychopathology later in life. In addition, early-life stress (ES) exposure, next to genetic causes, has been proposed to modulate the development and progression of Alzheimer's disease (AD), however evidence for this hypothesis is currently lacking. We here tested whether ES modulates progression of AD-related neuropathology and assessed the possible contribution of neuroinflammatory factors in this. We subjected wild-type (WT) and transgenic APP/PS1 mice, as a model for amyloid neuropathology, to chronic ES from postnatal day (P)2 to P9. We next studied how ES exposure affected; 1) amyloid β (Aβ) pathology at an early (4 month old) and at a more advanced pathological (10 month old) stage, 2) neuroinflammatory mediators immediately after ES exposure as well as in adult WT mice, and 3) the neuroinflammatory response in relation to Aβ neuropathology. ES exposure resulted in a reduction of cell-associated amyloid in 4 month old APP/PS1 mice, but in an exacerbation of Aβ plaque load at 10 months of age, demonstrating that ES affects Aβ load in the hippocampus in an age-dependent manner. Interestingly, ES modulated various neuroinflammatory mediators in the hippocampus of WT mice as well as in response to Aβ neuropathology. In WT mice, immediately following ES exposure (P9), Iba1-immunopositive microglia exhibited reduced complexity and hippocampal interleukin (IL)-1β expression was increased. In contrast, microglial Iba1 and CD68 were increased and hippocampal IL-6 expression was decreased at 4 months, while these changes resolved by 10 months of age. Finally, Aβ neuropathology triggered a neuroinflammatory response in APP/PS1 mice that was altered after ES exposure. APP/PS1 mice exhibited increased CD68 expression at 4 months, which was further enhanced by ES, whereas the microglial response to Aβ neuropathology, as measured by Iba1 and CD11b, was less prominent after ES at 10 months of age. Finally, the hippocampus appears to be more vulnerable for these ES-induced effects, since ES did not affect Aβ neuropathology and neuroinflammation in the entorhinal cortex of adult ES exposed mice. Overall, our results demonstrate that ES exposure has both immediate and lasting effects on the neuroinflammatory response. In the context of AD, such alterations in neuroinflammation might contribute to aggravated neuropathology in ES exposed mice, hence a…","author":[{"dropping-particle":"","family":"Hoeijmakers","given":"Lianne","non-dropping-particle":"","parse-names":false,"suffix":""},{"dropping-particle":"","family":"Ruigrok","given":"Silvie R.","non-dropping-particle":"","parse-names":false,"suffix":""},{"dropping-particle":"","family":"Amelianchik","given":"Anna","non-dropping-particle":"","parse-names":false,"suffix":""},{"dropping-particle":"","family":"Ivan","given":"Daniela","non-dropping-particle":"","parse-names":false,"suffix":""},{"dropping-particle":"","family":"Dam","given":"Anne-Marie Marie","non-dropping-particle":"van","parse-names":false,"suffix":""},{"dropping-particle":"","family":"Lucassen","given":"Paul J.","non-dropping-particle":"","parse-names":false,"suffix":""},{"dropping-particle":"","family":"Korosi","given":"Aniko","non-dropping-particle":"","parse-names":false,"suffix":""}],"container-title":"Brain, Behavior, and Immunity","id":"ITEM-3","issued":{"date-parts":[["2017","7"]]},"page":"160-175","publisher":"Brain Behav Immun","title":"Early-life stress lastingly alters the neuroinflammatory response to amyloid pathology in an Alzheimer's disease mouse model","type":"article-journal","volume":"63"},"uris":["http://www.mendeley.com/documents/?uuid=3b372efc-5ce0-40ba-87c1-bc9f720ec98a"]},{"id":"ITEM-4","itemData":{"DOI":"10.1096/fj.201802297R","ISSN":"15306860","PMID":"30673509","abstract":"Exposure to early-life stress (ES) is associated with cognitive and metabolic deficits in adulthood. The role of early nutrition in programming these long-term effects is largely unknown. We focused on essential ω-3 and ω-6 long-chain polyunsaturated fatty acids (LCPUFA) and investigated whether ES affects central and peripheral FA profiles, as well as if and how an early diet with increased availability of ω-3 LCPUFA (via lowering ω-6/ω-3 ratio) protects against ES-induced impairments. ES exposure [limited nesting and bedding paradigm from postnatal day (P)2 to P9] altered central and peripheral FA profiles in mice. An early diet with low ω-6/ω-3 ratio from P2 to P42 notably prevented the ES-induced cognitive impairments, and the alterations in hippocampal newborn cell survival and in CD68+ microglia, without affecting the ES-induced metabolic alterations. Other markers for hippocampal plasticity, apoptosis, and maternal care were unaffected by ES or diet. Our findings highlight the importance of early dietary lipid quality for later cognition in ES-exposed populations.","author":[{"dropping-particle":"","family":"Yam","given":"Kit Yi","non-dropping-particle":"","parse-names":false,"suffix":""},{"dropping-particle":"","family":"Schipper","given":"Lidewij","non-dropping-particle":"","parse-names":false,"suffix":""},{"dropping-particle":"","family":"Reemst","given":"Kitty","non-dropping-particle":"","parse-names":false,"suffix":""},{"dropping-particle":"","family":"Ruigrok","given":"Silvie R.","non-dropping-particle":"","parse-names":false,"suffix":""},{"dropping-particle":"","family":"Abbink","given":"Maralinde R.","non-dropping-particle":"","parse-names":false,"suffix":""},{"dropping-particle":"","family":"Hoeijmakers","given":"Lianne","non-dropping-particle":"","parse-names":false,"suffix":""},{"dropping-particle":"","family":"Naninck","given":"Eva F.G.","non-dropping-particle":"","parse-names":false,"suffix":""},{"dropping-particle":"","family":"Zarekiani","given":"Parand","non-dropping-particle":"","parse-names":false,"suffix":""},{"dropping-particle":"","family":"Oosting","given":"Annemarie","non-dropping-particle":"","parse-names":false,"suffix":""},{"dropping-particle":"","family":"Beek","given":"Eline M.","non-dropping-particle":"Van Der","parse-names":false,"suffix":""},{"dropping-particle":"","family":"Lucassen","given":"Paul J.","non-dropping-particle":"","parse-names":false,"suffix":""},{"dropping-particle":"","family":"Korosi","given":"Aniko","non-dropping-particle":"","parse-names":false,"suffix":""}],"container-title":"FASEB Journal","id":"ITEM-4","issue":"4","issued":{"date-parts":[["2019","4"]]},"page":"5729-5740","publisher":"FASEB","title":"Increasing availability of ω-3 fatty acid in the early-life diet prevents the early-life stress-induced cognitive impairments without affecting metabolic alterations","type":"article-journal","volume":"33"},"uris":["http://www.mendeley.com/documents/?uuid=55f10917-0ff0-476c-a7ce-63c6895ef049"]}],"mendeley":{"formattedCitation":"&lt;sup&gt;1–4&lt;/sup&gt;","plainTextFormattedCitation":"1–4","previouslyFormattedCitation":"&lt;sup&gt;2,21–23&lt;/sup&gt;"},"properties":{"noteIndex":0},"schema":"https://github.com/citation-style-language/schema/raw/master/csl-citation.json"}</w:instrText>
      </w:r>
      <w:r w:rsidRPr="006D48F5">
        <w:fldChar w:fldCharType="separate"/>
      </w:r>
      <w:r w:rsidR="005E40D4" w:rsidRPr="005E40D4">
        <w:rPr>
          <w:noProof/>
          <w:vertAlign w:val="superscript"/>
          <w:lang w:val="nl-NL"/>
        </w:rPr>
        <w:t>1–4</w:t>
      </w:r>
      <w:r w:rsidRPr="006D48F5">
        <w:fldChar w:fldCharType="end"/>
      </w:r>
      <w:r>
        <w:t>.</w:t>
      </w:r>
      <w:r w:rsidRPr="006D48F5">
        <w:rPr>
          <w:lang w:val="nl-NL"/>
        </w:rPr>
        <w:t xml:space="preserve"> </w:t>
      </w:r>
      <w:r w:rsidRPr="006D48F5">
        <w:t xml:space="preserve">The LBN model induces fragmentation of maternal care </w:t>
      </w:r>
      <w:r w:rsidRPr="0075094D">
        <w:t>resulting</w:t>
      </w:r>
      <w:r w:rsidRPr="0060219D">
        <w:t xml:space="preserve"> in chronic stress in the pups. At P2, litters were culled to six pups per litter (sex ratio </w:t>
      </w:r>
      <w:proofErr w:type="spellStart"/>
      <w:r w:rsidRPr="0060219D">
        <w:t>male</w:t>
      </w:r>
      <w:r w:rsidRPr="004A526A">
        <w:t>:f</w:t>
      </w:r>
      <w:r w:rsidRPr="000616E3">
        <w:t>emale</w:t>
      </w:r>
      <w:proofErr w:type="spellEnd"/>
      <w:r w:rsidRPr="000616E3">
        <w:t xml:space="preserve"> of 3:3 or 4:2) without cross fostering, randomly assigned to CTR or ELS condition. In ELS cages, the bottom was covered with a small amount of sawdust bedding and a fine-gauge stainless steel mesh was placed 1 cm above the cage floor. Half a square piece of cotton nesting material (2,5 x 5 cm, </w:t>
      </w:r>
      <w:proofErr w:type="spellStart"/>
      <w:r w:rsidRPr="000616E3">
        <w:t>Technilab</w:t>
      </w:r>
      <w:proofErr w:type="spellEnd"/>
      <w:r w:rsidRPr="000616E3">
        <w:t xml:space="preserve">-BMI, </w:t>
      </w:r>
      <w:proofErr w:type="spellStart"/>
      <w:r w:rsidRPr="000616E3">
        <w:t>Someren</w:t>
      </w:r>
      <w:proofErr w:type="spellEnd"/>
      <w:r w:rsidRPr="000616E3">
        <w:t xml:space="preserve">, the Netherlands) was placed on top of the mesh. Control cages were equipped with standard amounts of sawdust bedding and nesting material (one square piece of cotton nesting material (5 x 5cm). Animals were supplied with food and water </w:t>
      </w:r>
      <w:r w:rsidRPr="000616E3">
        <w:rPr>
          <w:i/>
        </w:rPr>
        <w:t>ad libitum</w:t>
      </w:r>
      <w:r w:rsidRPr="000616E3">
        <w:t xml:space="preserve"> and covered with a filtertop. Throughout all procedures, manipulation was kept to a minimum to avoid handling effects and animals were left undisturbed until P9.</w:t>
      </w:r>
    </w:p>
    <w:p w14:paraId="67DCA052" w14:textId="77777777" w:rsidR="00326760" w:rsidRDefault="00326760" w:rsidP="003E39DC">
      <w:pPr>
        <w:ind w:firstLine="0"/>
      </w:pPr>
    </w:p>
    <w:p w14:paraId="15FF5EC1" w14:textId="77777777" w:rsidR="00326760" w:rsidRPr="003E39DC" w:rsidRDefault="00326760" w:rsidP="003E39DC">
      <w:pPr>
        <w:ind w:firstLine="0"/>
        <w:rPr>
          <w:b/>
        </w:rPr>
      </w:pPr>
      <w:r w:rsidRPr="003E39DC">
        <w:rPr>
          <w:b/>
        </w:rPr>
        <w:t>Mouse tissue preparation</w:t>
      </w:r>
    </w:p>
    <w:p w14:paraId="00E2DA59" w14:textId="418FE91A" w:rsidR="00326760" w:rsidRDefault="00326760" w:rsidP="003E39DC">
      <w:pPr>
        <w:ind w:firstLine="0"/>
      </w:pPr>
      <w:r>
        <w:t xml:space="preserve">For the immunohistochemistry cohort, mice were </w:t>
      </w:r>
      <w:proofErr w:type="spellStart"/>
      <w:r>
        <w:t>i.p.</w:t>
      </w:r>
      <w:proofErr w:type="spellEnd"/>
      <w:r>
        <w:t xml:space="preserve"> injected with 120</w:t>
      </w:r>
      <w:r w:rsidR="006D55EA">
        <w:t xml:space="preserve"> </w:t>
      </w:r>
      <w:r>
        <w:t xml:space="preserve">mg/kg </w:t>
      </w:r>
      <w:proofErr w:type="spellStart"/>
      <w:r>
        <w:t>Euthasol</w:t>
      </w:r>
      <w:proofErr w:type="spellEnd"/>
      <w:r>
        <w:t xml:space="preserve">, then </w:t>
      </w:r>
      <w:proofErr w:type="spellStart"/>
      <w:r>
        <w:t>transcardially</w:t>
      </w:r>
      <w:proofErr w:type="spellEnd"/>
      <w:r>
        <w:t xml:space="preserve"> perfused with ice-cold PBS and 4% paraformaldehyde (PFA). Brains were post-fixed in 4</w:t>
      </w:r>
      <w:r w:rsidR="006D55EA">
        <w:t xml:space="preserve"> </w:t>
      </w:r>
      <w:r>
        <w:t>% PFA at 4˚C overnight before transfer to phosphate buffer (PB) with 0.01</w:t>
      </w:r>
      <w:r w:rsidR="006D55EA">
        <w:t xml:space="preserve"> </w:t>
      </w:r>
      <w:r>
        <w:t>% Na-</w:t>
      </w:r>
      <w:proofErr w:type="spellStart"/>
      <w:r>
        <w:t>Azide</w:t>
      </w:r>
      <w:proofErr w:type="spellEnd"/>
      <w:r>
        <w:t>. Coronal brain sections (40</w:t>
      </w:r>
      <w:r w:rsidR="006D55EA">
        <w:t xml:space="preserve"> </w:t>
      </w:r>
      <w:r>
        <w:t>µm thick) were obtained using a sliding microtome after cryoprotection in 15% and 30% sucrose in 0.1</w:t>
      </w:r>
      <w:r w:rsidR="006D55EA">
        <w:t xml:space="preserve"> </w:t>
      </w:r>
      <w:r>
        <w:t xml:space="preserve">M PB. Sections were stored in antifreeze at -20˚C until use. For the transcriptomics cohort, mice were </w:t>
      </w:r>
      <w:proofErr w:type="spellStart"/>
      <w:r>
        <w:t>i.p.</w:t>
      </w:r>
      <w:proofErr w:type="spellEnd"/>
      <w:r>
        <w:t xml:space="preserve"> injected with 120</w:t>
      </w:r>
      <w:r w:rsidR="006D55EA">
        <w:t xml:space="preserve"> </w:t>
      </w:r>
      <w:r>
        <w:t xml:space="preserve">mg/kg </w:t>
      </w:r>
      <w:proofErr w:type="spellStart"/>
      <w:r>
        <w:t>Euthasol</w:t>
      </w:r>
      <w:proofErr w:type="spellEnd"/>
      <w:r>
        <w:t xml:space="preserve">, and </w:t>
      </w:r>
      <w:proofErr w:type="spellStart"/>
      <w:r>
        <w:t>transcardially</w:t>
      </w:r>
      <w:proofErr w:type="spellEnd"/>
      <w:r>
        <w:t xml:space="preserve"> perfused with ice-cold PBS before dissecting out the hippocampus. For the synaptosome isolation and phagocytosis cohort, mice were sacrificed via rapid decapitation, with the respective brain tissues dissected out at 4˚C.</w:t>
      </w:r>
    </w:p>
    <w:p w14:paraId="19DF3FB5" w14:textId="77777777" w:rsidR="00326760" w:rsidRDefault="00326760" w:rsidP="003E39DC">
      <w:pPr>
        <w:ind w:firstLine="0"/>
      </w:pPr>
    </w:p>
    <w:p w14:paraId="249BBF26" w14:textId="77777777" w:rsidR="00326760" w:rsidRPr="003E39DC" w:rsidRDefault="00326760" w:rsidP="003E39DC">
      <w:pPr>
        <w:ind w:firstLine="0"/>
        <w:rPr>
          <w:b/>
        </w:rPr>
      </w:pPr>
      <w:r w:rsidRPr="003E39DC">
        <w:rPr>
          <w:b/>
        </w:rPr>
        <w:t>Microglia staining</w:t>
      </w:r>
    </w:p>
    <w:p w14:paraId="0600E339" w14:textId="6160FB3B" w:rsidR="00326760" w:rsidRPr="007B7503" w:rsidRDefault="00326760" w:rsidP="003E39DC">
      <w:pPr>
        <w:pStyle w:val="1standard"/>
      </w:pPr>
      <w:r>
        <w:t>Sections were incubated in 0.3</w:t>
      </w:r>
      <w:r w:rsidR="006D55EA">
        <w:t xml:space="preserve"> </w:t>
      </w:r>
      <w:r>
        <w:t xml:space="preserve">% </w:t>
      </w:r>
      <w:r w:rsidRPr="000616E3">
        <w:t>H</w:t>
      </w:r>
      <w:r w:rsidRPr="000616E3">
        <w:rPr>
          <w:vertAlign w:val="subscript"/>
        </w:rPr>
        <w:t>2</w:t>
      </w:r>
      <w:r w:rsidRPr="000616E3">
        <w:t>O</w:t>
      </w:r>
      <w:r w:rsidRPr="000616E3">
        <w:rPr>
          <w:vertAlign w:val="subscript"/>
        </w:rPr>
        <w:t>2</w:t>
      </w:r>
      <w:r w:rsidRPr="000616E3">
        <w:t xml:space="preserve"> for 15 min to block endogenous peroxidase activity</w:t>
      </w:r>
      <w:r>
        <w:t xml:space="preserve">, then blocked in a </w:t>
      </w:r>
      <w:r w:rsidRPr="000616E3">
        <w:t>﻿0.05</w:t>
      </w:r>
      <w:r w:rsidR="006D55EA">
        <w:t xml:space="preserve"> </w:t>
      </w:r>
      <w:r w:rsidRPr="000616E3">
        <w:t>M tris</w:t>
      </w:r>
      <w:r>
        <w:t>-</w:t>
      </w:r>
      <w:r w:rsidRPr="000616E3">
        <w:t xml:space="preserve">buffered saline </w:t>
      </w:r>
      <w:r>
        <w:t xml:space="preserve">(TBS) solution </w:t>
      </w:r>
      <w:r w:rsidRPr="000616E3">
        <w:t xml:space="preserve">containing 1% bovine serum albumin </w:t>
      </w:r>
      <w:r>
        <w:t xml:space="preserve">and </w:t>
      </w:r>
      <w:r w:rsidRPr="000616E3">
        <w:t>0.1% triton X-100 (pH 7.6)</w:t>
      </w:r>
      <w:r>
        <w:t xml:space="preserve"> for 30 min</w:t>
      </w:r>
      <w:r w:rsidRPr="000616E3">
        <w:t xml:space="preserve">. </w:t>
      </w:r>
      <w:r>
        <w:t xml:space="preserve">Samples were incubated in blocking mix containing </w:t>
      </w:r>
      <w:r w:rsidRPr="000616E3">
        <w:t>primary antibody (</w:t>
      </w:r>
      <w:r>
        <w:t xml:space="preserve">1:5000 </w:t>
      </w:r>
      <w:r w:rsidRPr="000616E3">
        <w:t>rabbit anti-</w:t>
      </w:r>
      <w:r w:rsidR="00242832" w:rsidRPr="000616E3">
        <w:t>I</w:t>
      </w:r>
      <w:r w:rsidR="00242832">
        <w:t>BA</w:t>
      </w:r>
      <w:r w:rsidR="00242832" w:rsidRPr="000616E3">
        <w:t>1</w:t>
      </w:r>
      <w:r w:rsidRPr="000616E3">
        <w:t>, 019-19741, Wako)</w:t>
      </w:r>
      <w:r>
        <w:t xml:space="preserve"> </w:t>
      </w:r>
      <w:r w:rsidRPr="000616E3">
        <w:t xml:space="preserve">and incubated for 1 </w:t>
      </w:r>
      <w:proofErr w:type="spellStart"/>
      <w:r w:rsidRPr="000616E3">
        <w:t>h at</w:t>
      </w:r>
      <w:proofErr w:type="spellEnd"/>
      <w:r w:rsidRPr="000616E3">
        <w:t xml:space="preserve"> RT,</w:t>
      </w:r>
      <w:r>
        <w:t xml:space="preserve"> then overnight </w:t>
      </w:r>
      <w:r w:rsidRPr="000616E3">
        <w:t>at 4 degrees. The next day, sections were incubated for 2 h with 1:500 goat anti-rabbit biotinylated (Vector Laboratories) in blocking mix</w:t>
      </w:r>
      <w:r>
        <w:t>,</w:t>
      </w:r>
      <w:r w:rsidRPr="000616E3">
        <w:t xml:space="preserve"> after which sections were incubated with 1:800 avidin-biotin complex (</w:t>
      </w:r>
      <w:proofErr w:type="spellStart"/>
      <w:r w:rsidRPr="000616E3">
        <w:t>Vectastain</w:t>
      </w:r>
      <w:proofErr w:type="spellEnd"/>
      <w:r w:rsidRPr="000616E3">
        <w:t xml:space="preserve"> elite ABC-peroxidase kit, </w:t>
      </w:r>
      <w:proofErr w:type="spellStart"/>
      <w:r w:rsidRPr="000616E3">
        <w:t>Brunschwig</w:t>
      </w:r>
      <w:proofErr w:type="spellEnd"/>
      <w:r w:rsidRPr="000616E3">
        <w:t xml:space="preserve"> </w:t>
      </w:r>
      <w:proofErr w:type="spellStart"/>
      <w:r w:rsidRPr="000616E3">
        <w:t>Chemie</w:t>
      </w:r>
      <w:proofErr w:type="spellEnd"/>
      <w:r w:rsidRPr="000616E3">
        <w:t>)</w:t>
      </w:r>
      <w:r w:rsidRPr="00286D0F">
        <w:t xml:space="preserve"> </w:t>
      </w:r>
      <w:r w:rsidRPr="000616E3">
        <w:t xml:space="preserve">in 0.05 M TBS. Finally, sections were washed </w:t>
      </w:r>
      <w:r w:rsidRPr="000616E3">
        <w:lastRenderedPageBreak/>
        <w:t>in 0.05 TB (pH 7.6)</w:t>
      </w:r>
      <w:r>
        <w:t xml:space="preserve">, </w:t>
      </w:r>
      <w:r w:rsidRPr="000616E3">
        <w:t>incubated in 0.2 mg/1 ml diaminobenzidine (DAB, 0.01% H2O2 in 0.05 M TB) for the chromogen development</w:t>
      </w:r>
      <w:r>
        <w:t xml:space="preserve">, then </w:t>
      </w:r>
      <w:r w:rsidRPr="000616E3">
        <w:t>mounted on pre-coated glass slides (</w:t>
      </w:r>
      <w:proofErr w:type="spellStart"/>
      <w:r w:rsidRPr="000616E3">
        <w:t>Superfrost</w:t>
      </w:r>
      <w:proofErr w:type="spellEnd"/>
      <w:r w:rsidRPr="000616E3">
        <w:t xml:space="preserve"> Plus slides, Menzel) and cover slipped using </w:t>
      </w:r>
      <w:proofErr w:type="spellStart"/>
      <w:r w:rsidRPr="000616E3">
        <w:t>Entellan</w:t>
      </w:r>
      <w:r w:rsidR="001815FD">
        <w:rPr>
          <w:vertAlign w:val="superscript"/>
        </w:rPr>
        <w:t>TM</w:t>
      </w:r>
      <w:proofErr w:type="spellEnd"/>
      <w:r w:rsidRPr="000616E3">
        <w:t>.</w:t>
      </w:r>
      <w:r>
        <w:t xml:space="preserve"> Sections were washed in 0.05M Tris buffered saline in between steps unless otherwise specified.</w:t>
      </w:r>
    </w:p>
    <w:p w14:paraId="6B19A555" w14:textId="77777777" w:rsidR="00326760" w:rsidRDefault="00326760" w:rsidP="003E39DC">
      <w:pPr>
        <w:ind w:firstLine="0"/>
      </w:pPr>
    </w:p>
    <w:p w14:paraId="51E8A919" w14:textId="77777777" w:rsidR="00326760" w:rsidRDefault="00326760" w:rsidP="003E39DC">
      <w:pPr>
        <w:ind w:firstLine="0"/>
      </w:pPr>
      <w:r>
        <w:t>Microglia subtype classification:</w:t>
      </w:r>
    </w:p>
    <w:p w14:paraId="65AC0603" w14:textId="0006CA98" w:rsidR="00326760" w:rsidRDefault="00326760" w:rsidP="003E39DC">
      <w:pPr>
        <w:pStyle w:val="1standard"/>
      </w:pPr>
      <w:r>
        <w:t>We subdivided microglia in a 20.000</w:t>
      </w:r>
      <w:r w:rsidR="006D55EA">
        <w:t xml:space="preserve"> </w:t>
      </w:r>
      <w:r>
        <w:t>µm</w:t>
      </w:r>
      <w:r w:rsidRPr="00920039">
        <w:rPr>
          <w:vertAlign w:val="superscript"/>
        </w:rPr>
        <w:t>2</w:t>
      </w:r>
      <w:r>
        <w:t xml:space="preserve"> region of interest within the hilus of the </w:t>
      </w:r>
      <w:r w:rsidR="00C224BF">
        <w:t>dentate gyrus</w:t>
      </w:r>
      <w:r>
        <w:t xml:space="preserve"> and the stratum </w:t>
      </w:r>
      <w:proofErr w:type="spellStart"/>
      <w:r>
        <w:t>lacunosum-moleculare</w:t>
      </w:r>
      <w:proofErr w:type="spellEnd"/>
      <w:r>
        <w:t xml:space="preserve"> of the </w:t>
      </w:r>
      <w:proofErr w:type="spellStart"/>
      <w:r w:rsidR="00C224BF">
        <w:t>cornu</w:t>
      </w:r>
      <w:proofErr w:type="spellEnd"/>
      <w:r w:rsidR="00C224BF">
        <w:t xml:space="preserve"> </w:t>
      </w:r>
      <w:proofErr w:type="spellStart"/>
      <w:r w:rsidR="00C224BF">
        <w:t>ammonis</w:t>
      </w:r>
      <w:proofErr w:type="spellEnd"/>
      <w:r w:rsidR="00C224BF">
        <w:t xml:space="preserve"> </w:t>
      </w:r>
      <w:r>
        <w:t xml:space="preserve"> as follows:</w:t>
      </w:r>
      <w:r w:rsidRPr="005E1E30">
        <w:t xml:space="preserve"> type 1, ramified cells with many long, thin processes; type 2, cells with a clear distinguished soma with thicker longer processes; type 3, spider-like cells with no clear distinguished soma and numerous stout processes; type 4, cells with less than three short, thick processes; type 5, round, amoeboid cells without visible processes</w:t>
      </w:r>
      <w:r>
        <w:t xml:space="preserve"> (Figure 1B, S1E).</w:t>
      </w:r>
    </w:p>
    <w:p w14:paraId="136F8A71" w14:textId="77777777" w:rsidR="00326760" w:rsidRDefault="00326760" w:rsidP="003E39DC">
      <w:pPr>
        <w:ind w:firstLine="0"/>
      </w:pPr>
    </w:p>
    <w:p w14:paraId="391ED35D" w14:textId="77777777" w:rsidR="00326760" w:rsidRPr="003E39DC" w:rsidRDefault="00326760" w:rsidP="003E39DC">
      <w:pPr>
        <w:ind w:firstLine="0"/>
        <w:rPr>
          <w:b/>
        </w:rPr>
      </w:pPr>
      <w:r w:rsidRPr="003E39DC">
        <w:rPr>
          <w:b/>
        </w:rPr>
        <w:t>Microglia isolation</w:t>
      </w:r>
    </w:p>
    <w:p w14:paraId="6E9F671B" w14:textId="2E4269F4" w:rsidR="00326760" w:rsidRPr="000616E3" w:rsidRDefault="00326760" w:rsidP="003E39DC">
      <w:pPr>
        <w:ind w:firstLine="0"/>
      </w:pPr>
      <w:r>
        <w:rPr>
          <w:rFonts w:cstheme="minorHAnsi"/>
        </w:rPr>
        <w:t xml:space="preserve">After saline perfusion, </w:t>
      </w:r>
      <w:r w:rsidRPr="0075094D">
        <w:rPr>
          <w:rFonts w:cstheme="minorHAnsi"/>
        </w:rPr>
        <w:t>hippocamp</w:t>
      </w:r>
      <w:r>
        <w:rPr>
          <w:rFonts w:cstheme="minorHAnsi"/>
        </w:rPr>
        <w:t>i</w:t>
      </w:r>
      <w:r w:rsidRPr="0075094D">
        <w:rPr>
          <w:rFonts w:cstheme="minorHAnsi"/>
        </w:rPr>
        <w:t xml:space="preserve"> </w:t>
      </w:r>
      <w:r>
        <w:rPr>
          <w:rFonts w:cstheme="minorHAnsi"/>
        </w:rPr>
        <w:t xml:space="preserve">were </w:t>
      </w:r>
      <w:r w:rsidRPr="0075094D">
        <w:rPr>
          <w:rFonts w:cstheme="minorHAnsi"/>
        </w:rPr>
        <w:t xml:space="preserve">dissected and collected </w:t>
      </w:r>
      <w:r w:rsidRPr="0060219D">
        <w:rPr>
          <w:rFonts w:cstheme="minorHAnsi"/>
        </w:rPr>
        <w:t>in HBSS (Gibco, 14170-088) containing 15 mM HEPES (Lonza, BE17-737E)</w:t>
      </w:r>
      <w:r w:rsidRPr="004A526A">
        <w:rPr>
          <w:rFonts w:cstheme="minorHAnsi"/>
        </w:rPr>
        <w:t>, termed</w:t>
      </w:r>
      <w:r w:rsidRPr="000616E3">
        <w:rPr>
          <w:rFonts w:cstheme="minorHAnsi"/>
        </w:rPr>
        <w:t xml:space="preserve"> medium A, and 0.6</w:t>
      </w:r>
      <w:r w:rsidR="006D55EA">
        <w:rPr>
          <w:rFonts w:cstheme="minorHAnsi"/>
        </w:rPr>
        <w:t xml:space="preserve"> </w:t>
      </w:r>
      <w:r w:rsidRPr="000616E3">
        <w:rPr>
          <w:rFonts w:cstheme="minorHAnsi"/>
        </w:rPr>
        <w:t xml:space="preserve">% glucose (Sigma-Aldrich, G8769)) at 4°C. Microglia were isolated </w:t>
      </w:r>
      <w:r>
        <w:rPr>
          <w:rFonts w:cstheme="minorHAnsi"/>
        </w:rPr>
        <w:t xml:space="preserve">on ice </w:t>
      </w:r>
      <w:r w:rsidRPr="000616E3">
        <w:rPr>
          <w:rFonts w:cstheme="minorHAnsi"/>
        </w:rPr>
        <w:t xml:space="preserve">as described elsewhere </w:t>
      </w:r>
      <w:r w:rsidRPr="005E1E30">
        <w:rPr>
          <w:rFonts w:cstheme="minorHAnsi"/>
        </w:rPr>
        <w:fldChar w:fldCharType="begin" w:fldLock="1"/>
      </w:r>
      <w:r>
        <w:rPr>
          <w:rFonts w:cstheme="minorHAnsi"/>
        </w:rPr>
        <w:instrText>ADDIN CSL_CITATION {"citationItems":[{"id":"ITEM-1","itemData":{"DOI":"10.1007/978-1-4939-6786-5_23","ISSN":"10643745","PMID":"28063055","abstract":"Microglia are the innate immune cells of the central nervous system (CNS) and play an important role in the maintenance of tissue homeostasis, providing neural support and neuroprotection. Microglia constantly survey their environment and quickly respond to homeostatic perturbations. Microglia are increasingly implicated in neuropathological and neurodegenerative conditions, such as Alzheimer’s disease, Parkinson’s disease, and glioma progression. Here, we describe a detailed isolation protocol for microglia and immune infiltrates, optimized for large amounts of post mortem tissue from human and rhesus macaque, as well as smaller tissue amounts from mouse brain and spinal cord, that yield a highly purified microglia population (up to 98 % purity). This acute isolation protocol is based on mechanical dissociation and a two-step density gradient purification, followed by fluorescence-activated cell sorting (FACS) to obtain pure microglia and immune infiltrate populations.","author":[{"dropping-particle":"","family":"Galatro","given":"Thais F.","non-dropping-particle":"","parse-names":false,"suffix":""},{"dropping-particle":"","family":"Vainchtein","given":"Ilia D.","non-dropping-particle":"","parse-names":false,"suffix":""},{"dropping-particle":"","family":"Brouwer","given":"Nieske","non-dropping-particle":"","parse-names":false,"suffix":""},{"dropping-particle":"","family":"Boddeke","given":"Erik W.G.M.","non-dropping-particle":"","parse-names":false,"suffix":""},{"dropping-particle":"","family":"Eggen","given":"Bart J.L.","non-dropping-particle":"","parse-names":false,"suffix":""}],"container-title":"Methods in Molecular Biology","id":"ITEM-1","issued":{"date-parts":[["2017"]]},"page":"333-342","title":"Isolation of microglia and immune infiltrates from mouse and primate central nervous system","type":"chapter","volume":"1559"},"uris":["http://www.mendeley.com/documents/?uuid=e96046db-c911-30b2-ac61-12c3aa3714c8","http://www.mendeley.com/documents/?uuid=9fb6ebef-48d1-4e8e-a0a2-e68ff60254f4"]}],"mendeley":{"formattedCitation":"&lt;sup&gt;5&lt;/sup&gt;","plainTextFormattedCitation":"5","previouslyFormattedCitation":"&lt;sup&gt;5&lt;/sup&gt;"},"properties":{"noteIndex":0},"schema":"https://github.com/citation-style-language/schema/raw/master/csl-citation.json"}</w:instrText>
      </w:r>
      <w:r w:rsidRPr="005E1E30">
        <w:rPr>
          <w:rFonts w:cstheme="minorHAnsi"/>
        </w:rPr>
        <w:fldChar w:fldCharType="separate"/>
      </w:r>
      <w:r w:rsidRPr="003324CF">
        <w:rPr>
          <w:rFonts w:cstheme="minorHAnsi"/>
          <w:noProof/>
          <w:vertAlign w:val="superscript"/>
        </w:rPr>
        <w:t>5</w:t>
      </w:r>
      <w:r w:rsidRPr="005E1E30">
        <w:rPr>
          <w:rFonts w:cstheme="minorHAnsi"/>
        </w:rPr>
        <w:fldChar w:fldCharType="end"/>
      </w:r>
      <w:r w:rsidRPr="000616E3">
        <w:rPr>
          <w:rFonts w:cstheme="minorHAnsi"/>
        </w:rPr>
        <w:t xml:space="preserve">. Briefly, a single cell suspension was obtained through mechanical dissociation of the brain tissue in a glass homogenizer filled with medium A. The cell suspension was filtered with a 70 µm cell strainer (Falcon, 352350). For brain tissue of adult mice, myelin and other lipids were removed by </w:t>
      </w:r>
      <w:proofErr w:type="spellStart"/>
      <w:r w:rsidRPr="000616E3">
        <w:rPr>
          <w:rFonts w:cstheme="minorHAnsi"/>
        </w:rPr>
        <w:t>Percoll</w:t>
      </w:r>
      <w:proofErr w:type="spellEnd"/>
      <w:r w:rsidRPr="000616E3">
        <w:rPr>
          <w:rFonts w:cstheme="minorHAnsi"/>
        </w:rPr>
        <w:t xml:space="preserve"> </w:t>
      </w:r>
      <w:r w:rsidR="00C224BF">
        <w:rPr>
          <w:rFonts w:cstheme="minorHAnsi"/>
          <w:lang w:val="de-DE"/>
        </w:rPr>
        <w:t>(</w:t>
      </w:r>
      <w:proofErr w:type="spellStart"/>
      <w:r w:rsidR="00C224BF">
        <w:rPr>
          <w:rFonts w:cstheme="minorHAnsi"/>
          <w:lang w:val="de-DE"/>
        </w:rPr>
        <w:t>Cytiva</w:t>
      </w:r>
      <w:proofErr w:type="spellEnd"/>
      <w:r w:rsidR="00C224BF">
        <w:rPr>
          <w:rFonts w:cstheme="minorHAnsi"/>
          <w:lang w:val="de-DE"/>
        </w:rPr>
        <w:t xml:space="preserve">, </w:t>
      </w:r>
      <w:r w:rsidR="00C224BF" w:rsidRPr="00C224BF">
        <w:rPr>
          <w:rFonts w:cstheme="minorHAnsi"/>
          <w:lang w:val="de-DE"/>
        </w:rPr>
        <w:t>17-5445-02</w:t>
      </w:r>
      <w:r w:rsidR="00C224BF">
        <w:rPr>
          <w:rFonts w:cstheme="minorHAnsi"/>
          <w:lang w:val="de-DE"/>
        </w:rPr>
        <w:t xml:space="preserve">) </w:t>
      </w:r>
      <w:r w:rsidRPr="000616E3">
        <w:rPr>
          <w:rFonts w:cstheme="minorHAnsi"/>
        </w:rPr>
        <w:t>gradient centrifugation at 950</w:t>
      </w:r>
      <w:r w:rsidR="006D55EA">
        <w:rPr>
          <w:rFonts w:cstheme="minorHAnsi"/>
        </w:rPr>
        <w:t xml:space="preserve"> </w:t>
      </w:r>
      <w:proofErr w:type="spellStart"/>
      <w:r w:rsidRPr="000616E3">
        <w:rPr>
          <w:rFonts w:cstheme="minorHAnsi"/>
        </w:rPr>
        <w:t>xg</w:t>
      </w:r>
      <w:proofErr w:type="spellEnd"/>
      <w:r w:rsidRPr="000616E3">
        <w:rPr>
          <w:rFonts w:cstheme="minorHAnsi"/>
        </w:rPr>
        <w:t xml:space="preserve"> for 20 min with brakes off. </w:t>
      </w:r>
      <w:proofErr w:type="spellStart"/>
      <w:r w:rsidRPr="000616E3">
        <w:rPr>
          <w:rFonts w:cstheme="minorHAnsi"/>
        </w:rPr>
        <w:t>Percoll</w:t>
      </w:r>
      <w:proofErr w:type="spellEnd"/>
      <w:r w:rsidRPr="000616E3">
        <w:rPr>
          <w:rFonts w:cstheme="minorHAnsi"/>
        </w:rPr>
        <w:t xml:space="preserve"> was diluted 9:1 in 10x HBSS (Gibco, 14180-046) and was regarded as 100% </w:t>
      </w:r>
      <w:proofErr w:type="spellStart"/>
      <w:r w:rsidRPr="000616E3">
        <w:rPr>
          <w:rFonts w:cstheme="minorHAnsi"/>
        </w:rPr>
        <w:t>Percoll</w:t>
      </w:r>
      <w:proofErr w:type="spellEnd"/>
      <w:r w:rsidRPr="000616E3">
        <w:rPr>
          <w:rFonts w:cstheme="minorHAnsi"/>
        </w:rPr>
        <w:t>, which was further diluted in Medium A to 24.4</w:t>
      </w:r>
      <w:r w:rsidR="006D55EA">
        <w:rPr>
          <w:rFonts w:cstheme="minorHAnsi"/>
        </w:rPr>
        <w:t xml:space="preserve"> </w:t>
      </w:r>
      <w:r w:rsidRPr="000616E3">
        <w:rPr>
          <w:rFonts w:cstheme="minorHAnsi"/>
        </w:rPr>
        <w:t xml:space="preserve">% </w:t>
      </w:r>
      <w:proofErr w:type="spellStart"/>
      <w:r w:rsidRPr="000616E3">
        <w:rPr>
          <w:rFonts w:cstheme="minorHAnsi"/>
        </w:rPr>
        <w:t>Percoll</w:t>
      </w:r>
      <w:proofErr w:type="spellEnd"/>
      <w:r w:rsidRPr="000616E3">
        <w:rPr>
          <w:rFonts w:cstheme="minorHAnsi"/>
        </w:rPr>
        <w:t xml:space="preserve">. After this centrifugation step, cells were resuspended in </w:t>
      </w:r>
      <w:proofErr w:type="spellStart"/>
      <w:r w:rsidRPr="000616E3">
        <w:rPr>
          <w:rFonts w:cstheme="minorHAnsi"/>
        </w:rPr>
        <w:t>colorless</w:t>
      </w:r>
      <w:proofErr w:type="spellEnd"/>
      <w:r w:rsidRPr="000616E3">
        <w:rPr>
          <w:rFonts w:cstheme="minorHAnsi"/>
        </w:rPr>
        <w:t xml:space="preserve"> medium A (HBSS (Gibco, 14170-053) containing 15 mM HEPES, 0.6% glucose, and 1 mM EDTA (Invitrogen, 15575-038). Since myelin is nearly absent in the postnatal brain, </w:t>
      </w:r>
      <w:proofErr w:type="spellStart"/>
      <w:r w:rsidRPr="000616E3">
        <w:rPr>
          <w:rFonts w:cstheme="minorHAnsi"/>
        </w:rPr>
        <w:t>Percoll</w:t>
      </w:r>
      <w:proofErr w:type="spellEnd"/>
      <w:r w:rsidRPr="000616E3">
        <w:rPr>
          <w:rFonts w:cstheme="minorHAnsi"/>
        </w:rPr>
        <w:t xml:space="preserve"> gradient centrifugation was not performed for brain tissue of P9 mice. Unspecific binding of antibodies to the cells was prevented by incubating the cells for 15 minutes on ice with anti-mouse Fc receptor (5 µg/ml, </w:t>
      </w:r>
      <w:proofErr w:type="spellStart"/>
      <w:r w:rsidRPr="000616E3">
        <w:rPr>
          <w:rFonts w:cstheme="minorHAnsi"/>
        </w:rPr>
        <w:t>eBioscience</w:t>
      </w:r>
      <w:proofErr w:type="spellEnd"/>
      <w:r w:rsidRPr="000616E3">
        <w:rPr>
          <w:rFonts w:cstheme="minorHAnsi"/>
        </w:rPr>
        <w:t xml:space="preserve">, 14-0161). Following the cells were stained with anti-mouse CD11b-PE (1.2 µg/ml, </w:t>
      </w:r>
      <w:proofErr w:type="spellStart"/>
      <w:r w:rsidRPr="000616E3">
        <w:rPr>
          <w:rFonts w:cstheme="minorHAnsi"/>
        </w:rPr>
        <w:t>eBioscience</w:t>
      </w:r>
      <w:proofErr w:type="spellEnd"/>
      <w:r w:rsidRPr="000616E3">
        <w:rPr>
          <w:rFonts w:cstheme="minorHAnsi"/>
        </w:rPr>
        <w:t xml:space="preserve">, 12-0112) and anti-mouse CD45-FITC (2.5 µg/ml, </w:t>
      </w:r>
      <w:proofErr w:type="spellStart"/>
      <w:r w:rsidRPr="000616E3">
        <w:rPr>
          <w:rFonts w:cstheme="minorHAnsi"/>
        </w:rPr>
        <w:t>eBioscience</w:t>
      </w:r>
      <w:proofErr w:type="spellEnd"/>
      <w:r w:rsidRPr="000616E3">
        <w:rPr>
          <w:rFonts w:cstheme="minorHAnsi"/>
        </w:rPr>
        <w:t xml:space="preserve">, 11-0451). Shortly before cell sorting DAPI (0.15 µg/ml, </w:t>
      </w:r>
      <w:proofErr w:type="spellStart"/>
      <w:r w:rsidRPr="000616E3">
        <w:rPr>
          <w:rFonts w:cstheme="minorHAnsi"/>
        </w:rPr>
        <w:t>Biolegend</w:t>
      </w:r>
      <w:proofErr w:type="spellEnd"/>
      <w:r w:rsidRPr="000616E3">
        <w:rPr>
          <w:rFonts w:cstheme="minorHAnsi"/>
        </w:rPr>
        <w:t>, 422801) and DRAQ5 (2 µM, Thermo Scientific, 62251) were added to the cell suspension. Single, viable (DAPI</w:t>
      </w:r>
      <w:r w:rsidRPr="000616E3">
        <w:rPr>
          <w:rFonts w:cstheme="minorHAnsi"/>
          <w:vertAlign w:val="superscript"/>
        </w:rPr>
        <w:t>-</w:t>
      </w:r>
      <w:r w:rsidRPr="000616E3">
        <w:rPr>
          <w:rFonts w:cstheme="minorHAnsi"/>
        </w:rPr>
        <w:t>, DRAQ5</w:t>
      </w:r>
      <w:r w:rsidRPr="000616E3">
        <w:rPr>
          <w:rFonts w:cstheme="minorHAnsi"/>
          <w:vertAlign w:val="superscript"/>
        </w:rPr>
        <w:t>+</w:t>
      </w:r>
      <w:r w:rsidRPr="000616E3">
        <w:rPr>
          <w:rFonts w:cstheme="minorHAnsi"/>
        </w:rPr>
        <w:t>) microglia (CD45</w:t>
      </w:r>
      <w:r w:rsidRPr="000616E3">
        <w:rPr>
          <w:rFonts w:cstheme="minorHAnsi"/>
          <w:vertAlign w:val="superscript"/>
        </w:rPr>
        <w:t>int</w:t>
      </w:r>
      <w:r w:rsidRPr="000616E3">
        <w:rPr>
          <w:rFonts w:cstheme="minorHAnsi"/>
        </w:rPr>
        <w:t>, CD11b</w:t>
      </w:r>
      <w:r w:rsidRPr="000616E3">
        <w:rPr>
          <w:rFonts w:cstheme="minorHAnsi"/>
          <w:vertAlign w:val="superscript"/>
        </w:rPr>
        <w:t>+</w:t>
      </w:r>
      <w:r w:rsidRPr="000616E3">
        <w:rPr>
          <w:rFonts w:cstheme="minorHAnsi"/>
        </w:rPr>
        <w:t xml:space="preserve">) were sorted with the Beckman Coulter </w:t>
      </w:r>
      <w:proofErr w:type="spellStart"/>
      <w:r w:rsidRPr="000616E3">
        <w:rPr>
          <w:rFonts w:cstheme="minorHAnsi"/>
        </w:rPr>
        <w:t>MoFlo</w:t>
      </w:r>
      <w:proofErr w:type="spellEnd"/>
      <w:r w:rsidRPr="000616E3">
        <w:rPr>
          <w:rFonts w:cstheme="minorHAnsi"/>
        </w:rPr>
        <w:t xml:space="preserve"> XDP and were collected in 350 µl RNA lysis buffer (Qiagen, 1053393). Lysates were stored at -80°C until further use.</w:t>
      </w:r>
    </w:p>
    <w:p w14:paraId="74436C38" w14:textId="77777777" w:rsidR="00326760" w:rsidRDefault="00326760" w:rsidP="003E39DC">
      <w:pPr>
        <w:ind w:firstLine="0"/>
      </w:pPr>
    </w:p>
    <w:p w14:paraId="599B9275" w14:textId="77777777" w:rsidR="00326760" w:rsidRPr="00E00A99" w:rsidRDefault="00326760" w:rsidP="003E39DC">
      <w:pPr>
        <w:pStyle w:val="NoSpacing"/>
        <w:spacing w:line="288" w:lineRule="auto"/>
        <w:rPr>
          <w:rFonts w:asciiTheme="minorHAnsi" w:hAnsiTheme="minorHAnsi" w:cstheme="minorHAnsi"/>
          <w:lang w:val="en-GB"/>
        </w:rPr>
      </w:pPr>
      <w:r w:rsidRPr="00E00A99">
        <w:rPr>
          <w:rFonts w:asciiTheme="minorHAnsi" w:hAnsiTheme="minorHAnsi" w:cstheme="minorHAnsi"/>
          <w:lang w:val="en-GB"/>
        </w:rPr>
        <w:t xml:space="preserve">RNA isolation and mRNA sequencing </w:t>
      </w:r>
    </w:p>
    <w:p w14:paraId="404E84EB" w14:textId="77777777" w:rsidR="00326760" w:rsidRPr="004A526A" w:rsidRDefault="00326760" w:rsidP="003E39DC">
      <w:r w:rsidRPr="006D48F5">
        <w:rPr>
          <w:rFonts w:cstheme="minorHAnsi"/>
        </w:rPr>
        <w:t xml:space="preserve">RNA was isolated with the RNeasy Plus Micro RNA isolation kit following the manufacturer’s protocol (Qiagen, 74034). The RNA concentration was determined with the Agilent </w:t>
      </w:r>
      <w:proofErr w:type="spellStart"/>
      <w:r w:rsidRPr="006D48F5">
        <w:rPr>
          <w:rFonts w:cstheme="minorHAnsi"/>
        </w:rPr>
        <w:t>tapestation</w:t>
      </w:r>
      <w:proofErr w:type="spellEnd"/>
      <w:r w:rsidRPr="006D48F5">
        <w:rPr>
          <w:rFonts w:cstheme="minorHAnsi"/>
        </w:rPr>
        <w:t xml:space="preserve"> system and the HS RNA kit. Library preparation, sequencing and primary data analysis were performed at </w:t>
      </w:r>
      <w:proofErr w:type="spellStart"/>
      <w:r w:rsidRPr="006D48F5">
        <w:rPr>
          <w:rFonts w:cstheme="minorHAnsi"/>
        </w:rPr>
        <w:t>GenomeScan</w:t>
      </w:r>
      <w:proofErr w:type="spellEnd"/>
      <w:r w:rsidRPr="006D48F5">
        <w:rPr>
          <w:rFonts w:cstheme="minorHAnsi"/>
        </w:rPr>
        <w:t xml:space="preserve"> in Leiden, the Netherland</w:t>
      </w:r>
      <w:r w:rsidRPr="0075094D">
        <w:rPr>
          <w:rFonts w:cstheme="minorHAnsi"/>
        </w:rPr>
        <w:t xml:space="preserve">s. The </w:t>
      </w:r>
      <w:proofErr w:type="spellStart"/>
      <w:r w:rsidRPr="0075094D">
        <w:rPr>
          <w:rFonts w:cstheme="minorHAnsi"/>
        </w:rPr>
        <w:t>NEBNext</w:t>
      </w:r>
      <w:proofErr w:type="spellEnd"/>
      <w:r w:rsidRPr="0075094D">
        <w:rPr>
          <w:rFonts w:cstheme="minorHAnsi"/>
        </w:rPr>
        <w:t xml:space="preserve"> Low Input RNA Library Prep Kit for Illumina was used to process the samples. The sample preparation was performed according to the protocol "</w:t>
      </w:r>
      <w:proofErr w:type="spellStart"/>
      <w:r w:rsidRPr="0075094D">
        <w:rPr>
          <w:rFonts w:cstheme="minorHAnsi"/>
        </w:rPr>
        <w:t>NEBNext</w:t>
      </w:r>
      <w:proofErr w:type="spellEnd"/>
      <w:r w:rsidRPr="0075094D">
        <w:rPr>
          <w:rFonts w:cstheme="minorHAnsi"/>
        </w:rPr>
        <w:t xml:space="preserve"> Low Input RNA Library Prep Kit for Illumina" (NEB #E6420S/L). Briefly, cDNA was synthesized </w:t>
      </w:r>
      <w:r w:rsidRPr="0060219D">
        <w:rPr>
          <w:rFonts w:cstheme="minorHAnsi"/>
        </w:rPr>
        <w:t xml:space="preserve">and amplified from poly-A-tailed mRNA. This was used for ligation with the sequencing adapters and PCR amplification of the resulting product. The quality and yield after sample preparation was measured with the Fragment Analyzer. The size of the resulting products was consistent with the </w:t>
      </w:r>
      <w:r w:rsidRPr="0060219D">
        <w:rPr>
          <w:rFonts w:cstheme="minorHAnsi"/>
        </w:rPr>
        <w:lastRenderedPageBreak/>
        <w:t xml:space="preserve">expected size distribution (a peak between 200-400 bp). Clustering and DNA sequencing using the NovaSeq6000 was performed according to manufacturer's protocols. A concentration of 1.1 </w:t>
      </w:r>
      <w:proofErr w:type="spellStart"/>
      <w:r w:rsidRPr="0060219D">
        <w:rPr>
          <w:rFonts w:cstheme="minorHAnsi"/>
        </w:rPr>
        <w:t>nM</w:t>
      </w:r>
      <w:proofErr w:type="spellEnd"/>
      <w:r w:rsidRPr="0060219D">
        <w:rPr>
          <w:rFonts w:cstheme="minorHAnsi"/>
        </w:rPr>
        <w:t xml:space="preserve"> of DNA was used. The </w:t>
      </w:r>
      <w:proofErr w:type="spellStart"/>
      <w:r w:rsidRPr="0060219D">
        <w:rPr>
          <w:rFonts w:cstheme="minorHAnsi"/>
        </w:rPr>
        <w:t>NovaSeq</w:t>
      </w:r>
      <w:proofErr w:type="spellEnd"/>
      <w:r w:rsidRPr="0060219D">
        <w:rPr>
          <w:rFonts w:cstheme="minorHAnsi"/>
        </w:rPr>
        <w:t xml:space="preserve"> control software NCS v1.7 was used.</w:t>
      </w:r>
    </w:p>
    <w:p w14:paraId="1F4E1339" w14:textId="77777777" w:rsidR="00326760" w:rsidRDefault="00326760" w:rsidP="003E39DC">
      <w:pPr>
        <w:ind w:firstLine="0"/>
      </w:pPr>
    </w:p>
    <w:p w14:paraId="1144421C" w14:textId="77777777" w:rsidR="00326760" w:rsidRDefault="00326760" w:rsidP="003E39DC">
      <w:pPr>
        <w:pStyle w:val="1standard"/>
      </w:pPr>
    </w:p>
    <w:p w14:paraId="02A8DBD5" w14:textId="1F96EA42" w:rsidR="00326760" w:rsidRPr="003A7E0A" w:rsidRDefault="00326760" w:rsidP="003E39DC">
      <w:pPr>
        <w:pStyle w:val="NoSpacing"/>
        <w:spacing w:line="288" w:lineRule="auto"/>
      </w:pPr>
      <w:r w:rsidRPr="00E00A99">
        <w:rPr>
          <w:rFonts w:asciiTheme="minorHAnsi" w:hAnsiTheme="minorHAnsi" w:cstheme="minorHAnsi"/>
          <w:lang w:val="en-GB"/>
        </w:rPr>
        <w:t xml:space="preserve">mRNA sequencing data analysis </w:t>
      </w:r>
    </w:p>
    <w:p w14:paraId="23061B93" w14:textId="77777777" w:rsidR="00326760" w:rsidRPr="004A526A" w:rsidRDefault="00326760" w:rsidP="003E39DC">
      <w:pPr>
        <w:pStyle w:val="1standard"/>
      </w:pPr>
      <w:r>
        <w:t>I</w:t>
      </w:r>
      <w:r w:rsidRPr="006D48F5">
        <w:t xml:space="preserve">mage analysis, base calling, and quality check was performed with the Illumina data analysis pipeline RTA3.4.4 and Bcl2fastq v2.20. Raw sequencing reads may contain low-quality, adaptor-polluted, or high content of unknown base reads. These should be processed to be removed before downstream </w:t>
      </w:r>
      <w:proofErr w:type="spellStart"/>
      <w:r w:rsidRPr="0075094D">
        <w:t>analyze</w:t>
      </w:r>
      <w:r w:rsidRPr="0060219D">
        <w:t>s</w:t>
      </w:r>
      <w:proofErr w:type="spellEnd"/>
      <w:r w:rsidRPr="0060219D">
        <w:t xml:space="preserve">. Sequence reads were trimmed to remove possible adapter sequences using </w:t>
      </w:r>
      <w:proofErr w:type="spellStart"/>
      <w:r w:rsidRPr="0060219D">
        <w:t>cutadapt</w:t>
      </w:r>
      <w:proofErr w:type="spellEnd"/>
      <w:r w:rsidRPr="0060219D">
        <w:t xml:space="preserve"> v2.10. Presumed adapter sequences were removed from the read when the bases matched a sequence in the adapter sequence set (</w:t>
      </w:r>
      <w:proofErr w:type="spellStart"/>
      <w:r w:rsidRPr="0060219D">
        <w:t>TruSeq</w:t>
      </w:r>
      <w:proofErr w:type="spellEnd"/>
      <w:r w:rsidRPr="0060219D">
        <w:t xml:space="preserve"> adapters). </w:t>
      </w:r>
    </w:p>
    <w:p w14:paraId="3C5C9BCA" w14:textId="519DAE0B" w:rsidR="00326760" w:rsidRDefault="00326760" w:rsidP="003E39DC">
      <w:pPr>
        <w:rPr>
          <w:rFonts w:cstheme="minorHAnsi"/>
        </w:rPr>
      </w:pPr>
      <w:r w:rsidRPr="005E1E30">
        <w:rPr>
          <w:rFonts w:cstheme="minorHAnsi"/>
        </w:rPr>
        <w:t>For each sample, the trimmed reads were mapped to the mouse genome GRCm39 (Mus_musculus.GRCm39.dna.primary_</w:t>
      </w:r>
      <w:proofErr w:type="gramStart"/>
      <w:r w:rsidRPr="005E1E30">
        <w:rPr>
          <w:rFonts w:cstheme="minorHAnsi"/>
        </w:rPr>
        <w:t>assembly.fa</w:t>
      </w:r>
      <w:proofErr w:type="gramEnd"/>
      <w:r w:rsidRPr="005E1E30">
        <w:rPr>
          <w:rFonts w:cstheme="minorHAnsi"/>
        </w:rPr>
        <w:t xml:space="preserve">). The reads were mapped to the reference sequence using a short-read aligner based on Burrows—Wheeler Transform (STAR2 v2.5.4) with default settings. The aligner is a splice-aware mapper that detects splice junctions and incorporates them to help align the entire read. Based on the mapped locations in the alignment file the frequency of how often a read was mapped on a transcript was determined with </w:t>
      </w:r>
      <w:proofErr w:type="spellStart"/>
      <w:r w:rsidRPr="005E1E30">
        <w:rPr>
          <w:rFonts w:cstheme="minorHAnsi"/>
        </w:rPr>
        <w:t>HTSeq</w:t>
      </w:r>
      <w:proofErr w:type="spellEnd"/>
      <w:r w:rsidRPr="005E1E30">
        <w:rPr>
          <w:rFonts w:cstheme="minorHAnsi"/>
        </w:rPr>
        <w:t xml:space="preserve"> v0.11.0. The hit counts were summarized and reported using the </w:t>
      </w:r>
      <w:proofErr w:type="spellStart"/>
      <w:r w:rsidRPr="005E1E30">
        <w:rPr>
          <w:rFonts w:cstheme="minorHAnsi"/>
        </w:rPr>
        <w:t>gene_id</w:t>
      </w:r>
      <w:proofErr w:type="spellEnd"/>
      <w:r w:rsidRPr="005E1E30">
        <w:rPr>
          <w:rFonts w:cstheme="minorHAnsi"/>
        </w:rPr>
        <w:t xml:space="preserve"> feature in the annotation file. Only unique reads that fall within </w:t>
      </w:r>
      <w:proofErr w:type="spellStart"/>
      <w:r w:rsidRPr="005E1E30">
        <w:rPr>
          <w:rFonts w:cstheme="minorHAnsi"/>
        </w:rPr>
        <w:t>exonic</w:t>
      </w:r>
      <w:proofErr w:type="spellEnd"/>
      <w:r w:rsidRPr="005E1E30">
        <w:rPr>
          <w:rFonts w:cstheme="minorHAnsi"/>
        </w:rPr>
        <w:t xml:space="preserve"> regions were counted. The counts were saved to count files, which served as input for downstream mRNA-</w:t>
      </w:r>
      <w:proofErr w:type="spellStart"/>
      <w:r w:rsidRPr="005E1E30">
        <w:rPr>
          <w:rFonts w:cstheme="minorHAnsi"/>
        </w:rPr>
        <w:t>seq</w:t>
      </w:r>
      <w:proofErr w:type="spellEnd"/>
      <w:r w:rsidRPr="005E1E30">
        <w:rPr>
          <w:rFonts w:cstheme="minorHAnsi"/>
        </w:rPr>
        <w:t xml:space="preserve"> analysis. </w:t>
      </w:r>
    </w:p>
    <w:p w14:paraId="68AB0C19" w14:textId="68C65776" w:rsidR="008206EC" w:rsidRDefault="008206EC" w:rsidP="008206EC">
      <w:pPr>
        <w:pStyle w:val="1standard"/>
        <w:ind w:firstLine="284"/>
      </w:pPr>
      <w:r>
        <w:t>Differential gene expression analysis (±</w:t>
      </w:r>
      <w:proofErr w:type="spellStart"/>
      <w:r>
        <w:t>logFC</w:t>
      </w:r>
      <w:proofErr w:type="spellEnd"/>
      <w:r>
        <w:t xml:space="preserve"> &gt;1, FDR&lt;0.05) was done using a generalized linear model in </w:t>
      </w:r>
      <w:proofErr w:type="spellStart"/>
      <w:r>
        <w:t>edgeR</w:t>
      </w:r>
      <w:proofErr w:type="spellEnd"/>
      <w:r>
        <w:t xml:space="preserve"> (v3.32</w:t>
      </w:r>
      <w:r>
        <w:rPr>
          <w:color w:val="000000"/>
        </w:rPr>
        <w:t>.1)</w:t>
      </w:r>
      <w:r>
        <w:fldChar w:fldCharType="begin" w:fldLock="1"/>
      </w:r>
      <w:r w:rsidR="005E40D4">
        <w:rPr>
          <w:color w:val="000000"/>
        </w:rPr>
        <w:instrText>ADDIN CSL_CITATION {"citationItems":[{"id":"ITEM-1","itemData":{"DOI":"10.1093/bioinformatics/btp616","ISSN":"14602059","PMID":"19910308","abstract":"It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Press.","author":[{"dropping-particle":"","family":"Robinson","given":"Mark D.","non-dropping-particle":"","parse-names":false,"suffix":""},{"dropping-particle":"","family":"McCarthy","given":"Davis J.","non-dropping-particle":"","parse-names":false,"suffix":""},{"dropping-particle":"","family":"Smyth","given":"Gordon K.","non-dropping-particle":"","parse-names":false,"suffix":""}],"container-title":"Bioinformatics","id":"ITEM-1","issue":"1","issued":{"date-parts":[["2009","11"]]},"page":"139-140","publisher":"Oxford University Press","title":"edgeR: A Bioconductor package for differential expression analysis of digital gene expression data","type":"article-journal","volume":"26"},"uris":["http://www.mendeley.com/documents/?uuid=98cc8b6b-573a-4a1d-8c37-194c6dd9dee1"]}],"mendeley":{"formattedCitation":"&lt;sup&gt;6&lt;/sup&gt;","plainTextFormattedCitation":"6","previouslyFormattedCitation":"(Robinson et al., 2009)"},"properties":{"noteIndex":0},"schema":"https://github.com/citation-style-language/schema/raw/master/csl-citation.json"}</w:instrText>
      </w:r>
      <w:r>
        <w:rPr>
          <w:color w:val="000000"/>
        </w:rPr>
        <w:fldChar w:fldCharType="separate"/>
      </w:r>
      <w:r w:rsidR="005E40D4" w:rsidRPr="005E40D4">
        <w:rPr>
          <w:noProof/>
          <w:color w:val="000000"/>
          <w:vertAlign w:val="superscript"/>
        </w:rPr>
        <w:t>6</w:t>
      </w:r>
      <w:r>
        <w:rPr>
          <w:color w:val="000000"/>
        </w:rPr>
        <w:fldChar w:fldCharType="end"/>
      </w:r>
      <w:r>
        <w:rPr>
          <w:color w:val="000000"/>
        </w:rPr>
        <w:t xml:space="preserve"> </w:t>
      </w:r>
      <w:r>
        <w:t>after exclusion of lowly expressed genes (total count &lt; 1 in more than 2 samples) and normalization using trimmed mean of M-values.</w:t>
      </w:r>
    </w:p>
    <w:p w14:paraId="04FC1359" w14:textId="59ABD4E0" w:rsidR="008206EC" w:rsidRDefault="008206EC" w:rsidP="008206EC">
      <w:pPr>
        <w:rPr>
          <w:rFonts w:cstheme="minorHAnsi"/>
        </w:rPr>
      </w:pPr>
      <w:r>
        <w:t>A signed w</w:t>
      </w:r>
      <w:r>
        <w:rPr>
          <w:rFonts w:cstheme="minorHAnsi"/>
        </w:rPr>
        <w:t>eighted gene co-expression analysis was done only on the P200 samples using the WGCNA package (</w:t>
      </w:r>
      <w:r>
        <w:rPr>
          <w:rFonts w:cstheme="minorHAnsi"/>
          <w:color w:val="000000"/>
        </w:rPr>
        <w:t>v1.70-3)</w:t>
      </w:r>
      <w:r>
        <w:fldChar w:fldCharType="begin" w:fldLock="1"/>
      </w:r>
      <w:r w:rsidR="005E40D4">
        <w:rPr>
          <w:rFonts w:cs="Calibri"/>
          <w:color w:val="000000"/>
        </w:rPr>
        <w:instrText>ADDIN CSL_CITATION {"citationItems":[{"id":"ITEM-1","itemData":{"DOI":"10.1186/1471-2105-9-559","ISSN":"14712105","PMID":"19114008","abstract":"Background: Correlation networks are increasingly being used in bioinformatics applications. For example, weighted gene co-expression network analysis is a systems biology method for describing the correlation patterns among genes across microarray samples. Weighted correlation network analysis (WGCNA) can be used for finding clusters (modules) of highly correlated genes, for summarizing such clusters using the module eigengene or an intramodular hub gene, for relating modules to one another and to external sample traits (using eigengene network methodology), and for calculating module membership measures. Correlation networks facilitate network based gene screening methods that can be used to identify candidate biomarkers or therapeutic targets. These methods have been successfully applied in various biological contexts, e.g. cancer, mouse genetics, yeast genetics, and analysis of brain imaging data. While parts of the correlation network methodology have been described in separate publications, there is a need to provide a user-friendly, comprehensive, and consistent software implementation and an accompanying tutorial. Results: The WGCNA R software package is a comprehensive collection of R functions for performing various aspects of weighted correlation network analysis. The package includes functions for network construction, module detection, gene selection, calculations of topological properties, data simulation, visualization, and interfacing with external software. Along with the R package we also present R software tutorials. While the methods development was motivated by gene expression data, the underlying data mining approach can be applied to a variety of different settings. Conclusion: The WGCNA package provides R functions for weighted correlation network analysis, e.g. co-expression network analysis of gene expression data. The R package along with its source code and additional material are freely available at http://www.genetics.ucla.edu/ labs/horvath/CoexpressionNetwork/Rpackages/WGCNA. © 2008 Langfelder and Horvath; licensee BioMed Central Ltd.","author":[{"dropping-particle":"","family":"Langfelder","given":"Peter","non-dropping-particle":"","parse-names":false,"suffix":""},{"dropping-particle":"","family":"Horvath","given":"Steve","non-dropping-particle":"","parse-names":false,"suffix":""}],"container-title":"BMC Bioinformatics","id":"ITEM-1","issue":"1","issued":{"date-parts":[["2008","12"]]},"page":"559","publisher":"BioMed Central","title":"WGCNA: An R package for weighted correlation network analysis","type":"article-journal","volume":"9"},"uris":["http://www.mendeley.com/documents/?uuid=94e35907-5629-4153-b655-fc8be279584c"]}],"mendeley":{"formattedCitation":"&lt;sup&gt;7&lt;/sup&gt;","plainTextFormattedCitation":"7","previouslyFormattedCitation":"(Langfelder and Horvath, 2008)"},"properties":{"noteIndex":0},"schema":"https://github.com/citation-style-language/schema/raw/master/csl-citation.json"}</w:instrText>
      </w:r>
      <w:r>
        <w:rPr>
          <w:rFonts w:cs="Calibri"/>
          <w:color w:val="000000"/>
        </w:rPr>
        <w:fldChar w:fldCharType="separate"/>
      </w:r>
      <w:r w:rsidR="005E40D4" w:rsidRPr="005E40D4">
        <w:rPr>
          <w:rFonts w:cstheme="minorHAnsi"/>
          <w:noProof/>
          <w:color w:val="000000"/>
          <w:vertAlign w:val="superscript"/>
        </w:rPr>
        <w:t>7</w:t>
      </w:r>
      <w:r>
        <w:rPr>
          <w:rFonts w:cs="Calibri"/>
          <w:color w:val="000000"/>
        </w:rPr>
        <w:fldChar w:fldCharType="end"/>
      </w:r>
      <w:r>
        <w:rPr>
          <w:rFonts w:cstheme="minorHAnsi"/>
          <w:color w:val="000000"/>
        </w:rPr>
        <w:t xml:space="preserve"> on genes (total count &gt;1000)</w:t>
      </w:r>
      <w:r>
        <w:rPr>
          <w:rFonts w:cstheme="minorHAnsi"/>
        </w:rPr>
        <w:t xml:space="preserve"> VST-transformed with DeSeq2 (v1.24.0)</w:t>
      </w:r>
      <w:r>
        <w:fldChar w:fldCharType="begin" w:fldLock="1"/>
      </w:r>
      <w:r w:rsidR="005E40D4">
        <w:rPr>
          <w:rFonts w:cs="Calibri"/>
        </w:rPr>
        <w:instrText>ADDIN CSL_CITATION {"citationItems":[{"id":"ITEM-1","itemData":{"DOI":"10.1186/s13059-014-0550-8","ISSN":"1474760X","PMID":"25516281","abstract":"In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Biology","id":"ITEM-1","issue":"12","issued":{"date-parts":[["2014","12"]]},"page":"550","publisher":"BioMed Central Ltd.","title":"Moderated estimation of fold change and dispersion for RNA-seq data with DESeq2","type":"article-journal","volume":"15"},"uris":["http://www.mendeley.com/documents/?uuid=08781f53-b00d-4a82-951d-50f73bd78b1c"]}],"mendeley":{"formattedCitation":"&lt;sup&gt;8&lt;/sup&gt;","plainTextFormattedCitation":"8","previouslyFormattedCitation":"(Love et al., 2014)"},"properties":{"noteIndex":0},"schema":"https://github.com/citation-style-language/schema/raw/master/csl-citation.json"}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8</w:t>
      </w:r>
      <w:r>
        <w:rPr>
          <w:rFonts w:cs="Calibri"/>
        </w:rPr>
        <w:fldChar w:fldCharType="end"/>
      </w:r>
      <w:r>
        <w:rPr>
          <w:rFonts w:cstheme="minorHAnsi"/>
        </w:rPr>
        <w:t xml:space="preserve">. The adjacency and dissimilarity (1-dissTOM) matrix were calculated with a soft power threshold of 12. Gene modules were identified by hierarchical clustering with a minimal size of 150 genes. Metadata variables (condition, treatment) were converted to binary variables and were correlated to the previously identified module eigengenes, with p-value&lt;0.05 being considered significant. </w:t>
      </w:r>
    </w:p>
    <w:p w14:paraId="557EDEE6" w14:textId="7B47BF24" w:rsidR="008206EC" w:rsidRDefault="008206EC" w:rsidP="008206EC">
      <w:pPr>
        <w:rPr>
          <w:rFonts w:cstheme="minorHAnsi"/>
        </w:rPr>
      </w:pPr>
      <w:r>
        <w:rPr>
          <w:rFonts w:cstheme="minorHAnsi"/>
        </w:rPr>
        <w:t xml:space="preserve">Gene ontology (GO) analysis for differentially expressed genes and gene modules was performed with </w:t>
      </w:r>
      <w:proofErr w:type="spellStart"/>
      <w:r>
        <w:rPr>
          <w:rFonts w:cstheme="minorHAnsi"/>
        </w:rPr>
        <w:t>enrichR</w:t>
      </w:r>
      <w:proofErr w:type="spellEnd"/>
      <w:r>
        <w:rPr>
          <w:rFonts w:cstheme="minorHAnsi"/>
        </w:rPr>
        <w:t xml:space="preserve"> (v3.0)</w:t>
      </w:r>
      <w:r>
        <w:fldChar w:fldCharType="begin" w:fldLock="1"/>
      </w:r>
      <w:r w:rsidR="005E40D4">
        <w:rPr>
          <w:rFonts w:cs="Calibri"/>
        </w:rPr>
        <w:instrText>ADDIN CSL_CITATION {"citationItems":[{"id":"ITEM-1","itemData":{"DOI":"10.1002/cpz1.90","ISSN":"2691-1299","abstract":"Profiling samples from patients, tissues, and cells with genomics, transcriptomics, epigenomics, proteomics, and metabolomics ultimately produces lists of genes and proteins that need to be further analyzed and integrated in the context of known biology. Enrichr (Chen et al., 2013; Kuleshov et al., 2016) is a gene set search engine that enables the querying of hundreds of thousands of annotated gene sets. Enrichr uniquely integrates knowledge from many high-profile projects to provide synthesized information about mammalian genes and gene sets. The platform provides various methods to compute gene set enrichment, and the results are visualized in several interactive ways. This protocol provides a summary of the key features of Enrichr, which include using Enrichr programmatically and embedding an Enrichr button on any website. © 2021 Wiley Periodicals LLC. Basic Protocol 1: Analyzing lists of differentially expressed genes from transcriptomics, proteomics and phosphoproteomics, GWAS studies, or other experimental studies. Basic Protocol 2: Searching Enrichr by a single gene or key search term. Basic Protocol 3: Preparing raw or processed RNA-seq data through BioJupies in preparation for Enrichr analysis. Basic Protocol 4: Analyzing gene sets for model organisms using modEnrichr. Basic Protocol 5: Using Enrichr in Geneshot. Basic Protocol 6: Using Enrichr in ARCHS4. Basic Protocol 7: Using the enrichment analysis visualization Appyter to visualize Enrichr results. Basic Protocol 8: Using the Enrichr API. Basic Protocol 9: Adding an Enrichr button to a website.","author":[{"dropping-particle":"","family":"Xie","given":"Zhuorui","non-dropping-particle":"","parse-names":false,"suffix":""},{"dropping-particle":"","family":"Bailey","given":"Allison","non-dropping-particle":"","parse-names":false,"suffix":""},{"dropping-particle":"V.","family":"Kuleshov","given":"Maxim","non-dropping-particle":"","parse-names":false,"suffix":""},{"dropping-particle":"","family":"Clarke","given":"Daniel J. B.","non-dropping-particle":"","parse-names":false,"suffix":""},{"dropping-particle":"","family":"Evangelista","given":"John E.","non-dropping-particle":"","parse-names":false,"suffix":""},{"dropping-particle":"","family":"Jenkins","given":"Sherry L.","non-dropping-particle":"","parse-names":false,"suffix":""},{"dropping-particle":"","family":"Lachmann","given":"Alexander","non-dropping-particle":"","parse-names":false,"suffix":""},{"dropping-particle":"","family":"Wojciechowicz","given":"Megan L.","non-dropping-particle":"","parse-names":false,"suffix":""},{"dropping-particle":"","family":"Kropiwnicki","given":"Eryk","non-dropping-particle":"","parse-names":false,"suffix":""},{"dropping-particle":"","family":"Jagodnik","given":"Kathleen M.","non-dropping-particle":"","parse-names":false,"suffix":""},{"dropping-particle":"","family":"Jeon","given":"Minji","non-dropping-particle":"","parse-names":false,"suffix":""},{"dropping-particle":"","family":"Ma'ayan","given":"Avi","non-dropping-particle":"","parse-names":false,"suffix":""}],"container-title":"Current Protocols","id":"ITEM-1","issue":"3","issued":{"date-parts":[["2021","3"]]},"page":"e90","publisher":"Blackwell Publishing Inc.","title":"Gene Set Knowledge Discovery with Enrichr","type":"article-journal","volume":"1"},"uris":["http://www.mendeley.com/documents/?uuid=16b415a2-c518-4fe5-b552-62adb9d99947"]}],"mendeley":{"formattedCitation":"&lt;sup&gt;9&lt;/sup&gt;","plainTextFormattedCitation":"9","previouslyFormattedCitation":"(Xie et al., 2021)"},"properties":{"noteIndex":0},"schema":"https://github.com/citation-style-language/schema/raw/master/csl-citation.json"}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9</w:t>
      </w:r>
      <w:r>
        <w:rPr>
          <w:rFonts w:cs="Calibri"/>
        </w:rPr>
        <w:fldChar w:fldCharType="end"/>
      </w:r>
      <w:r>
        <w:rPr>
          <w:rFonts w:cstheme="minorHAnsi"/>
        </w:rPr>
        <w:t xml:space="preserve"> based on the  "GO_Biological_Process_2021" database. Enrichment was based on adjusted p-value&lt;0.05. When no GO terms were enriched with an adjusted p-value&lt;0.05, GO terms with a p-value&lt;0.05 were reported. GO terms shown in Figure 2 and 3 were reduced into parent terms using a semantic similarity matrix using the </w:t>
      </w:r>
      <w:proofErr w:type="spellStart"/>
      <w:r>
        <w:rPr>
          <w:rFonts w:cstheme="minorHAnsi"/>
        </w:rPr>
        <w:t>rrvgo</w:t>
      </w:r>
      <w:proofErr w:type="spellEnd"/>
      <w:r>
        <w:rPr>
          <w:rFonts w:cstheme="minorHAnsi"/>
        </w:rPr>
        <w:t xml:space="preserve"> package (v1.2.0)</w:t>
      </w:r>
      <w:r>
        <w:fldChar w:fldCharType="begin" w:fldLock="1"/>
      </w:r>
      <w:r w:rsidR="005E40D4">
        <w:rPr>
          <w:rFonts w:cs="Calibri"/>
        </w:rPr>
        <w:instrText>ADDIN CSL_CITATION {"citationItems":[{"id":"ITEM-1","itemData":{"author":[{"dropping-particle":"","family":"Sayols","given":"Sergi","non-dropping-particle":"","parse-names":false,"suffix":""}],"id":"ITEM-1","issued":{"date-parts":[["2020"]]},"title":"rrvgo: a Bioconductor package to reduce and visualize Gene Ontology terms","type":"article-journal"},"uris":["http://www.mendeley.com/documents/?uuid=ff437644-1493-4d58-ad0d-2cbb5f823b14"]}],"mendeley":{"formattedCitation":"&lt;sup&gt;10&lt;/sup&gt;","plainTextFormattedCitation":"10","previouslyFormattedCitation":"(Sayols, 2020)"},"properties":{"noteIndex":0},"schema":"https://github.com/citation-style-language/schema/raw/master/csl-citation.json"}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10</w:t>
      </w:r>
      <w:r>
        <w:rPr>
          <w:rFonts w:cs="Calibri"/>
        </w:rPr>
        <w:fldChar w:fldCharType="end"/>
      </w:r>
      <w:r>
        <w:rPr>
          <w:rFonts w:cstheme="minorHAnsi"/>
        </w:rPr>
        <w:t xml:space="preserve">. The sum of total gene counts of all GO terms within one parent term was calculated and reported. Certain GO terms are reported in-text with their associated genes; for terms with &gt;4 associated genes, the top 5 are listed based on absolute </w:t>
      </w:r>
      <w:proofErr w:type="spellStart"/>
      <w:r>
        <w:rPr>
          <w:rFonts w:cstheme="minorHAnsi"/>
        </w:rPr>
        <w:t>logFC</w:t>
      </w:r>
      <w:proofErr w:type="spellEnd"/>
      <w:r>
        <w:rPr>
          <w:rFonts w:cstheme="minorHAnsi"/>
        </w:rPr>
        <w:t>.</w:t>
      </w:r>
    </w:p>
    <w:p w14:paraId="292AC3EC" w14:textId="21E16507" w:rsidR="008206EC" w:rsidRPr="005E1E30" w:rsidRDefault="008206EC" w:rsidP="0022197E">
      <w:pPr>
        <w:rPr>
          <w:rFonts w:cstheme="minorHAnsi"/>
        </w:rPr>
      </w:pPr>
      <w:r>
        <w:rPr>
          <w:rFonts w:cstheme="minorHAnsi"/>
        </w:rPr>
        <w:t xml:space="preserve">Heatmap clustering was performed using the ward. D2 clustering method and Manhattan distance as clustering metrics, and visualized with </w:t>
      </w:r>
      <w:proofErr w:type="spellStart"/>
      <w:r>
        <w:rPr>
          <w:rFonts w:cstheme="minorHAnsi"/>
          <w:color w:val="000000"/>
        </w:rPr>
        <w:t>pheatmap</w:t>
      </w:r>
      <w:proofErr w:type="spellEnd"/>
      <w:r>
        <w:rPr>
          <w:rFonts w:cstheme="minorHAnsi"/>
          <w:color w:val="000000"/>
        </w:rPr>
        <w:t xml:space="preserve"> (v1.0.12) </w:t>
      </w:r>
      <w:r>
        <w:fldChar w:fldCharType="begin" w:fldLock="1"/>
      </w:r>
      <w:r w:rsidR="005E40D4">
        <w:rPr>
          <w:rFonts w:cs="Calibri"/>
          <w:color w:val="000000"/>
        </w:rPr>
        <w:instrText>ADDIN CSL_CITATION {"citationItems":[{"id":"ITEM-1","itemData":{"author":[{"dropping-particle":"","family":"Kolde","given":"R","non-dropping-particle":"","parse-names":false,"suffix":""}],"id":"ITEM-1","issued":{"date-parts":[["2019"]]},"title":"pheatmap: Pretty Heatmaps. R package version 1.0.12","type":"article-journal"},"uris":["http://www.mendeley.com/documents/?uuid=e9e21f66-4356-48c7-9e38-7ad9fd866e73"]}],"mendeley":{"formattedCitation":"&lt;sup&gt;11&lt;/sup&gt;","plainTextFormattedCitation":"11","previouslyFormattedCitation":"(Kolde, 2019)"},"properties":{"noteIndex":0},"schema":"https://github.com/citation-style-language/schema/raw/master/csl-citation.json"}</w:instrText>
      </w:r>
      <w:r>
        <w:rPr>
          <w:rFonts w:cs="Calibri"/>
          <w:color w:val="000000"/>
        </w:rPr>
        <w:fldChar w:fldCharType="separate"/>
      </w:r>
      <w:r w:rsidR="005E40D4" w:rsidRPr="005E40D4">
        <w:rPr>
          <w:rFonts w:cstheme="minorHAnsi"/>
          <w:noProof/>
          <w:color w:val="000000"/>
          <w:vertAlign w:val="superscript"/>
        </w:rPr>
        <w:t>11</w:t>
      </w:r>
      <w:r>
        <w:rPr>
          <w:rFonts w:cs="Calibri"/>
          <w:color w:val="000000"/>
        </w:rPr>
        <w:fldChar w:fldCharType="end"/>
      </w:r>
      <w:r>
        <w:rPr>
          <w:rFonts w:cstheme="minorHAnsi"/>
          <w:color w:val="000000"/>
        </w:rPr>
        <w:t xml:space="preserve">. </w:t>
      </w:r>
      <w:r>
        <w:rPr>
          <w:rFonts w:cstheme="minorHAnsi"/>
        </w:rPr>
        <w:t xml:space="preserve">Calculation of Pearson correlation between the first six principal components (PC) and experimental variables (age, condition, treatment), was done with the </w:t>
      </w:r>
      <w:proofErr w:type="spellStart"/>
      <w:r>
        <w:rPr>
          <w:rFonts w:cstheme="minorHAnsi"/>
        </w:rPr>
        <w:t>eigencorplot</w:t>
      </w:r>
      <w:proofErr w:type="spellEnd"/>
      <w:r>
        <w:rPr>
          <w:rFonts w:cstheme="minorHAnsi"/>
        </w:rPr>
        <w:t xml:space="preserve"> function of </w:t>
      </w:r>
      <w:proofErr w:type="spellStart"/>
      <w:r>
        <w:rPr>
          <w:rFonts w:cstheme="minorHAnsi"/>
        </w:rPr>
        <w:t>PCAtools</w:t>
      </w:r>
      <w:proofErr w:type="spellEnd"/>
      <w:r>
        <w:rPr>
          <w:rFonts w:cstheme="minorHAnsi"/>
        </w:rPr>
        <w:t xml:space="preserve"> (v2.2.0)</w:t>
      </w:r>
      <w:r>
        <w:fldChar w:fldCharType="begin" w:fldLock="1"/>
      </w:r>
      <w:r w:rsidR="005E40D4">
        <w:rPr>
          <w:rFonts w:cs="Calibri"/>
        </w:rPr>
        <w:instrText>ADDIN CSL_CITATION {"citationItems":[{"id":"ITEM-1","itemData":{"author":[{"dropping-particle":"","family":"Blighe, Kevin, and Lun","given":"Aaron","non-dropping-particle":"","parse-names":false,"suffix":""}],"id":"ITEM-1","issued":{"date-parts":[["2019"]]},"title":"PCAtools: everything Principal Components Analysis.","type":"webpage"},"uris":["http://www.mendeley.com/documents/?uuid=ae393c77-fd87-4cd8-bd54-fc21dbf78fa8"]}],"mendeley":{"formattedCitation":"&lt;sup&gt;12&lt;/sup&gt;","plainTextFormattedCitation":"12","previouslyFormattedCitation":"(Blighe, Kevin, and Lun, 2019)"},"properties":{"noteIndex":0},"schema":"https://github.com/citation-style-language/schema/raw/master/csl-citation.json"}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12</w:t>
      </w:r>
      <w:r>
        <w:rPr>
          <w:rFonts w:cs="Calibri"/>
        </w:rPr>
        <w:fldChar w:fldCharType="end"/>
      </w:r>
      <w:r>
        <w:rPr>
          <w:rFonts w:cstheme="minorHAnsi"/>
        </w:rPr>
        <w:t xml:space="preserve">, correcting for multiple testing using the </w:t>
      </w:r>
      <w:proofErr w:type="spellStart"/>
      <w:r>
        <w:rPr>
          <w:rFonts w:cstheme="minorHAnsi"/>
        </w:rPr>
        <w:t>Benjamini</w:t>
      </w:r>
      <w:proofErr w:type="spellEnd"/>
      <w:r>
        <w:rPr>
          <w:rFonts w:cstheme="minorHAnsi"/>
        </w:rPr>
        <w:t xml:space="preserve">-Hochberg procedure. The first six PCs were used since they were identified </w:t>
      </w:r>
      <w:r>
        <w:rPr>
          <w:rFonts w:cstheme="minorHAnsi"/>
        </w:rPr>
        <w:lastRenderedPageBreak/>
        <w:t>with the Elbow method and Horn’s parallel analysis to explain the most variance in our data.</w:t>
      </w:r>
      <w:r>
        <w:rPr>
          <w:rFonts w:cstheme="minorHAnsi"/>
          <w:color w:val="FF0000"/>
        </w:rPr>
        <w:t xml:space="preserve"> </w:t>
      </w:r>
      <w:r>
        <w:rPr>
          <w:rFonts w:cstheme="minorHAnsi"/>
        </w:rPr>
        <w:t xml:space="preserve">Venn diagrams were made with </w:t>
      </w:r>
      <w:proofErr w:type="spellStart"/>
      <w:r>
        <w:rPr>
          <w:rFonts w:cstheme="minorHAnsi"/>
        </w:rPr>
        <w:t>VennDiagram</w:t>
      </w:r>
      <w:proofErr w:type="spellEnd"/>
      <w:r>
        <w:rPr>
          <w:rFonts w:cstheme="minorHAnsi"/>
        </w:rPr>
        <w:t xml:space="preserve"> (v1.6.20)</w:t>
      </w:r>
      <w:r>
        <w:fldChar w:fldCharType="begin" w:fldLock="1"/>
      </w:r>
      <w:r w:rsidR="005E40D4">
        <w:rPr>
          <w:rFonts w:cs="Calibri"/>
        </w:rPr>
        <w:instrText>ADDIN CSL_CITATION {"citationItems":[{"id":"ITEM-1","itemData":{"DOI":"10.1186/1471-2105-12-35","ISSN":"14712105","PMID":"21269502","abstract":"Background: Visualization of orthogonal (disjoint) or overlapping datasets is a common task in bioinformatics. Few tools exist to automate the generation of extensively-customizable, high-resolution Venn and Euler diagrams in the R statistical environment. To fill this gap we introduce VennDiagram, an R package that enables the automated generation of highly-customizable, high-resolution Venn diagrams with up to four sets and Euler diagrams with up to three sets.Results: The VennDiagram package offers the user the ability to customize essentially all aspects of the generated diagrams, including font sizes, label styles and locations, and the overall rotation of the diagram. We have implemented scaled Venn and Euler diagrams, which increase graphical accuracy and visual appeal. Diagrams are generated as high-definition TIFF files, simplifying the process of creating publication-quality figures and easing integration with established analysis pipelines.Conclusions: The VennDiagram package allows the creation of high quality Venn and Euler diagrams in the R statistical environment. © 2011 Chen and Boutros; licensee BioMed Central Ltd.","author":[{"dropping-particle":"","family":"Chen","given":"Hanbo","non-dropping-particle":"","parse-names":false,"suffix":""},{"dropping-particle":"","family":"Boutros","given":"Paul C.","non-dropping-particle":"","parse-names":false,"suffix":""}],"container-title":"BMC Bioinformatics","id":"ITEM-1","issued":{"date-parts":[["2011","1"]]},"publisher":"BMC Bioinformatics","title":"VennDiagram: A package for the generation of highly-customizable Venn and Euler diagrams in R","type":"article-journal","volume":"12"},"uris":["http://www.mendeley.com/documents/?uuid=4047ffd4-413a-40c3-bb8b-c7d7379dd3bc"]}],"mendeley":{"formattedCitation":"&lt;sup&gt;13&lt;/sup&gt;","plainTextFormattedCitation":"13","previouslyFormattedCitation":"(Chen and Boutros, 2011)"},"properties":{"noteIndex":0},"schema":"https://github.com/citation-style-language/schema/raw/master/csl-citation.json"}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13</w:t>
      </w:r>
      <w:r>
        <w:rPr>
          <w:rFonts w:cs="Calibri"/>
        </w:rPr>
        <w:fldChar w:fldCharType="end"/>
      </w:r>
      <w:r>
        <w:rPr>
          <w:rFonts w:cstheme="minorHAnsi"/>
        </w:rPr>
        <w:t xml:space="preserve">. Alluvial plots were generated with </w:t>
      </w:r>
      <w:proofErr w:type="spellStart"/>
      <w:r>
        <w:rPr>
          <w:rFonts w:cstheme="minorHAnsi"/>
        </w:rPr>
        <w:t>ggalluvial</w:t>
      </w:r>
      <w:proofErr w:type="spellEnd"/>
      <w:r>
        <w:rPr>
          <w:rFonts w:cstheme="minorHAnsi"/>
        </w:rPr>
        <w:t xml:space="preserve"> (v0.12.3) </w:t>
      </w:r>
      <w:r>
        <w:fldChar w:fldCharType="begin" w:fldLock="1"/>
      </w:r>
      <w:r w:rsidR="005E40D4">
        <w:rPr>
          <w:rFonts w:cs="Calibri"/>
        </w:rPr>
        <w:instrText>ADDIN CSL_CITATION {"citationItems":[{"id":"ITEM-1","itemData":{"author":[{"dropping-particle":"","family":"Brunson","given":"Jason Cory","non-dropping-particle":"","parse-names":false,"suffix":""}],"id":"ITEM-1","issued":{"date-parts":[["2020"]]},"title":"ggalluvial: Alluvial Plots in 'ggplot2'. R package version 0.12.3. ","type":"webpage"},"uris":["http://www.mendeley.com/documents/?uuid=4713958d-47f8-45f8-a332-2b366bed9f24"]}],"mendeley":{"formattedCitation":"&lt;sup&gt;14&lt;/sup&gt;","plainTextFormattedCitation":"14","previouslyFormattedCitation":"(Brunson, 2020)"},"properties":{"noteIndex":0},"schema":"https://github.com/citation-style-language/schema/raw/master/csl-citation.json"}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14</w:t>
      </w:r>
      <w:r>
        <w:rPr>
          <w:rFonts w:cs="Calibri"/>
        </w:rPr>
        <w:fldChar w:fldCharType="end"/>
      </w:r>
      <w:r>
        <w:rPr>
          <w:rFonts w:cstheme="minorHAnsi"/>
        </w:rPr>
        <w:t>.  All other plots were generated with ggplot2 (v3.3.3.9000)</w:t>
      </w:r>
      <w:r>
        <w:fldChar w:fldCharType="begin" w:fldLock="1"/>
      </w:r>
      <w:r w:rsidR="005E40D4">
        <w:rPr>
          <w:rFonts w:cs="Calibri"/>
        </w:rPr>
        <w:instrText>ADDIN CSL_CITATION {"citationItems":[{"id":"ITEM-1","itemData":{"author":[{"dropping-particle":"","family":"Wickham","given":"H","non-dropping-particle":"","parse-names":false,"suffix":""}],"id":"ITEM-1","issued":{"date-parts":[["2016"]]},"title":"ggplot2: elegant graphics for data analysis","type":"article"},"uris":["http://www.mendeley.com/documents/?uuid=c0c5b54b-d857-47be-a4e3-9a800494b0a0"]}],"mendeley":{"formattedCitation":"&lt;sup&gt;15&lt;/sup&gt;","plainTextFormattedCitation":"15","previouslyFormattedCitation":"(Wickham, 2016)"},"properties":{"noteIndex":0},"schema":"https://github.com/citation-style-language/schema/raw/master/csl-citation.json"}</w:instrText>
      </w:r>
      <w:r>
        <w:rPr>
          <w:rFonts w:cs="Calibri"/>
        </w:rPr>
        <w:fldChar w:fldCharType="separate"/>
      </w:r>
      <w:r w:rsidR="005E40D4" w:rsidRPr="005E40D4">
        <w:rPr>
          <w:rFonts w:cstheme="minorHAnsi"/>
          <w:noProof/>
          <w:vertAlign w:val="superscript"/>
        </w:rPr>
        <w:t>15</w:t>
      </w:r>
      <w:r>
        <w:rPr>
          <w:rFonts w:cs="Calibri"/>
        </w:rPr>
        <w:fldChar w:fldCharType="end"/>
      </w:r>
      <w:r>
        <w:rPr>
          <w:rFonts w:cstheme="minorHAnsi"/>
        </w:rPr>
        <w:t>.</w:t>
      </w:r>
    </w:p>
    <w:p w14:paraId="47D16681" w14:textId="77777777" w:rsidR="00326760" w:rsidRDefault="00326760" w:rsidP="003E39DC">
      <w:pPr>
        <w:ind w:firstLine="0"/>
      </w:pPr>
    </w:p>
    <w:p w14:paraId="47563FB3" w14:textId="77777777" w:rsidR="00326760" w:rsidRPr="0060219D" w:rsidRDefault="00326760" w:rsidP="003E39DC">
      <w:pPr>
        <w:pStyle w:val="1standard"/>
        <w:rPr>
          <w:b/>
          <w:bCs/>
        </w:rPr>
      </w:pPr>
      <w:r>
        <w:rPr>
          <w:b/>
          <w:bCs/>
        </w:rPr>
        <w:t>Hippocampal s</w:t>
      </w:r>
      <w:r w:rsidRPr="0075094D">
        <w:rPr>
          <w:b/>
          <w:bCs/>
        </w:rPr>
        <w:t>ynaptosome isolation and conjugation</w:t>
      </w:r>
    </w:p>
    <w:p w14:paraId="52D691E3" w14:textId="77777777" w:rsidR="00326760" w:rsidRPr="000616E3" w:rsidRDefault="00326760" w:rsidP="003E39DC">
      <w:pPr>
        <w:pStyle w:val="1standard"/>
      </w:pPr>
      <w:r w:rsidRPr="0060219D">
        <w:rPr>
          <w:lang w:val="en-US"/>
        </w:rPr>
        <w:t>Hippocampi from P9 or P150 mice were diss</w:t>
      </w:r>
      <w:r w:rsidRPr="004A526A">
        <w:rPr>
          <w:lang w:val="en-US"/>
        </w:rPr>
        <w:t xml:space="preserve">ected and stored </w:t>
      </w:r>
      <w:r w:rsidRPr="000616E3">
        <w:rPr>
          <w:lang w:val="en-US"/>
        </w:rPr>
        <w:t xml:space="preserve">on dry ice until synaptosome isolation based on </w:t>
      </w:r>
      <w:r>
        <w:rPr>
          <w:lang w:val="en-US"/>
        </w:rPr>
        <w:t xml:space="preserve">a published </w:t>
      </w:r>
      <w:r w:rsidRPr="000616E3">
        <w:rPr>
          <w:lang w:val="en-US"/>
        </w:rPr>
        <w:t xml:space="preserve">protocol </w:t>
      </w:r>
      <w:r>
        <w:rPr>
          <w:lang w:val="en-US"/>
        </w:rPr>
        <w:fldChar w:fldCharType="begin" w:fldLock="1"/>
      </w:r>
      <w:r>
        <w:rPr>
          <w:lang w:val="en-US"/>
        </w:rPr>
        <w:instrText>ADDIN CSL_CITATION {"citationItems":[{"id":"ITEM-1","itemData":{"DOI":"10.1126/sciadv.aax5783","ISSN":"23752548","PMID":"32128395","abstract":"Synaptic transmission is the predominant form of communication in the brain. It requires functionally specialized molecular machineries constituted by thousands of interacting synaptic proteins. Here, we made use of recent advances in cross-linking mass spectrometry (XL-MS) in combination with biochemical and computational approaches to reveal the architecture and assembly of synaptic protein complexes from mouse brain hippocampus and cerebellum. We obtained 11,999 unique lysine-lysine cross-links, comprising connections within and between 2362 proteins. This extensive collection was the basis to identify novel protein partners, to model protein conformational dynamics, and to delineate within and between protein interactions of main synaptic constituents, such as Camk2, the AMPA-type glutamate receptor, and associated proteins. Using XL-MS, we generated a protein interaction resource that we made easily accessible via a web-based platform (http://xlink.cncr.nl) to provide new entries into exploration of all protein interactions identified.","author":[{"dropping-particle":"","family":"Gonzalez-Lozano","given":"M. A.","non-dropping-particle":"","parse-names":false,"suffix":""},{"dropping-particle":"","family":"Koopmans","given":"F.","non-dropping-particle":"","parse-names":false,"suffix":""},{"dropping-particle":"","family":"Sullivan","given":"P. F.","non-dropping-particle":"","parse-names":false,"suffix":""},{"dropping-particle":"","family":"Protze","given":"J.","non-dropping-particle":"","parse-names":false,"suffix":""},{"dropping-particle":"","family":"Krause","given":"G.","non-dropping-particle":"","parse-names":false,"suffix":""},{"dropping-particle":"","family":"Verhage","given":"M.","non-dropping-particle":"","parse-names":false,"suffix":""},{"dropping-particle":"","family":"Li","given":"K. W.","non-dropping-particle":"","parse-names":false,"suffix":""},{"dropping-particle":"","family":"Liu","given":"F.","non-dropping-particle":"","parse-names":false,"suffix":""},{"dropping-particle":"","family":"Smit","given":"A. B.","non-dropping-particle":"","parse-names":false,"suffix":""}],"container-title":"Science Advances","id":"ITEM-1","issue":"8","issued":{"date-parts":[["2020"]]},"publisher":"American Association for the Advancement of Science","title":"Stitching the synapse: Cross-linking mass spectrometry into resolving synaptic protein interactions","type":"article-journal","volume":"6"},"uris":["http://www.mendeley.com/documents/?uuid=134a7877-1649-3321-b113-54a39b063fec"]}],"mendeley":{"formattedCitation":"&lt;sup&gt;16&lt;/sup&gt;","plainTextFormattedCitation":"16","previouslyFormattedCitation":"&lt;sup&gt;16&lt;/sup&gt;"},"properties":{"noteIndex":0},"schema":"https://github.com/citation-style-language/schema/raw/master/csl-citation.json"}</w:instrText>
      </w:r>
      <w:r>
        <w:rPr>
          <w:lang w:val="en-US"/>
        </w:rPr>
        <w:fldChar w:fldCharType="separate"/>
      </w:r>
      <w:r w:rsidRPr="007471CD">
        <w:rPr>
          <w:noProof/>
          <w:vertAlign w:val="superscript"/>
          <w:lang w:val="en-US"/>
        </w:rPr>
        <w:t>16</w:t>
      </w:r>
      <w:r>
        <w:rPr>
          <w:lang w:val="en-US"/>
        </w:rPr>
        <w:fldChar w:fldCharType="end"/>
      </w:r>
      <w:r w:rsidRPr="006D48F5">
        <w:rPr>
          <w:lang w:val="en-US"/>
        </w:rPr>
        <w:t xml:space="preserve">. </w:t>
      </w:r>
      <w:r w:rsidRPr="0075094D">
        <w:rPr>
          <w:lang w:val="en-US"/>
        </w:rPr>
        <w:t xml:space="preserve">Hippocampi were homogenized </w:t>
      </w:r>
      <w:r w:rsidRPr="0060219D">
        <w:rPr>
          <w:lang w:val="en-US"/>
        </w:rPr>
        <w:t xml:space="preserve">in a buffer </w:t>
      </w:r>
      <w:r w:rsidRPr="0060219D">
        <w:t>(0.32 M sucrose</w:t>
      </w:r>
      <w:r w:rsidRPr="004A526A">
        <w:t xml:space="preserve"> +</w:t>
      </w:r>
      <w:r w:rsidRPr="000616E3">
        <w:t xml:space="preserve"> 5 mM HEPES in 1x DPBS pH=7.4, with protease inhibitor cocktail </w:t>
      </w:r>
      <w:r>
        <w:t xml:space="preserve">Roche, </w:t>
      </w:r>
      <w:r w:rsidRPr="00F739E1">
        <w:t>04693159001</w:t>
      </w:r>
      <w:r w:rsidRPr="000616E3">
        <w:t xml:space="preserve">) </w:t>
      </w:r>
      <w:r w:rsidRPr="000616E3">
        <w:rPr>
          <w:lang w:val="en-US"/>
        </w:rPr>
        <w:t xml:space="preserve">using a tight Dounce pestle and centrifuged at 1000g for 10min at 4˚C. The supernatant was overlaid on a discontinuous 0.85M/1.2M sucrose gradient and ultracentrifuged at </w:t>
      </w:r>
      <w:r w:rsidRPr="000616E3">
        <w:t>100,000g for 2 h. The 0.85M/1.2M interphase was collected and diluted with more homogenization buffer, and the synaptosomes were precipitated out by ultracentrifugation 76,000g for 30 min. Synaptosomes were resuspended in 100µl 0.1M NaHCO</w:t>
      </w:r>
      <w:r w:rsidRPr="000616E3">
        <w:rPr>
          <w:vertAlign w:val="subscript"/>
        </w:rPr>
        <w:t>3</w:t>
      </w:r>
      <w:r w:rsidRPr="000616E3">
        <w:t xml:space="preserve">, and their concentrations determined via BCA Assay </w:t>
      </w:r>
      <w:r w:rsidRPr="00920039">
        <w:t>(Thermo Scientific, 23225)</w:t>
      </w:r>
      <w:r w:rsidRPr="000616E3">
        <w:t xml:space="preserve">. Synaptosomes were conjugated to </w:t>
      </w:r>
      <w:proofErr w:type="spellStart"/>
      <w:r w:rsidRPr="000616E3">
        <w:t>phRodo</w:t>
      </w:r>
      <w:proofErr w:type="spellEnd"/>
      <w:r w:rsidRPr="000616E3">
        <w:t xml:space="preserve">-red (P36600, Invitrogen) according to manufacturer instructions, and diluted to a concentration of 7.5µg/µl. </w:t>
      </w:r>
    </w:p>
    <w:p w14:paraId="0CA7A5D5" w14:textId="77777777" w:rsidR="00326760" w:rsidRDefault="00326760" w:rsidP="003E39DC">
      <w:pPr>
        <w:ind w:firstLine="0"/>
      </w:pPr>
    </w:p>
    <w:p w14:paraId="1691933B" w14:textId="77777777" w:rsidR="00326760" w:rsidRPr="0060219D" w:rsidRDefault="00326760" w:rsidP="003E39DC">
      <w:pPr>
        <w:pStyle w:val="1standard"/>
        <w:rPr>
          <w:b/>
          <w:bCs/>
        </w:rPr>
      </w:pPr>
      <w:r>
        <w:rPr>
          <w:b/>
          <w:bCs/>
        </w:rPr>
        <w:t xml:space="preserve">Microglia enrichment for ex </w:t>
      </w:r>
      <w:r w:rsidRPr="006D48F5">
        <w:rPr>
          <w:b/>
          <w:bCs/>
        </w:rPr>
        <w:t xml:space="preserve">vivo </w:t>
      </w:r>
      <w:r w:rsidRPr="0060219D">
        <w:rPr>
          <w:b/>
          <w:bCs/>
        </w:rPr>
        <w:t>phagocytosis assay</w:t>
      </w:r>
    </w:p>
    <w:p w14:paraId="69C9F069" w14:textId="5B8DEC07" w:rsidR="00326760" w:rsidRPr="00E00A99" w:rsidRDefault="00326760" w:rsidP="00C224BF">
      <w:pPr>
        <w:ind w:firstLine="0"/>
      </w:pPr>
      <w:r>
        <w:rPr>
          <w:rFonts w:cstheme="minorHAnsi"/>
          <w:lang w:val="en-US"/>
        </w:rPr>
        <w:t xml:space="preserve">After sacrifice </w:t>
      </w:r>
      <w:r w:rsidRPr="000616E3">
        <w:rPr>
          <w:rFonts w:cstheme="minorHAnsi"/>
          <w:lang w:val="uz-Cyrl-UZ"/>
        </w:rPr>
        <w:t>via rapid decapitation, whole brains (pups) or half brains from the cortex until the midbrain (adults) were collected into medium A</w:t>
      </w:r>
      <w:r w:rsidR="00C224BF">
        <w:rPr>
          <w:rFonts w:cstheme="minorHAnsi"/>
          <w:lang w:val="en-US"/>
        </w:rPr>
        <w:t>, consisting of 1x</w:t>
      </w:r>
      <w:r w:rsidRPr="000616E3">
        <w:rPr>
          <w:rFonts w:cstheme="minorHAnsi"/>
          <w:lang w:val="uz-Cyrl-UZ"/>
        </w:rPr>
        <w:t xml:space="preserve"> </w:t>
      </w:r>
      <w:r w:rsidR="00C224BF" w:rsidRPr="0060219D">
        <w:rPr>
          <w:rFonts w:cstheme="minorHAnsi"/>
        </w:rPr>
        <w:t xml:space="preserve">HBSS (Gibco, 14170-088) </w:t>
      </w:r>
      <w:r w:rsidR="00C224BF">
        <w:rPr>
          <w:rFonts w:cstheme="minorHAnsi"/>
        </w:rPr>
        <w:t xml:space="preserve">with 15mM </w:t>
      </w:r>
      <w:r w:rsidR="00C224BF" w:rsidRPr="0060219D">
        <w:rPr>
          <w:rFonts w:cstheme="minorHAnsi"/>
        </w:rPr>
        <w:t>HEPES (Lonza, BE17-737E)</w:t>
      </w:r>
      <w:r w:rsidR="00C224BF" w:rsidRPr="004A526A">
        <w:rPr>
          <w:rFonts w:cstheme="minorHAnsi"/>
        </w:rPr>
        <w:t xml:space="preserve">, </w:t>
      </w:r>
      <w:r w:rsidR="00C224BF" w:rsidRPr="000616E3">
        <w:rPr>
          <w:rFonts w:cstheme="minorHAnsi"/>
        </w:rPr>
        <w:t>and 0.6</w:t>
      </w:r>
      <w:r w:rsidR="00C224BF">
        <w:rPr>
          <w:rFonts w:cstheme="minorHAnsi"/>
        </w:rPr>
        <w:t xml:space="preserve"> </w:t>
      </w:r>
      <w:r w:rsidR="00C224BF" w:rsidRPr="000616E3">
        <w:rPr>
          <w:rFonts w:cstheme="minorHAnsi"/>
        </w:rPr>
        <w:t>% glucose (Sigma-Aldrich, G8769)</w:t>
      </w:r>
      <w:r w:rsidR="00C224BF">
        <w:rPr>
          <w:rFonts w:cstheme="minorHAnsi"/>
        </w:rPr>
        <w:t>.</w:t>
      </w:r>
      <w:r w:rsidRPr="000616E3">
        <w:rPr>
          <w:rFonts w:cstheme="minorHAnsi"/>
          <w:lang w:val="uz-Cyrl-UZ"/>
        </w:rPr>
        <w:t xml:space="preserve"> The brains were homogenized using a</w:t>
      </w:r>
      <w:r w:rsidRPr="000616E3">
        <w:rPr>
          <w:rFonts w:cstheme="minorHAnsi"/>
          <w:lang w:val="en-US"/>
        </w:rPr>
        <w:t xml:space="preserve"> loose</w:t>
      </w:r>
      <w:r w:rsidRPr="000616E3">
        <w:rPr>
          <w:rFonts w:cstheme="minorHAnsi"/>
          <w:lang w:val="uz-Cyrl-UZ"/>
        </w:rPr>
        <w:t xml:space="preserve"> Dounce </w:t>
      </w:r>
      <w:r w:rsidRPr="000616E3">
        <w:rPr>
          <w:rFonts w:cstheme="minorHAnsi"/>
          <w:lang w:val="en-US"/>
        </w:rPr>
        <w:t xml:space="preserve">pestle </w:t>
      </w:r>
      <w:r w:rsidRPr="000616E3">
        <w:rPr>
          <w:rFonts w:cstheme="minorHAnsi"/>
          <w:lang w:val="uz-Cyrl-UZ"/>
        </w:rPr>
        <w:t>on ice, before passing through a pre-wet 70</w:t>
      </w:r>
      <w:r w:rsidR="006D55EA">
        <w:rPr>
          <w:rFonts w:cstheme="minorHAnsi"/>
          <w:lang w:val="de-DE"/>
        </w:rPr>
        <w:t xml:space="preserve"> </w:t>
      </w:r>
      <w:r w:rsidRPr="000616E3">
        <w:rPr>
          <w:rFonts w:cstheme="minorHAnsi"/>
          <w:lang w:val="uz-Cyrl-UZ"/>
        </w:rPr>
        <w:t xml:space="preserve">µm filter. After </w:t>
      </w:r>
      <w:r w:rsidRPr="000616E3">
        <w:rPr>
          <w:rFonts w:cstheme="minorHAnsi"/>
          <w:lang w:val="en-US"/>
        </w:rPr>
        <w:t>a 6</w:t>
      </w:r>
      <w:r w:rsidR="006D55EA">
        <w:rPr>
          <w:rFonts w:cstheme="minorHAnsi"/>
          <w:lang w:val="en-US"/>
        </w:rPr>
        <w:t xml:space="preserve"> </w:t>
      </w:r>
      <w:r w:rsidRPr="000616E3">
        <w:rPr>
          <w:rFonts w:cstheme="minorHAnsi"/>
          <w:lang w:val="en-US"/>
        </w:rPr>
        <w:t xml:space="preserve">min </w:t>
      </w:r>
      <w:r w:rsidRPr="000616E3">
        <w:rPr>
          <w:rFonts w:cstheme="minorHAnsi"/>
          <w:lang w:val="uz-Cyrl-UZ"/>
        </w:rPr>
        <w:t>centrifugation</w:t>
      </w:r>
      <w:r w:rsidRPr="000616E3">
        <w:rPr>
          <w:rFonts w:cstheme="minorHAnsi"/>
          <w:lang w:val="en-US"/>
        </w:rPr>
        <w:t xml:space="preserve"> at 500</w:t>
      </w:r>
      <w:r w:rsidR="006D55EA">
        <w:rPr>
          <w:rFonts w:cstheme="minorHAnsi"/>
          <w:lang w:val="en-US"/>
        </w:rPr>
        <w:t xml:space="preserve"> </w:t>
      </w:r>
      <w:proofErr w:type="spellStart"/>
      <w:r w:rsidR="006D55EA">
        <w:rPr>
          <w:rFonts w:cstheme="minorHAnsi"/>
          <w:lang w:val="en-US"/>
        </w:rPr>
        <w:t>x</w:t>
      </w:r>
      <w:r w:rsidRPr="00920039">
        <w:rPr>
          <w:rFonts w:cstheme="minorHAnsi"/>
          <w:i/>
          <w:iCs/>
          <w:lang w:val="en-US"/>
        </w:rPr>
        <w:t>g</w:t>
      </w:r>
      <w:proofErr w:type="spellEnd"/>
      <w:r w:rsidRPr="000616E3">
        <w:rPr>
          <w:rFonts w:cstheme="minorHAnsi"/>
          <w:lang w:val="en-US"/>
        </w:rPr>
        <w:t xml:space="preserve"> and 4˚C</w:t>
      </w:r>
      <w:r w:rsidRPr="000616E3">
        <w:rPr>
          <w:rFonts w:cstheme="minorHAnsi"/>
          <w:lang w:val="uz-Cyrl-UZ"/>
        </w:rPr>
        <w:t>, pellets were resuspended in 70</w:t>
      </w:r>
      <w:r w:rsidR="006D55EA">
        <w:rPr>
          <w:rFonts w:cstheme="minorHAnsi"/>
          <w:lang w:val="de-DE"/>
        </w:rPr>
        <w:t xml:space="preserve"> </w:t>
      </w:r>
      <w:r w:rsidRPr="000616E3">
        <w:rPr>
          <w:rFonts w:cstheme="minorHAnsi"/>
          <w:lang w:val="uz-Cyrl-UZ"/>
        </w:rPr>
        <w:t>% isotonic Percoll</w:t>
      </w:r>
      <w:r w:rsidR="006D55EA">
        <w:rPr>
          <w:rFonts w:cstheme="minorHAnsi"/>
          <w:lang w:val="de-DE"/>
        </w:rPr>
        <w:t xml:space="preserve"> (</w:t>
      </w:r>
      <w:proofErr w:type="spellStart"/>
      <w:r w:rsidR="00C224BF">
        <w:rPr>
          <w:rFonts w:cstheme="minorHAnsi"/>
          <w:lang w:val="de-DE"/>
        </w:rPr>
        <w:t>Cytiva</w:t>
      </w:r>
      <w:proofErr w:type="spellEnd"/>
      <w:r w:rsidR="00C224BF">
        <w:rPr>
          <w:rFonts w:cstheme="minorHAnsi"/>
          <w:lang w:val="de-DE"/>
        </w:rPr>
        <w:t xml:space="preserve">, </w:t>
      </w:r>
      <w:r w:rsidR="00C224BF" w:rsidRPr="00C224BF">
        <w:rPr>
          <w:rFonts w:cstheme="minorHAnsi"/>
          <w:lang w:val="de-DE"/>
        </w:rPr>
        <w:t>17-5445-02</w:t>
      </w:r>
      <w:r w:rsidR="006D55EA">
        <w:rPr>
          <w:rFonts w:cstheme="minorHAnsi"/>
          <w:lang w:val="de-DE"/>
        </w:rPr>
        <w:t>)</w:t>
      </w:r>
      <w:r w:rsidR="00C224BF">
        <w:rPr>
          <w:rFonts w:cstheme="minorHAnsi"/>
          <w:lang w:val="de-DE"/>
        </w:rPr>
        <w:t xml:space="preserve"> </w:t>
      </w:r>
      <w:proofErr w:type="spellStart"/>
      <w:r w:rsidR="006D55EA">
        <w:rPr>
          <w:rFonts w:cstheme="minorHAnsi"/>
          <w:lang w:val="de-DE"/>
        </w:rPr>
        <w:t>solution</w:t>
      </w:r>
      <w:proofErr w:type="spellEnd"/>
      <w:r w:rsidRPr="000616E3">
        <w:rPr>
          <w:rFonts w:cstheme="minorHAnsi"/>
          <w:lang w:val="uz-Cyrl-UZ"/>
        </w:rPr>
        <w:t xml:space="preserve">, which was overlaid with either 30% (pups) or 37% </w:t>
      </w:r>
      <w:r w:rsidRPr="000616E3">
        <w:rPr>
          <w:rFonts w:cstheme="minorHAnsi"/>
          <w:lang w:val="en-US"/>
        </w:rPr>
        <w:t xml:space="preserve">(adults) </w:t>
      </w:r>
      <w:r w:rsidRPr="000616E3">
        <w:rPr>
          <w:rFonts w:cstheme="minorHAnsi"/>
          <w:lang w:val="uz-Cyrl-UZ"/>
        </w:rPr>
        <w:t>isotonic Percoll and centrifuged cold for 900</w:t>
      </w:r>
      <w:r w:rsidR="006D55EA">
        <w:rPr>
          <w:rFonts w:cstheme="minorHAnsi"/>
          <w:lang w:val="de-DE"/>
        </w:rPr>
        <w:t xml:space="preserve"> x</w:t>
      </w:r>
      <w:r w:rsidRPr="00920039">
        <w:rPr>
          <w:rFonts w:cstheme="minorHAnsi"/>
          <w:i/>
          <w:iCs/>
          <w:lang w:val="uz-Cyrl-UZ"/>
        </w:rPr>
        <w:t>g</w:t>
      </w:r>
      <w:r w:rsidRPr="000616E3">
        <w:rPr>
          <w:rFonts w:cstheme="minorHAnsi"/>
          <w:lang w:val="uz-Cyrl-UZ"/>
        </w:rPr>
        <w:t xml:space="preserve"> at 25min (pups), or 2000</w:t>
      </w:r>
      <w:r w:rsidR="006D55EA">
        <w:rPr>
          <w:rFonts w:cstheme="minorHAnsi"/>
          <w:lang w:val="de-DE"/>
        </w:rPr>
        <w:t xml:space="preserve"> </w:t>
      </w:r>
      <w:r w:rsidR="006D55EA" w:rsidRPr="00186775">
        <w:rPr>
          <w:rFonts w:cstheme="minorHAnsi"/>
          <w:i/>
          <w:iCs/>
          <w:lang w:val="de-DE"/>
        </w:rPr>
        <w:t>x</w:t>
      </w:r>
      <w:r w:rsidRPr="000616E3">
        <w:rPr>
          <w:rFonts w:cstheme="minorHAnsi"/>
          <w:lang w:val="uz-Cyrl-UZ"/>
        </w:rPr>
        <w:t>g at 20min (adults). 2ml of the resulting interphase was collected, diluted with 10</w:t>
      </w:r>
      <w:r w:rsidR="006D55EA">
        <w:rPr>
          <w:rFonts w:cstheme="minorHAnsi"/>
          <w:lang w:val="de-DE"/>
        </w:rPr>
        <w:t xml:space="preserve"> </w:t>
      </w:r>
      <w:r w:rsidRPr="000616E3">
        <w:rPr>
          <w:rFonts w:cstheme="minorHAnsi"/>
          <w:lang w:val="uz-Cyrl-UZ"/>
        </w:rPr>
        <w:t>ml (pups) or 6</w:t>
      </w:r>
      <w:r w:rsidR="006D55EA">
        <w:rPr>
          <w:rFonts w:cstheme="minorHAnsi"/>
          <w:lang w:val="de-DE"/>
        </w:rPr>
        <w:t xml:space="preserve"> </w:t>
      </w:r>
      <w:r w:rsidRPr="000616E3">
        <w:rPr>
          <w:rFonts w:cstheme="minorHAnsi"/>
          <w:lang w:val="uz-Cyrl-UZ"/>
        </w:rPr>
        <w:t>ml (adults) medium A, and centrifuged. The pellet was resuspended in 200µl of DMEM-F12 solution, counted using an automated cell counter (Bio-rad), and seeded in</w:t>
      </w:r>
      <w:r w:rsidR="00905085">
        <w:rPr>
          <w:rFonts w:cstheme="minorHAnsi"/>
          <w:lang w:val="en-US"/>
        </w:rPr>
        <w:t>to</w:t>
      </w:r>
      <w:r w:rsidRPr="000616E3">
        <w:rPr>
          <w:rFonts w:cstheme="minorHAnsi"/>
          <w:lang w:val="uz-Cyrl-UZ"/>
        </w:rPr>
        <w:t xml:space="preserve"> polystyrene FACS tubes </w:t>
      </w:r>
      <w:r w:rsidR="00905085">
        <w:rPr>
          <w:rFonts w:cstheme="minorHAnsi"/>
          <w:lang w:val="en-US"/>
        </w:rPr>
        <w:t>at</w:t>
      </w:r>
      <w:r w:rsidR="00905085" w:rsidRPr="000616E3">
        <w:rPr>
          <w:rFonts w:cstheme="minorHAnsi"/>
          <w:lang w:val="uz-Cyrl-UZ"/>
        </w:rPr>
        <w:t xml:space="preserve"> </w:t>
      </w:r>
      <w:r w:rsidRPr="000616E3">
        <w:rPr>
          <w:rFonts w:cstheme="minorHAnsi"/>
          <w:lang w:val="uz-Cyrl-UZ"/>
        </w:rPr>
        <w:t>a concentration of 50</w:t>
      </w:r>
      <w:r w:rsidR="00905085">
        <w:rPr>
          <w:rFonts w:cstheme="minorHAnsi"/>
          <w:lang w:val="en-US"/>
        </w:rPr>
        <w:t>,000</w:t>
      </w:r>
      <w:r w:rsidRPr="000616E3">
        <w:rPr>
          <w:rFonts w:cstheme="minorHAnsi"/>
          <w:lang w:val="en-US"/>
        </w:rPr>
        <w:t xml:space="preserve"> (pups)</w:t>
      </w:r>
      <w:r w:rsidRPr="000616E3">
        <w:rPr>
          <w:rFonts w:cstheme="minorHAnsi"/>
          <w:lang w:val="uz-Cyrl-UZ"/>
        </w:rPr>
        <w:t xml:space="preserve"> or 80</w:t>
      </w:r>
      <w:r w:rsidR="00905085">
        <w:rPr>
          <w:rFonts w:cstheme="minorHAnsi"/>
          <w:lang w:val="en-US"/>
        </w:rPr>
        <w:t>,000</w:t>
      </w:r>
      <w:r w:rsidRPr="000616E3">
        <w:rPr>
          <w:rFonts w:cstheme="minorHAnsi"/>
          <w:lang w:val="uz-Cyrl-UZ"/>
        </w:rPr>
        <w:t xml:space="preserve"> </w:t>
      </w:r>
      <w:r w:rsidRPr="000616E3">
        <w:rPr>
          <w:rFonts w:cstheme="minorHAnsi"/>
          <w:lang w:val="en-US"/>
        </w:rPr>
        <w:t xml:space="preserve">(adults) </w:t>
      </w:r>
      <w:r w:rsidRPr="000616E3">
        <w:rPr>
          <w:rFonts w:cstheme="minorHAnsi"/>
          <w:lang w:val="uz-Cyrl-UZ"/>
        </w:rPr>
        <w:t>cells in 300µl DMEM-F12.</w:t>
      </w:r>
    </w:p>
    <w:p w14:paraId="0318CBE8" w14:textId="77777777" w:rsidR="00326760" w:rsidRPr="006D48F5" w:rsidRDefault="00326760" w:rsidP="003E39DC">
      <w:pPr>
        <w:pStyle w:val="1standard"/>
        <w:rPr>
          <w:lang w:val="uz-Cyrl-UZ"/>
        </w:rPr>
      </w:pPr>
    </w:p>
    <w:p w14:paraId="69533C00" w14:textId="77777777" w:rsidR="00326760" w:rsidRDefault="00326760" w:rsidP="003E39DC">
      <w:pPr>
        <w:pStyle w:val="1standard"/>
        <w:rPr>
          <w:lang w:val="uz-Cyrl-UZ"/>
        </w:rPr>
      </w:pPr>
      <w:r w:rsidRPr="006D48F5">
        <w:rPr>
          <w:lang w:val="en-US"/>
        </w:rPr>
        <w:t>C</w:t>
      </w:r>
      <w:r w:rsidRPr="0075094D">
        <w:rPr>
          <w:lang w:val="uz-Cyrl-UZ"/>
        </w:rPr>
        <w:t>ells were incubated with 1.25µg (pups) or 2µg (adults) phRodo-conjugated synaptosomes from age-matched CTL or ES mic</w:t>
      </w:r>
      <w:r w:rsidRPr="0060219D">
        <w:rPr>
          <w:lang w:val="uz-Cyrl-UZ"/>
        </w:rPr>
        <w:t>e for 30min, after which they were washed with 600µl DMEM/F12 and centrifuged. The pellet was washed again with FACS buffer (1x DBPS with 0.5% BSA and 2mM EDTA), before blocking in a 1:100 CD16/CD32 (Thermofisher 14-0161-82) in FACS buffer solution for 15 min. Cells were then stained 1:100 using APC-conjugated CD11b (Thermofisher, 17-0112-82) for 30min. Cells were then washed with 1ml FACS buffer, centrifuged, and resuspended before flow cytometry analysis.</w:t>
      </w:r>
    </w:p>
    <w:p w14:paraId="3931B919" w14:textId="77777777" w:rsidR="00326760" w:rsidRDefault="00326760" w:rsidP="003E39DC">
      <w:pPr>
        <w:pStyle w:val="1standard"/>
        <w:rPr>
          <w:lang w:val="uz-Cyrl-UZ"/>
        </w:rPr>
      </w:pPr>
    </w:p>
    <w:p w14:paraId="4396D08B" w14:textId="00A381D8" w:rsidR="00326760" w:rsidRPr="007B7503" w:rsidRDefault="00597E81" w:rsidP="003E39DC">
      <w:pPr>
        <w:ind w:firstLine="0"/>
        <w:rPr>
          <w:b/>
          <w:bCs/>
        </w:rPr>
      </w:pPr>
      <w:r w:rsidRPr="003E39DC">
        <w:rPr>
          <w:rFonts w:cstheme="minorHAnsi"/>
          <w:b/>
          <w:bCs/>
        </w:rPr>
        <w:t xml:space="preserve">Human cohort and </w:t>
      </w:r>
      <w:r w:rsidR="00326760" w:rsidRPr="003E39DC">
        <w:rPr>
          <w:rFonts w:cstheme="minorHAnsi"/>
          <w:b/>
          <w:bCs/>
        </w:rPr>
        <w:t xml:space="preserve">Fluorescent </w:t>
      </w:r>
      <w:r w:rsidR="00326760" w:rsidRPr="003E39DC">
        <w:rPr>
          <w:rFonts w:cstheme="minorHAnsi"/>
          <w:b/>
          <w:bCs/>
          <w:i/>
          <w:iCs/>
        </w:rPr>
        <w:t>in situ</w:t>
      </w:r>
      <w:r w:rsidR="00326760" w:rsidRPr="003E39DC">
        <w:rPr>
          <w:rFonts w:cstheme="minorHAnsi"/>
          <w:b/>
          <w:bCs/>
        </w:rPr>
        <w:t xml:space="preserve"> hybridization in post-mortem human hippocampus</w:t>
      </w:r>
    </w:p>
    <w:p w14:paraId="0BCB43E2" w14:textId="0657A061" w:rsidR="00326760" w:rsidRPr="007B7503" w:rsidRDefault="00326760" w:rsidP="003E39DC">
      <w:pPr>
        <w:pStyle w:val="NormalWeb"/>
        <w:shd w:val="clear" w:color="auto" w:fill="FFFFFF"/>
        <w:spacing w:before="0" w:beforeAutospacing="0" w:after="0" w:afterAutospacing="0"/>
        <w:rPr>
          <w:rFonts w:cstheme="minorHAnsi"/>
          <w:color w:val="222222"/>
        </w:rPr>
      </w:pPr>
      <w:r w:rsidRPr="003E39DC">
        <w:rPr>
          <w:rFonts w:asciiTheme="minorHAnsi" w:hAnsiTheme="minorHAnsi" w:cstheme="minorHAnsi"/>
          <w:sz w:val="22"/>
          <w:szCs w:val="22"/>
        </w:rPr>
        <w:t>Fresh-frozen hippocampal blocks from well-characterized age-matched adult males</w:t>
      </w:r>
      <w:r w:rsidRPr="003E39DC">
        <w:rPr>
          <w:rFonts w:asciiTheme="minorHAnsi" w:hAnsiTheme="minorHAnsi" w:cstheme="minorHAnsi"/>
          <w:color w:val="222222"/>
          <w:sz w:val="22"/>
          <w:szCs w:val="22"/>
        </w:rPr>
        <w:t xml:space="preserve"> (depressed suicides with a history of child abuse and matched sudden-death controls) were obtained from the Douglas-Bell Canada Brain Bank (Montreal, Canada). Phenotypic information was retrieved through standardized psychological autopsies, in collaboration with the Quebec Coroner’s Office and with informed consent from next of kin. Presence of any or suspected neurological/neurodegenerative </w:t>
      </w:r>
      <w:r w:rsidRPr="003E39DC">
        <w:rPr>
          <w:rFonts w:asciiTheme="minorHAnsi" w:hAnsiTheme="minorHAnsi" w:cstheme="minorHAnsi"/>
          <w:color w:val="222222"/>
          <w:sz w:val="22"/>
          <w:szCs w:val="22"/>
        </w:rPr>
        <w:lastRenderedPageBreak/>
        <w:t xml:space="preserve">disorder </w:t>
      </w:r>
      <w:proofErr w:type="spellStart"/>
      <w:r w:rsidRPr="003E39DC">
        <w:rPr>
          <w:rFonts w:asciiTheme="minorHAnsi" w:hAnsiTheme="minorHAnsi" w:cstheme="minorHAnsi"/>
          <w:color w:val="222222"/>
          <w:sz w:val="22"/>
          <w:szCs w:val="22"/>
        </w:rPr>
        <w:t>signaled</w:t>
      </w:r>
      <w:proofErr w:type="spellEnd"/>
      <w:r w:rsidRPr="003E39DC">
        <w:rPr>
          <w:rFonts w:asciiTheme="minorHAnsi" w:hAnsiTheme="minorHAnsi" w:cstheme="minorHAnsi"/>
          <w:color w:val="222222"/>
          <w:sz w:val="22"/>
          <w:szCs w:val="22"/>
        </w:rPr>
        <w:t xml:space="preserve"> in clinical files constituted an exclusion criterion. Cases and controls are defined with the support of medical charts and Coroner records. Proxy-based interviews with one or more informants best acquainted with the deceased are supplemented with information from archival material obtained from hospitals, Coroner’s office, and social services. Clinical vignettes are then produced and assessed by a panel of clinicians to generate Diagnostic and Statistical Manual of Mental Disorders (DSM-IV) diagnostic criteria, providing sociodemographic characteristics, social developmental history, DSM-IV axis I diagnostic information, and </w:t>
      </w:r>
      <w:proofErr w:type="spellStart"/>
      <w:r w:rsidRPr="003E39DC">
        <w:rPr>
          <w:rFonts w:asciiTheme="minorHAnsi" w:hAnsiTheme="minorHAnsi" w:cstheme="minorHAnsi"/>
          <w:color w:val="222222"/>
          <w:sz w:val="22"/>
          <w:szCs w:val="22"/>
        </w:rPr>
        <w:t>behavioral</w:t>
      </w:r>
      <w:proofErr w:type="spellEnd"/>
      <w:r w:rsidRPr="003E39DC">
        <w:rPr>
          <w:rFonts w:asciiTheme="minorHAnsi" w:hAnsiTheme="minorHAnsi" w:cstheme="minorHAnsi"/>
          <w:color w:val="222222"/>
          <w:sz w:val="22"/>
          <w:szCs w:val="22"/>
        </w:rPr>
        <w:t xml:space="preserve"> traits—information that is obtained through different adapted questionnaires. Toxicological assessments and medication prescription are also obtained. As described previously, characterization of early-life histories was based on adapted Childhood Experience of Care and Abuse interviews assessing experiences of sexual and physical abuse, as well as neglect, and for which scores from siblings are highly concordant. We considered as severe early-life adversity (ELA) reports of non-random major physical and/or sexual abuse during childhood (up to 15 years). Only cases with the maximum severity ratings of 1 and 2 were included. This information was then complemented with medical charts and Coroner records. Because of this narrow selection criterion, it was not possible to stratify different types of abuse within the sample </w:t>
      </w:r>
      <w:r w:rsidRPr="003E39DC">
        <w:rPr>
          <w:rFonts w:asciiTheme="minorHAnsi" w:hAnsiTheme="minorHAnsi" w:cstheme="minorHAnsi"/>
          <w:color w:val="222222"/>
          <w:sz w:val="22"/>
          <w:szCs w:val="22"/>
        </w:rPr>
        <w:fldChar w:fldCharType="begin" w:fldLock="1"/>
      </w:r>
      <w:r w:rsidR="005E40D4">
        <w:rPr>
          <w:rFonts w:asciiTheme="minorHAnsi" w:hAnsiTheme="minorHAnsi" w:cstheme="minorHAnsi"/>
          <w:color w:val="222222"/>
          <w:sz w:val="22"/>
          <w:szCs w:val="22"/>
        </w:rPr>
        <w:instrText>ADDIN CSL_CITATION {"citationItems":[{"id":"ITEM-1","itemData":{"DOI":"10.1038/s41380-021-01372-y","ISSN":"14765578","abstract":"Child abuse (CA) is a strong predictor of psychopathologies and suicide, altering normal trajectories of brain development in areas closely linked to emotional responses such as the prefrontal cortex (PFC). Yet, the cellular underpinnings of these enduring effects are unclear. Childhood and adolescence are marked by the protracted formation of perineuronal nets (PNNs), which orchestrate the closure of developmental windows of cortical plasticity by regulating the functional integration of parvalbumin interneurons into neuronal circuits. Using well-characterized post-mortem brain samples, we show that a history of CA is specifically associated with increased densities and morphological complexity of WFL-labeled PNNs in the ventromedial PFC (BA11/12), possibly suggesting increased recruitment and maturation of PNNs. Through single-nucleus sequencing and fluorescent in situ hybridization, we found that the expression of canonical components of PNNs is enriched in oligodendrocyte progenitor cells (OPCs), and that they are upregulated in CA victims. These correlational findings suggest that early-life adversity may lead to persistent patterns of maladaptive behaviors by reducing the neuroplasticity of cortical circuits through the enhancement of developmental OPC-mediated PNN formation.","author":[{"dropping-particle":"","family":"Tanti","given":"Arnaud","non-dropping-particle":"","parse-names":false,"suffix":""},{"dropping-particle":"","family":"Belliveau","given":"Claudia","non-dropping-particle":"","parse-names":false,"suffix":""},{"dropping-particle":"","family":"Nagy","given":"Corina","non-dropping-particle":"","parse-names":false,"suffix":""},{"dropping-particle":"","family":"Maitra","given":"Malosree","non-dropping-particle":"","parse-names":false,"suffix":""},{"dropping-particle":"","family":"Denux","given":"Fanny","non-dropping-particle":"","parse-names":false,"suffix":""},{"dropping-particle":"","family":"Perlman","given":"Kelly","non-dropping-particle":"","parse-names":false,"suffix":""},{"dropping-particle":"","family":"Chen","given":"Frank","non-dropping-particle":"","parse-names":false,"suffix":""},{"dropping-particle":"","family":"Mpai","given":"Refilwe","non-dropping-particle":"","parse-names":false,"suffix":""},{"dropping-particle":"","family":"Canonne","given":"Candice","non-dropping-particle":"","parse-names":false,"suffix":""},{"dropping-particle":"","family":"Théberge","given":"Stéphanie","non-dropping-particle":"","parse-names":false,"suffix":""},{"dropping-particle":"","family":"McFarquhar","given":"Ashley","non-dropping-particle":"","parse-names":false,"suffix":""},{"dropping-particle":"","family":"Davoli","given":"Maria Antonietta","non-dropping-particle":"","parse-names":false,"suffix":""},{"dropping-particle":"","family":"Belzung","given":"Catherine","non-dropping-particle":"","parse-names":false,"suffix":""},{"dropping-particle":"","family":"Turecki","given":"Gustavo","non-dropping-particle":"","parse-names":false,"suffix":""},{"dropping-particle":"","family":"Mechawar","given":"Naguib","non-dropping-particle":"","parse-names":false,"suffix":""}],"container-title":"Molecular Psychiatry","id":"ITEM-1","issue":"3","issued":{"date-parts":[["2021"]]},"publisher":"Springer Nature","title":"Child abuse associates with increased recruitment of perineuronal nets in the ventromedial prefrontal cortex: a possible implication of oligodendrocyte progenitor cells","type":"article-journal","volume":"27"},"uris":["http://www.mendeley.com/documents/?uuid=00bbfa4e-a6bf-35b8-868a-dfba8c7c4cba"]}],"mendeley":{"formattedCitation":"&lt;sup&gt;17&lt;/sup&gt;","plainTextFormattedCitation":"17","previouslyFormattedCitation":"&lt;sup&gt;19&lt;/sup&gt;"},"properties":{"noteIndex":0},"schema":"https://github.com/citation-style-language/schema/raw/master/csl-citation.json"}</w:instrText>
      </w:r>
      <w:r w:rsidRPr="003E39DC">
        <w:rPr>
          <w:rFonts w:asciiTheme="minorHAnsi" w:hAnsiTheme="minorHAnsi" w:cstheme="minorHAnsi"/>
          <w:color w:val="222222"/>
          <w:sz w:val="22"/>
          <w:szCs w:val="22"/>
        </w:rPr>
        <w:fldChar w:fldCharType="separate"/>
      </w:r>
      <w:r w:rsidR="005E40D4" w:rsidRPr="005E40D4">
        <w:rPr>
          <w:rFonts w:asciiTheme="minorHAnsi" w:hAnsiTheme="minorHAnsi" w:cstheme="minorHAnsi"/>
          <w:noProof/>
          <w:color w:val="222222"/>
          <w:sz w:val="22"/>
          <w:szCs w:val="22"/>
          <w:vertAlign w:val="superscript"/>
        </w:rPr>
        <w:t>17</w:t>
      </w:r>
      <w:r w:rsidRPr="003E39DC">
        <w:rPr>
          <w:rFonts w:asciiTheme="minorHAnsi" w:hAnsiTheme="minorHAnsi" w:cstheme="minorHAnsi"/>
          <w:color w:val="222222"/>
          <w:sz w:val="22"/>
          <w:szCs w:val="22"/>
        </w:rPr>
        <w:fldChar w:fldCharType="end"/>
      </w:r>
      <w:r w:rsidRPr="003E39DC">
        <w:rPr>
          <w:rFonts w:asciiTheme="minorHAnsi" w:hAnsiTheme="minorHAnsi" w:cstheme="minorHAnsi"/>
          <w:color w:val="222222"/>
          <w:sz w:val="22"/>
          <w:szCs w:val="22"/>
        </w:rPr>
        <w:t xml:space="preserve">. Group characteristics can be found in </w:t>
      </w:r>
      <w:r w:rsidRPr="00CB6F0A">
        <w:rPr>
          <w:rFonts w:asciiTheme="minorHAnsi" w:hAnsiTheme="minorHAnsi" w:cstheme="minorHAnsi"/>
          <w:color w:val="222222"/>
          <w:sz w:val="22"/>
          <w:szCs w:val="22"/>
        </w:rPr>
        <w:t xml:space="preserve">Table </w:t>
      </w:r>
      <w:r w:rsidR="00CB6F0A" w:rsidRPr="00CB6F0A">
        <w:rPr>
          <w:rFonts w:asciiTheme="minorHAnsi" w:hAnsiTheme="minorHAnsi" w:cstheme="minorHAnsi"/>
          <w:color w:val="222222"/>
          <w:sz w:val="22"/>
          <w:szCs w:val="22"/>
        </w:rPr>
        <w:t>S</w:t>
      </w:r>
      <w:r w:rsidRPr="00CB6F0A">
        <w:rPr>
          <w:rFonts w:asciiTheme="minorHAnsi" w:hAnsiTheme="minorHAnsi" w:cstheme="minorHAnsi"/>
          <w:color w:val="222222"/>
          <w:sz w:val="22"/>
          <w:szCs w:val="22"/>
        </w:rPr>
        <w:t>1</w:t>
      </w:r>
      <w:r w:rsidRPr="003E39DC">
        <w:rPr>
          <w:rFonts w:asciiTheme="minorHAnsi" w:hAnsiTheme="minorHAnsi" w:cstheme="minorHAnsi"/>
          <w:color w:val="222222"/>
          <w:sz w:val="22"/>
          <w:szCs w:val="22"/>
        </w:rPr>
        <w:t>, together with correlations between covariates (age, post-mortem interval (PMI), pH, substance dependence, and medication) and the variables measured in this study.</w:t>
      </w:r>
    </w:p>
    <w:p w14:paraId="0FF7F159" w14:textId="626759B8" w:rsidR="00326760" w:rsidRPr="00E44E57" w:rsidRDefault="00326760" w:rsidP="003E39DC">
      <w:r w:rsidRPr="003E39DC">
        <w:t xml:space="preserve">Hippocampal tissues were cut serially with a cryostat and 10 µm-thick sections were collected on </w:t>
      </w:r>
      <w:proofErr w:type="spellStart"/>
      <w:r w:rsidRPr="003E39DC">
        <w:t>Superfrost</w:t>
      </w:r>
      <w:proofErr w:type="spellEnd"/>
      <w:r w:rsidRPr="003E39DC">
        <w:t xml:space="preserve"> charged slides. </w:t>
      </w:r>
      <w:r w:rsidRPr="003E39DC">
        <w:rPr>
          <w:i/>
          <w:iCs/>
        </w:rPr>
        <w:t>In situ</w:t>
      </w:r>
      <w:r w:rsidRPr="003E39DC">
        <w:t xml:space="preserve"> hybridization was performed using Advanced Cell Diagnostics </w:t>
      </w:r>
      <w:proofErr w:type="spellStart"/>
      <w:r w:rsidRPr="003E39DC">
        <w:t>RNAscope</w:t>
      </w:r>
      <w:proofErr w:type="spellEnd"/>
      <w:r w:rsidRPr="003E39DC">
        <w:t xml:space="preserve">® probes and reagents </w:t>
      </w:r>
      <w:r w:rsidR="00242832">
        <w:t xml:space="preserve">(ACD Bio, </w:t>
      </w:r>
      <w:r w:rsidR="00242832" w:rsidRPr="003662E3">
        <w:t>323110</w:t>
      </w:r>
      <w:r w:rsidR="00242832">
        <w:t xml:space="preserve">) </w:t>
      </w:r>
      <w:r w:rsidRPr="003E39DC">
        <w:t xml:space="preserve">following the manufacturer’s instructions. Sections were first fixed in cold 10% neutral buffered formalin for 15 min, dehydrated by increasing gradient of ethanol baths, and air dried for 5 min. Endogenous peroxidase activity was quenched with hydrogen peroxide for 10 min followed by protease digestion for 30 min at room temperature. The following probes were then hybridized for 2 h at 40 °C in a humidity-controlled oven: Hs-TMEM119 </w:t>
      </w:r>
      <w:r w:rsidR="00242832">
        <w:t>(ACD Bio 478911)</w:t>
      </w:r>
      <w:r w:rsidR="00CE19A0">
        <w:t xml:space="preserve"> </w:t>
      </w:r>
      <w:r w:rsidRPr="003E39DC">
        <w:t>and Hs-GAS6</w:t>
      </w:r>
      <w:r w:rsidR="00EA49A4">
        <w:t xml:space="preserve"> (ACD</w:t>
      </w:r>
      <w:r w:rsidR="00242832">
        <w:t xml:space="preserve"> B</w:t>
      </w:r>
      <w:r w:rsidR="00EA49A4">
        <w:t>io</w:t>
      </w:r>
      <w:r w:rsidR="003662E3">
        <w:t xml:space="preserve"> </w:t>
      </w:r>
      <w:r w:rsidR="00242832">
        <w:t>455141</w:t>
      </w:r>
      <w:r w:rsidR="006D55EA">
        <w:t>)</w:t>
      </w:r>
      <w:r w:rsidRPr="003E39DC">
        <w:t xml:space="preserve">. Amplifiers were added using the AMP reagents and the signal visualized through probe-specific HRP-based detection by </w:t>
      </w:r>
      <w:proofErr w:type="spellStart"/>
      <w:r w:rsidRPr="003E39DC">
        <w:t>tyramide</w:t>
      </w:r>
      <w:proofErr w:type="spellEnd"/>
      <w:r w:rsidRPr="003E39DC">
        <w:t xml:space="preserve"> signal amplification (TSA) with Opal dyes (Opal 520 and Opal 570; Perkin Elmer) diluted 1:900. </w:t>
      </w:r>
      <w:r w:rsidR="007503DD">
        <w:t>T</w:t>
      </w:r>
      <w:r w:rsidRPr="003E39DC">
        <w:t xml:space="preserve">o eliminate endogenous autofluorescence from lipofuscin and cellular debris, sections were incubated with </w:t>
      </w:r>
      <w:proofErr w:type="spellStart"/>
      <w:r w:rsidRPr="003E39DC">
        <w:t>TrueBlack</w:t>
      </w:r>
      <w:proofErr w:type="spellEnd"/>
      <w:r w:rsidR="003662E3">
        <w:t xml:space="preserve"> (</w:t>
      </w:r>
      <w:proofErr w:type="spellStart"/>
      <w:r w:rsidR="003662E3">
        <w:t>Biotium</w:t>
      </w:r>
      <w:proofErr w:type="spellEnd"/>
      <w:r w:rsidR="003662E3">
        <w:t>, 23007)</w:t>
      </w:r>
      <w:r w:rsidRPr="003E39DC">
        <w:t xml:space="preserve"> for 30s. Slides were then </w:t>
      </w:r>
      <w:proofErr w:type="spellStart"/>
      <w:r w:rsidRPr="003E39DC">
        <w:t>coverslipped</w:t>
      </w:r>
      <w:proofErr w:type="spellEnd"/>
      <w:r w:rsidRPr="003E39DC">
        <w:t xml:space="preserve"> with </w:t>
      </w:r>
      <w:proofErr w:type="spellStart"/>
      <w:r w:rsidRPr="003E39DC">
        <w:t>Vectashield</w:t>
      </w:r>
      <w:proofErr w:type="spellEnd"/>
      <w:r w:rsidRPr="003E39DC">
        <w:t xml:space="preserve"> mounting medium with 4′,6-diamidino-2-phenylindole (DAPI) for nuclear staining (Vector Laboratories</w:t>
      </w:r>
      <w:r w:rsidR="003662E3">
        <w:t>, H-1800</w:t>
      </w:r>
      <w:r w:rsidRPr="003E39DC">
        <w:t xml:space="preserve">) and kept at 4 °C until imaging. Both positive and negative controls provided by the supplier were used on separate sections to confirm signal specificity. Hippocampal sections were imaged using Olympus VS120 virtual slide microscope at 20x resolution. Dentate gyrus area was demarcated manually and </w:t>
      </w:r>
      <w:proofErr w:type="spellStart"/>
      <w:r w:rsidRPr="003E39DC">
        <w:t>QuPath</w:t>
      </w:r>
      <w:proofErr w:type="spellEnd"/>
      <w:r w:rsidRPr="003E39DC">
        <w:t xml:space="preserve"> (v0.3.2)</w:t>
      </w:r>
      <w:r w:rsidRPr="003E39DC">
        <w:fldChar w:fldCharType="begin" w:fldLock="1"/>
      </w:r>
      <w:r w:rsidR="005E40D4">
        <w:instrText>ADDIN CSL_CITATION {"citationItems":[{"id":"ITEM-1","itemData":{"DOI":"10.1038/s41598-017-17204-5","ISSN":"20452322","PMID":"29203879","abstract":"QuPath is new bioimage analysis software designed to meet the growing need for a user-friendly, extensible, open-source solution for digital pathology and whole slide image analysis. In addition to offering a comprehensive panel of tumor identification and high-throughput biomarker evaluation tools, QuPath provides researchers with powerful batch-processing and scripting functionality, and an extensible platform with which to develop and share new algorithms to analyze complex tissue images. Furthermore, QuPath's flexible design makes it suitable for a wide range of additional image analysis applications across biomedical research.","author":[{"dropping-particle":"","family":"Bankhead","given":"Peter","non-dropping-particle":"","parse-names":false,"suffix":""},{"dropping-particle":"","family":"Loughrey","given":"Maurice B.","non-dropping-particle":"","parse-names":false,"suffix":""},{"dropping-particle":"","family":"Fernández","given":"José A.","non-dropping-particle":"","parse-names":false,"suffix":""},{"dropping-particle":"","family":"Dombrowski","given":"Yvonne","non-dropping-particle":"","parse-names":false,"suffix":""},{"dropping-particle":"","family":"McArt","given":"Darragh G.","non-dropping-particle":"","parse-names":false,"suffix":""},{"dropping-particle":"","family":"Dunne","given":"Philip D.","non-dropping-particle":"","parse-names":false,"suffix":""},{"dropping-particle":"","family":"McQuaid","given":"Stephen","non-dropping-particle":"","parse-names":false,"suffix":""},{"dropping-particle":"","family":"Gray","given":"Ronan T.","non-dropping-particle":"","parse-names":false,"suffix":""},{"dropping-particle":"","family":"Murray","given":"Liam J.","non-dropping-particle":"","parse-names":false,"suffix":""},{"dropping-particle":"","family":"Coleman","given":"Helen G.","non-dropping-particle":"","parse-names":false,"suffix":""},{"dropping-particle":"","family":"James","given":"Jacqueline A.","non-dropping-particle":"","parse-names":false,"suffix":""},{"dropping-particle":"","family":"Salto-Tellez","given":"Manuel","non-dropping-particle":"","parse-names":false,"suffix":""},{"dropping-particle":"","family":"Hamilton","given":"Peter W.","non-dropping-particle":"","parse-names":false,"suffix":""}],"container-title":"Scientific Reports","id":"ITEM-1","issue":"1","issued":{"date-parts":[["2017","12","1"]]},"publisher":"Nature Publishing Group","title":"QuPath: Open source software for digital pathology image analysis","type":"article-journal","volume":"7"},"uris":["http://www.mendeley.com/documents/?uuid=e70ac8c7-5347-3e00-a5a1-993fc86c4367"]}],"mendeley":{"formattedCitation":"&lt;sup&gt;18&lt;/sup&gt;","plainTextFormattedCitation":"18","previouslyFormattedCitation":"&lt;sup&gt;20&lt;/sup&gt;"},"properties":{"noteIndex":0},"schema":"https://github.com/citation-style-language/schema/raw/master/csl-citation.json"}</w:instrText>
      </w:r>
      <w:r w:rsidRPr="003E39DC">
        <w:fldChar w:fldCharType="separate"/>
      </w:r>
      <w:r w:rsidR="005E40D4" w:rsidRPr="005E40D4">
        <w:rPr>
          <w:noProof/>
          <w:vertAlign w:val="superscript"/>
        </w:rPr>
        <w:t>18</w:t>
      </w:r>
      <w:r w:rsidRPr="003E39DC">
        <w:fldChar w:fldCharType="end"/>
      </w:r>
      <w:r w:rsidRPr="003E39DC">
        <w:t xml:space="preserve"> was employed for automated cell detection based on DAPI staining and </w:t>
      </w:r>
      <w:proofErr w:type="spellStart"/>
      <w:r w:rsidRPr="003E39DC">
        <w:t>RNAscope</w:t>
      </w:r>
      <w:proofErr w:type="spellEnd"/>
      <w:r w:rsidRPr="003E39DC">
        <w:t xml:space="preserve"> signal quantification. For stringent quantification, only cells bearing 3 or more fluorescence puncta </w:t>
      </w:r>
      <w:r w:rsidR="003069A0" w:rsidRPr="003E39DC">
        <w:t xml:space="preserve">for each probe </w:t>
      </w:r>
      <w:r w:rsidRPr="003E39DC">
        <w:t>were counted as positive.</w:t>
      </w:r>
    </w:p>
    <w:p w14:paraId="35F2984F" w14:textId="77777777" w:rsidR="00326760" w:rsidRPr="007B7503" w:rsidRDefault="00326760" w:rsidP="003E39DC">
      <w:pPr>
        <w:pStyle w:val="1standard"/>
        <w:rPr>
          <w:lang w:val="uz-Cyrl-UZ"/>
        </w:rPr>
      </w:pPr>
    </w:p>
    <w:p w14:paraId="73FF8A12" w14:textId="4749B7C5" w:rsidR="00326760" w:rsidRPr="00920039" w:rsidRDefault="005E40D4" w:rsidP="003E39DC">
      <w:pPr>
        <w:ind w:firstLine="0"/>
        <w:jc w:val="left"/>
        <w:rPr>
          <w:rFonts w:cs="Georgia"/>
          <w:b/>
          <w:color w:val="000000"/>
          <w:szCs w:val="24"/>
          <w:lang w:val="de-DE"/>
        </w:rPr>
      </w:pPr>
      <w:r w:rsidRPr="00186775">
        <w:rPr>
          <w:rFonts w:cs="Georgia"/>
          <w:b/>
          <w:color w:val="000000"/>
          <w:szCs w:val="24"/>
          <w:lang w:val="de-DE"/>
        </w:rPr>
        <w:t>References</w:t>
      </w:r>
    </w:p>
    <w:p w14:paraId="6091C51B" w14:textId="2C6BA55F" w:rsidR="005E40D4" w:rsidRPr="005E40D4" w:rsidRDefault="005E40D4" w:rsidP="005E40D4">
      <w:pPr>
        <w:widowControl w:val="0"/>
        <w:autoSpaceDE w:val="0"/>
        <w:autoSpaceDN w:val="0"/>
        <w:adjustRightInd w:val="0"/>
        <w:ind w:left="640" w:hanging="640"/>
        <w:rPr>
          <w:rFonts w:ascii="Calibri" w:hAnsi="Calibri" w:cs="Calibri"/>
          <w:noProof/>
        </w:rPr>
      </w:pPr>
      <w:r>
        <w:rPr>
          <w:rFonts w:cstheme="minorHAnsi"/>
          <w:lang w:val="uz-Cyrl-UZ"/>
        </w:rPr>
        <w:fldChar w:fldCharType="begin" w:fldLock="1"/>
      </w:r>
      <w:r>
        <w:rPr>
          <w:rFonts w:cstheme="minorHAnsi"/>
          <w:lang w:val="uz-Cyrl-UZ"/>
        </w:rPr>
        <w:instrText xml:space="preserve">ADDIN Mendeley Bibliography CSL_BIBLIOGRAPHY </w:instrText>
      </w:r>
      <w:r>
        <w:rPr>
          <w:rFonts w:cstheme="minorHAnsi"/>
          <w:lang w:val="uz-Cyrl-UZ"/>
        </w:rPr>
        <w:fldChar w:fldCharType="separate"/>
      </w:r>
      <w:r w:rsidRPr="005E40D4">
        <w:rPr>
          <w:rFonts w:ascii="Calibri" w:hAnsi="Calibri" w:cs="Calibri"/>
          <w:noProof/>
        </w:rPr>
        <w:t>1.</w:t>
      </w:r>
      <w:r w:rsidRPr="005E40D4">
        <w:rPr>
          <w:rFonts w:ascii="Calibri" w:hAnsi="Calibri" w:cs="Calibri"/>
          <w:noProof/>
        </w:rPr>
        <w:tab/>
        <w:t xml:space="preserve">Rice, C.J., Sandman, C.A., Lenjavi, M.R. &amp; Baram, T.Z. </w:t>
      </w:r>
      <w:r w:rsidRPr="005E40D4">
        <w:rPr>
          <w:rFonts w:ascii="Calibri" w:hAnsi="Calibri" w:cs="Calibri"/>
          <w:i/>
          <w:iCs/>
          <w:noProof/>
        </w:rPr>
        <w:t>Endocrinology</w:t>
      </w:r>
      <w:r w:rsidRPr="005E40D4">
        <w:rPr>
          <w:rFonts w:ascii="Calibri" w:hAnsi="Calibri" w:cs="Calibri"/>
          <w:noProof/>
        </w:rPr>
        <w:t xml:space="preserve"> </w:t>
      </w:r>
      <w:r w:rsidRPr="005E40D4">
        <w:rPr>
          <w:rFonts w:ascii="Calibri" w:hAnsi="Calibri" w:cs="Calibri"/>
          <w:b/>
          <w:bCs/>
          <w:noProof/>
        </w:rPr>
        <w:t>149</w:t>
      </w:r>
      <w:r w:rsidRPr="005E40D4">
        <w:rPr>
          <w:rFonts w:ascii="Calibri" w:hAnsi="Calibri" w:cs="Calibri"/>
          <w:noProof/>
        </w:rPr>
        <w:t>, 4892–4900 (2008).</w:t>
      </w:r>
    </w:p>
    <w:p w14:paraId="534395E4"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2.</w:t>
      </w:r>
      <w:r w:rsidRPr="005E40D4">
        <w:rPr>
          <w:rFonts w:ascii="Calibri" w:hAnsi="Calibri" w:cs="Calibri"/>
          <w:noProof/>
        </w:rPr>
        <w:tab/>
        <w:t xml:space="preserve">Naninck, E.F.G. et al. </w:t>
      </w:r>
      <w:r w:rsidRPr="005E40D4">
        <w:rPr>
          <w:rFonts w:ascii="Calibri" w:hAnsi="Calibri" w:cs="Calibri"/>
          <w:i/>
          <w:iCs/>
          <w:noProof/>
        </w:rPr>
        <w:t>Hippocampus</w:t>
      </w:r>
      <w:r w:rsidRPr="005E40D4">
        <w:rPr>
          <w:rFonts w:ascii="Calibri" w:hAnsi="Calibri" w:cs="Calibri"/>
          <w:noProof/>
        </w:rPr>
        <w:t xml:space="preserve"> </w:t>
      </w:r>
      <w:r w:rsidRPr="005E40D4">
        <w:rPr>
          <w:rFonts w:ascii="Calibri" w:hAnsi="Calibri" w:cs="Calibri"/>
          <w:b/>
          <w:bCs/>
          <w:noProof/>
        </w:rPr>
        <w:t>25</w:t>
      </w:r>
      <w:r w:rsidRPr="005E40D4">
        <w:rPr>
          <w:rFonts w:ascii="Calibri" w:hAnsi="Calibri" w:cs="Calibri"/>
          <w:noProof/>
        </w:rPr>
        <w:t>, 309–328 (2015).</w:t>
      </w:r>
    </w:p>
    <w:p w14:paraId="62DA3A0C"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3.</w:t>
      </w:r>
      <w:r w:rsidRPr="005E40D4">
        <w:rPr>
          <w:rFonts w:ascii="Calibri" w:hAnsi="Calibri" w:cs="Calibri"/>
          <w:noProof/>
        </w:rPr>
        <w:tab/>
        <w:t xml:space="preserve">Hoeijmakers, L. et al. </w:t>
      </w:r>
      <w:r w:rsidRPr="005E40D4">
        <w:rPr>
          <w:rFonts w:ascii="Calibri" w:hAnsi="Calibri" w:cs="Calibri"/>
          <w:i/>
          <w:iCs/>
          <w:noProof/>
        </w:rPr>
        <w:t>Brain. Behav. Immun.</w:t>
      </w:r>
      <w:r w:rsidRPr="005E40D4">
        <w:rPr>
          <w:rFonts w:ascii="Calibri" w:hAnsi="Calibri" w:cs="Calibri"/>
          <w:noProof/>
        </w:rPr>
        <w:t xml:space="preserve"> </w:t>
      </w:r>
      <w:r w:rsidRPr="005E40D4">
        <w:rPr>
          <w:rFonts w:ascii="Calibri" w:hAnsi="Calibri" w:cs="Calibri"/>
          <w:b/>
          <w:bCs/>
          <w:noProof/>
        </w:rPr>
        <w:t>63</w:t>
      </w:r>
      <w:r w:rsidRPr="005E40D4">
        <w:rPr>
          <w:rFonts w:ascii="Calibri" w:hAnsi="Calibri" w:cs="Calibri"/>
          <w:noProof/>
        </w:rPr>
        <w:t>, 160–175 (2017).</w:t>
      </w:r>
    </w:p>
    <w:p w14:paraId="68F1BF9D"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4.</w:t>
      </w:r>
      <w:r w:rsidRPr="005E40D4">
        <w:rPr>
          <w:rFonts w:ascii="Calibri" w:hAnsi="Calibri" w:cs="Calibri"/>
          <w:noProof/>
        </w:rPr>
        <w:tab/>
        <w:t xml:space="preserve">Yam, K.Y. et al. </w:t>
      </w:r>
      <w:r w:rsidRPr="005E40D4">
        <w:rPr>
          <w:rFonts w:ascii="Calibri" w:hAnsi="Calibri" w:cs="Calibri"/>
          <w:i/>
          <w:iCs/>
          <w:noProof/>
        </w:rPr>
        <w:t>FASEB J.</w:t>
      </w:r>
      <w:r w:rsidRPr="005E40D4">
        <w:rPr>
          <w:rFonts w:ascii="Calibri" w:hAnsi="Calibri" w:cs="Calibri"/>
          <w:noProof/>
        </w:rPr>
        <w:t xml:space="preserve"> </w:t>
      </w:r>
      <w:r w:rsidRPr="005E40D4">
        <w:rPr>
          <w:rFonts w:ascii="Calibri" w:hAnsi="Calibri" w:cs="Calibri"/>
          <w:b/>
          <w:bCs/>
          <w:noProof/>
        </w:rPr>
        <w:t>33</w:t>
      </w:r>
      <w:r w:rsidRPr="005E40D4">
        <w:rPr>
          <w:rFonts w:ascii="Calibri" w:hAnsi="Calibri" w:cs="Calibri"/>
          <w:noProof/>
        </w:rPr>
        <w:t>, 5729–5740 (2019).</w:t>
      </w:r>
    </w:p>
    <w:p w14:paraId="1D50E166"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lastRenderedPageBreak/>
        <w:t>5.</w:t>
      </w:r>
      <w:r w:rsidRPr="005E40D4">
        <w:rPr>
          <w:rFonts w:ascii="Calibri" w:hAnsi="Calibri" w:cs="Calibri"/>
          <w:noProof/>
        </w:rPr>
        <w:tab/>
        <w:t xml:space="preserve">Galatro, T.F., Vainchtein, I.D., Brouwer, N., Boddeke, E.W.G.M. &amp; Eggen, B.J.L. </w:t>
      </w:r>
      <w:r w:rsidRPr="005E40D4">
        <w:rPr>
          <w:rFonts w:ascii="Calibri" w:hAnsi="Calibri" w:cs="Calibri"/>
          <w:i/>
          <w:iCs/>
          <w:noProof/>
        </w:rPr>
        <w:t>Methods Mol. Biol.</w:t>
      </w:r>
      <w:r w:rsidRPr="005E40D4">
        <w:rPr>
          <w:rFonts w:ascii="Calibri" w:hAnsi="Calibri" w:cs="Calibri"/>
          <w:noProof/>
        </w:rPr>
        <w:t xml:space="preserve"> </w:t>
      </w:r>
      <w:r w:rsidRPr="005E40D4">
        <w:rPr>
          <w:rFonts w:ascii="Calibri" w:hAnsi="Calibri" w:cs="Calibri"/>
          <w:b/>
          <w:bCs/>
          <w:noProof/>
        </w:rPr>
        <w:t>1559</w:t>
      </w:r>
      <w:r w:rsidRPr="005E40D4">
        <w:rPr>
          <w:rFonts w:ascii="Calibri" w:hAnsi="Calibri" w:cs="Calibri"/>
          <w:noProof/>
        </w:rPr>
        <w:t>, 333–342 (2017).</w:t>
      </w:r>
    </w:p>
    <w:p w14:paraId="42E3C718"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6.</w:t>
      </w:r>
      <w:r w:rsidRPr="005E40D4">
        <w:rPr>
          <w:rFonts w:ascii="Calibri" w:hAnsi="Calibri" w:cs="Calibri"/>
          <w:noProof/>
        </w:rPr>
        <w:tab/>
        <w:t xml:space="preserve">Robinson, M.D., McCarthy, D.J. &amp; Smyth, G.K. </w:t>
      </w:r>
      <w:r w:rsidRPr="005E40D4">
        <w:rPr>
          <w:rFonts w:ascii="Calibri" w:hAnsi="Calibri" w:cs="Calibri"/>
          <w:i/>
          <w:iCs/>
          <w:noProof/>
        </w:rPr>
        <w:t>Bioinformatics</w:t>
      </w:r>
      <w:r w:rsidRPr="005E40D4">
        <w:rPr>
          <w:rFonts w:ascii="Calibri" w:hAnsi="Calibri" w:cs="Calibri"/>
          <w:noProof/>
        </w:rPr>
        <w:t xml:space="preserve"> </w:t>
      </w:r>
      <w:r w:rsidRPr="005E40D4">
        <w:rPr>
          <w:rFonts w:ascii="Calibri" w:hAnsi="Calibri" w:cs="Calibri"/>
          <w:b/>
          <w:bCs/>
          <w:noProof/>
        </w:rPr>
        <w:t>26</w:t>
      </w:r>
      <w:r w:rsidRPr="005E40D4">
        <w:rPr>
          <w:rFonts w:ascii="Calibri" w:hAnsi="Calibri" w:cs="Calibri"/>
          <w:noProof/>
        </w:rPr>
        <w:t>, 139–140 (2009).</w:t>
      </w:r>
    </w:p>
    <w:p w14:paraId="3759B0AC"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7.</w:t>
      </w:r>
      <w:r w:rsidRPr="005E40D4">
        <w:rPr>
          <w:rFonts w:ascii="Calibri" w:hAnsi="Calibri" w:cs="Calibri"/>
          <w:noProof/>
        </w:rPr>
        <w:tab/>
        <w:t xml:space="preserve">Langfelder, P. &amp; Horvath, S. </w:t>
      </w:r>
      <w:r w:rsidRPr="005E40D4">
        <w:rPr>
          <w:rFonts w:ascii="Calibri" w:hAnsi="Calibri" w:cs="Calibri"/>
          <w:i/>
          <w:iCs/>
          <w:noProof/>
        </w:rPr>
        <w:t>BMC Bioinformatics</w:t>
      </w:r>
      <w:r w:rsidRPr="005E40D4">
        <w:rPr>
          <w:rFonts w:ascii="Calibri" w:hAnsi="Calibri" w:cs="Calibri"/>
          <w:noProof/>
        </w:rPr>
        <w:t xml:space="preserve"> </w:t>
      </w:r>
      <w:r w:rsidRPr="005E40D4">
        <w:rPr>
          <w:rFonts w:ascii="Calibri" w:hAnsi="Calibri" w:cs="Calibri"/>
          <w:b/>
          <w:bCs/>
          <w:noProof/>
        </w:rPr>
        <w:t>9</w:t>
      </w:r>
      <w:r w:rsidRPr="005E40D4">
        <w:rPr>
          <w:rFonts w:ascii="Calibri" w:hAnsi="Calibri" w:cs="Calibri"/>
          <w:noProof/>
        </w:rPr>
        <w:t>, 559 (2008).</w:t>
      </w:r>
    </w:p>
    <w:p w14:paraId="06DB7EDE"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8.</w:t>
      </w:r>
      <w:r w:rsidRPr="005E40D4">
        <w:rPr>
          <w:rFonts w:ascii="Calibri" w:hAnsi="Calibri" w:cs="Calibri"/>
          <w:noProof/>
        </w:rPr>
        <w:tab/>
        <w:t xml:space="preserve">Love, M.I., Huber, W. &amp; Anders, S. </w:t>
      </w:r>
      <w:r w:rsidRPr="005E40D4">
        <w:rPr>
          <w:rFonts w:ascii="Calibri" w:hAnsi="Calibri" w:cs="Calibri"/>
          <w:i/>
          <w:iCs/>
          <w:noProof/>
        </w:rPr>
        <w:t>Genome Biol.</w:t>
      </w:r>
      <w:r w:rsidRPr="005E40D4">
        <w:rPr>
          <w:rFonts w:ascii="Calibri" w:hAnsi="Calibri" w:cs="Calibri"/>
          <w:noProof/>
        </w:rPr>
        <w:t xml:space="preserve"> </w:t>
      </w:r>
      <w:r w:rsidRPr="005E40D4">
        <w:rPr>
          <w:rFonts w:ascii="Calibri" w:hAnsi="Calibri" w:cs="Calibri"/>
          <w:b/>
          <w:bCs/>
          <w:noProof/>
        </w:rPr>
        <w:t>15</w:t>
      </w:r>
      <w:r w:rsidRPr="005E40D4">
        <w:rPr>
          <w:rFonts w:ascii="Calibri" w:hAnsi="Calibri" w:cs="Calibri"/>
          <w:noProof/>
        </w:rPr>
        <w:t>, 550 (2014).</w:t>
      </w:r>
    </w:p>
    <w:p w14:paraId="2D9ECFF5"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9.</w:t>
      </w:r>
      <w:r w:rsidRPr="005E40D4">
        <w:rPr>
          <w:rFonts w:ascii="Calibri" w:hAnsi="Calibri" w:cs="Calibri"/>
          <w:noProof/>
        </w:rPr>
        <w:tab/>
        <w:t xml:space="preserve">Xie, Z. et al. </w:t>
      </w:r>
      <w:r w:rsidRPr="005E40D4">
        <w:rPr>
          <w:rFonts w:ascii="Calibri" w:hAnsi="Calibri" w:cs="Calibri"/>
          <w:i/>
          <w:iCs/>
          <w:noProof/>
        </w:rPr>
        <w:t>Curr. Protoc.</w:t>
      </w:r>
      <w:r w:rsidRPr="005E40D4">
        <w:rPr>
          <w:rFonts w:ascii="Calibri" w:hAnsi="Calibri" w:cs="Calibri"/>
          <w:noProof/>
        </w:rPr>
        <w:t xml:space="preserve"> </w:t>
      </w:r>
      <w:r w:rsidRPr="005E40D4">
        <w:rPr>
          <w:rFonts w:ascii="Calibri" w:hAnsi="Calibri" w:cs="Calibri"/>
          <w:b/>
          <w:bCs/>
          <w:noProof/>
        </w:rPr>
        <w:t>1</w:t>
      </w:r>
      <w:r w:rsidRPr="005E40D4">
        <w:rPr>
          <w:rFonts w:ascii="Calibri" w:hAnsi="Calibri" w:cs="Calibri"/>
          <w:noProof/>
        </w:rPr>
        <w:t>, e90 (2021).</w:t>
      </w:r>
    </w:p>
    <w:p w14:paraId="409CC484"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10.</w:t>
      </w:r>
      <w:r w:rsidRPr="005E40D4">
        <w:rPr>
          <w:rFonts w:ascii="Calibri" w:hAnsi="Calibri" w:cs="Calibri"/>
          <w:noProof/>
        </w:rPr>
        <w:tab/>
        <w:t>Sayols, S. (2020).</w:t>
      </w:r>
    </w:p>
    <w:p w14:paraId="592BE5FA"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11.</w:t>
      </w:r>
      <w:r w:rsidRPr="005E40D4">
        <w:rPr>
          <w:rFonts w:ascii="Calibri" w:hAnsi="Calibri" w:cs="Calibri"/>
          <w:noProof/>
        </w:rPr>
        <w:tab/>
        <w:t>Kolde, R. (2019).</w:t>
      </w:r>
    </w:p>
    <w:p w14:paraId="0422827D"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12.</w:t>
      </w:r>
      <w:r w:rsidRPr="005E40D4">
        <w:rPr>
          <w:rFonts w:ascii="Calibri" w:hAnsi="Calibri" w:cs="Calibri"/>
          <w:noProof/>
        </w:rPr>
        <w:tab/>
        <w:t>Blighe, Kevin, and Lun, A. (2019).</w:t>
      </w:r>
    </w:p>
    <w:p w14:paraId="3AF4A0A5"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13.</w:t>
      </w:r>
      <w:r w:rsidRPr="005E40D4">
        <w:rPr>
          <w:rFonts w:ascii="Calibri" w:hAnsi="Calibri" w:cs="Calibri"/>
          <w:noProof/>
        </w:rPr>
        <w:tab/>
        <w:t xml:space="preserve">Chen, H. &amp; Boutros, P.C. </w:t>
      </w:r>
      <w:r w:rsidRPr="005E40D4">
        <w:rPr>
          <w:rFonts w:ascii="Calibri" w:hAnsi="Calibri" w:cs="Calibri"/>
          <w:i/>
          <w:iCs/>
          <w:noProof/>
        </w:rPr>
        <w:t>BMC Bioinformatics</w:t>
      </w:r>
      <w:r w:rsidRPr="005E40D4">
        <w:rPr>
          <w:rFonts w:ascii="Calibri" w:hAnsi="Calibri" w:cs="Calibri"/>
          <w:noProof/>
        </w:rPr>
        <w:t xml:space="preserve"> </w:t>
      </w:r>
      <w:r w:rsidRPr="005E40D4">
        <w:rPr>
          <w:rFonts w:ascii="Calibri" w:hAnsi="Calibri" w:cs="Calibri"/>
          <w:b/>
          <w:bCs/>
          <w:noProof/>
        </w:rPr>
        <w:t>12</w:t>
      </w:r>
      <w:r w:rsidRPr="005E40D4">
        <w:rPr>
          <w:rFonts w:ascii="Calibri" w:hAnsi="Calibri" w:cs="Calibri"/>
          <w:noProof/>
        </w:rPr>
        <w:t>,  (2011).</w:t>
      </w:r>
    </w:p>
    <w:p w14:paraId="55C3AC5D"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14.</w:t>
      </w:r>
      <w:r w:rsidRPr="005E40D4">
        <w:rPr>
          <w:rFonts w:ascii="Calibri" w:hAnsi="Calibri" w:cs="Calibri"/>
          <w:noProof/>
        </w:rPr>
        <w:tab/>
        <w:t>Brunson, J.C. (2020).</w:t>
      </w:r>
    </w:p>
    <w:p w14:paraId="4EB83E21"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15.</w:t>
      </w:r>
      <w:r w:rsidRPr="005E40D4">
        <w:rPr>
          <w:rFonts w:ascii="Calibri" w:hAnsi="Calibri" w:cs="Calibri"/>
          <w:noProof/>
        </w:rPr>
        <w:tab/>
        <w:t>Wickham, H. (2016).</w:t>
      </w:r>
    </w:p>
    <w:p w14:paraId="0D3469BC"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16.</w:t>
      </w:r>
      <w:r w:rsidRPr="005E40D4">
        <w:rPr>
          <w:rFonts w:ascii="Calibri" w:hAnsi="Calibri" w:cs="Calibri"/>
          <w:noProof/>
        </w:rPr>
        <w:tab/>
        <w:t xml:space="preserve">Gonzalez-Lozano, M.A. et al. </w:t>
      </w:r>
      <w:r w:rsidRPr="005E40D4">
        <w:rPr>
          <w:rFonts w:ascii="Calibri" w:hAnsi="Calibri" w:cs="Calibri"/>
          <w:i/>
          <w:iCs/>
          <w:noProof/>
        </w:rPr>
        <w:t>Sci. Adv.</w:t>
      </w:r>
      <w:r w:rsidRPr="005E40D4">
        <w:rPr>
          <w:rFonts w:ascii="Calibri" w:hAnsi="Calibri" w:cs="Calibri"/>
          <w:noProof/>
        </w:rPr>
        <w:t xml:space="preserve"> </w:t>
      </w:r>
      <w:r w:rsidRPr="005E40D4">
        <w:rPr>
          <w:rFonts w:ascii="Calibri" w:hAnsi="Calibri" w:cs="Calibri"/>
          <w:b/>
          <w:bCs/>
          <w:noProof/>
        </w:rPr>
        <w:t>6</w:t>
      </w:r>
      <w:r w:rsidRPr="005E40D4">
        <w:rPr>
          <w:rFonts w:ascii="Calibri" w:hAnsi="Calibri" w:cs="Calibri"/>
          <w:noProof/>
        </w:rPr>
        <w:t>,  (2020).</w:t>
      </w:r>
    </w:p>
    <w:p w14:paraId="2EC8FA6F"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17.</w:t>
      </w:r>
      <w:r w:rsidRPr="005E40D4">
        <w:rPr>
          <w:rFonts w:ascii="Calibri" w:hAnsi="Calibri" w:cs="Calibri"/>
          <w:noProof/>
        </w:rPr>
        <w:tab/>
        <w:t xml:space="preserve">Tanti, A. et al. </w:t>
      </w:r>
      <w:r w:rsidRPr="005E40D4">
        <w:rPr>
          <w:rFonts w:ascii="Calibri" w:hAnsi="Calibri" w:cs="Calibri"/>
          <w:i/>
          <w:iCs/>
          <w:noProof/>
        </w:rPr>
        <w:t>Mol. Psychiatry</w:t>
      </w:r>
      <w:r w:rsidRPr="005E40D4">
        <w:rPr>
          <w:rFonts w:ascii="Calibri" w:hAnsi="Calibri" w:cs="Calibri"/>
          <w:noProof/>
        </w:rPr>
        <w:t xml:space="preserve"> </w:t>
      </w:r>
      <w:r w:rsidRPr="005E40D4">
        <w:rPr>
          <w:rFonts w:ascii="Calibri" w:hAnsi="Calibri" w:cs="Calibri"/>
          <w:b/>
          <w:bCs/>
          <w:noProof/>
        </w:rPr>
        <w:t>27</w:t>
      </w:r>
      <w:r w:rsidRPr="005E40D4">
        <w:rPr>
          <w:rFonts w:ascii="Calibri" w:hAnsi="Calibri" w:cs="Calibri"/>
          <w:noProof/>
        </w:rPr>
        <w:t>,  (2021).</w:t>
      </w:r>
    </w:p>
    <w:p w14:paraId="6F3C4372" w14:textId="77777777" w:rsidR="005E40D4" w:rsidRPr="005E40D4" w:rsidRDefault="005E40D4" w:rsidP="005E40D4">
      <w:pPr>
        <w:widowControl w:val="0"/>
        <w:autoSpaceDE w:val="0"/>
        <w:autoSpaceDN w:val="0"/>
        <w:adjustRightInd w:val="0"/>
        <w:ind w:left="640" w:hanging="640"/>
        <w:rPr>
          <w:rFonts w:ascii="Calibri" w:hAnsi="Calibri" w:cs="Calibri"/>
          <w:noProof/>
        </w:rPr>
      </w:pPr>
      <w:r w:rsidRPr="005E40D4">
        <w:rPr>
          <w:rFonts w:ascii="Calibri" w:hAnsi="Calibri" w:cs="Calibri"/>
          <w:noProof/>
        </w:rPr>
        <w:t>18.</w:t>
      </w:r>
      <w:r w:rsidRPr="005E40D4">
        <w:rPr>
          <w:rFonts w:ascii="Calibri" w:hAnsi="Calibri" w:cs="Calibri"/>
          <w:noProof/>
        </w:rPr>
        <w:tab/>
        <w:t xml:space="preserve">Bankhead, P. et al. </w:t>
      </w:r>
      <w:r w:rsidRPr="005E40D4">
        <w:rPr>
          <w:rFonts w:ascii="Calibri" w:hAnsi="Calibri" w:cs="Calibri"/>
          <w:i/>
          <w:iCs/>
          <w:noProof/>
        </w:rPr>
        <w:t>Sci. Rep.</w:t>
      </w:r>
      <w:r w:rsidRPr="005E40D4">
        <w:rPr>
          <w:rFonts w:ascii="Calibri" w:hAnsi="Calibri" w:cs="Calibri"/>
          <w:noProof/>
        </w:rPr>
        <w:t xml:space="preserve"> </w:t>
      </w:r>
      <w:r w:rsidRPr="005E40D4">
        <w:rPr>
          <w:rFonts w:ascii="Calibri" w:hAnsi="Calibri" w:cs="Calibri"/>
          <w:b/>
          <w:bCs/>
          <w:noProof/>
        </w:rPr>
        <w:t>7</w:t>
      </w:r>
      <w:r w:rsidRPr="005E40D4">
        <w:rPr>
          <w:rFonts w:ascii="Calibri" w:hAnsi="Calibri" w:cs="Calibri"/>
          <w:noProof/>
        </w:rPr>
        <w:t>,  (2017).</w:t>
      </w:r>
    </w:p>
    <w:p w14:paraId="12857A16" w14:textId="75F4656C" w:rsidR="007B1F28" w:rsidRPr="003E39DC" w:rsidRDefault="005E40D4" w:rsidP="003E39DC">
      <w:pPr>
        <w:ind w:firstLine="0"/>
        <w:jc w:val="left"/>
        <w:rPr>
          <w:rFonts w:cstheme="minorHAnsi"/>
          <w:lang w:val="uz-Cyrl-UZ"/>
        </w:rPr>
      </w:pPr>
      <w:r>
        <w:rPr>
          <w:rFonts w:cstheme="minorHAnsi"/>
          <w:lang w:val="uz-Cyrl-UZ"/>
        </w:rPr>
        <w:fldChar w:fldCharType="end"/>
      </w:r>
    </w:p>
    <w:sectPr w:rsidR="007B1F28" w:rsidRPr="003E39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E6099" w14:textId="77777777" w:rsidR="00151B70" w:rsidRDefault="00151B70" w:rsidP="009261CC">
      <w:pPr>
        <w:spacing w:line="240" w:lineRule="auto"/>
      </w:pPr>
      <w:r>
        <w:separator/>
      </w:r>
    </w:p>
  </w:endnote>
  <w:endnote w:type="continuationSeparator" w:id="0">
    <w:p w14:paraId="3F8EC9DB" w14:textId="77777777" w:rsidR="00151B70" w:rsidRDefault="00151B70" w:rsidP="00926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44B66" w14:textId="77777777" w:rsidR="00151B70" w:rsidRDefault="00151B70" w:rsidP="009261CC">
      <w:pPr>
        <w:spacing w:line="240" w:lineRule="auto"/>
      </w:pPr>
      <w:r>
        <w:separator/>
      </w:r>
    </w:p>
  </w:footnote>
  <w:footnote w:type="continuationSeparator" w:id="0">
    <w:p w14:paraId="326E94CD" w14:textId="77777777" w:rsidR="00151B70" w:rsidRDefault="00151B70" w:rsidP="009261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39"/>
    <w:rsid w:val="00011D0A"/>
    <w:rsid w:val="00057BEB"/>
    <w:rsid w:val="00077B32"/>
    <w:rsid w:val="000D712F"/>
    <w:rsid w:val="000E7939"/>
    <w:rsid w:val="00135383"/>
    <w:rsid w:val="00142976"/>
    <w:rsid w:val="00151B70"/>
    <w:rsid w:val="00173A7D"/>
    <w:rsid w:val="001815FD"/>
    <w:rsid w:val="00186775"/>
    <w:rsid w:val="001B2487"/>
    <w:rsid w:val="001F70BB"/>
    <w:rsid w:val="002170C9"/>
    <w:rsid w:val="0022197E"/>
    <w:rsid w:val="00222AF7"/>
    <w:rsid w:val="00223022"/>
    <w:rsid w:val="00242832"/>
    <w:rsid w:val="00282209"/>
    <w:rsid w:val="00286D0F"/>
    <w:rsid w:val="002A3731"/>
    <w:rsid w:val="002E4AE1"/>
    <w:rsid w:val="003069A0"/>
    <w:rsid w:val="00326760"/>
    <w:rsid w:val="003324CF"/>
    <w:rsid w:val="00350CA8"/>
    <w:rsid w:val="00363F54"/>
    <w:rsid w:val="003662E3"/>
    <w:rsid w:val="003A7E0A"/>
    <w:rsid w:val="003E39DC"/>
    <w:rsid w:val="00492EF6"/>
    <w:rsid w:val="004C0A9C"/>
    <w:rsid w:val="004D22B6"/>
    <w:rsid w:val="004D29B4"/>
    <w:rsid w:val="00505F9B"/>
    <w:rsid w:val="005110B0"/>
    <w:rsid w:val="00565234"/>
    <w:rsid w:val="00574964"/>
    <w:rsid w:val="00597E81"/>
    <w:rsid w:val="005C6A19"/>
    <w:rsid w:val="005E40D4"/>
    <w:rsid w:val="006270B7"/>
    <w:rsid w:val="006339E5"/>
    <w:rsid w:val="0066426A"/>
    <w:rsid w:val="00683A7F"/>
    <w:rsid w:val="006A3A2E"/>
    <w:rsid w:val="006C57B9"/>
    <w:rsid w:val="006D55EA"/>
    <w:rsid w:val="006F0DA6"/>
    <w:rsid w:val="0073496B"/>
    <w:rsid w:val="00743F17"/>
    <w:rsid w:val="007471CD"/>
    <w:rsid w:val="007503DD"/>
    <w:rsid w:val="00784067"/>
    <w:rsid w:val="007B1F28"/>
    <w:rsid w:val="007E0865"/>
    <w:rsid w:val="007E15BB"/>
    <w:rsid w:val="007E4765"/>
    <w:rsid w:val="008011D5"/>
    <w:rsid w:val="008206EC"/>
    <w:rsid w:val="00823388"/>
    <w:rsid w:val="00876B66"/>
    <w:rsid w:val="008924B8"/>
    <w:rsid w:val="008A59A0"/>
    <w:rsid w:val="00905085"/>
    <w:rsid w:val="00920039"/>
    <w:rsid w:val="009261CC"/>
    <w:rsid w:val="0094556F"/>
    <w:rsid w:val="009E4E21"/>
    <w:rsid w:val="00A604EA"/>
    <w:rsid w:val="00A632BF"/>
    <w:rsid w:val="00A70C42"/>
    <w:rsid w:val="00A81D44"/>
    <w:rsid w:val="00A92307"/>
    <w:rsid w:val="00A93A83"/>
    <w:rsid w:val="00AA50D5"/>
    <w:rsid w:val="00B03A2D"/>
    <w:rsid w:val="00B16033"/>
    <w:rsid w:val="00B465C4"/>
    <w:rsid w:val="00B95D3D"/>
    <w:rsid w:val="00BA201F"/>
    <w:rsid w:val="00BD7DFA"/>
    <w:rsid w:val="00BF29F3"/>
    <w:rsid w:val="00C224BF"/>
    <w:rsid w:val="00C51960"/>
    <w:rsid w:val="00C720CD"/>
    <w:rsid w:val="00CA0790"/>
    <w:rsid w:val="00CB6F0A"/>
    <w:rsid w:val="00CC5530"/>
    <w:rsid w:val="00CD080A"/>
    <w:rsid w:val="00CE19A0"/>
    <w:rsid w:val="00D10A17"/>
    <w:rsid w:val="00DD6D7B"/>
    <w:rsid w:val="00E03602"/>
    <w:rsid w:val="00E32C6B"/>
    <w:rsid w:val="00E80BFE"/>
    <w:rsid w:val="00E81F8F"/>
    <w:rsid w:val="00E90FED"/>
    <w:rsid w:val="00EA49A4"/>
    <w:rsid w:val="00EC6BFA"/>
    <w:rsid w:val="00F06B4B"/>
    <w:rsid w:val="00F40CF1"/>
    <w:rsid w:val="00F4586F"/>
    <w:rsid w:val="00F557F2"/>
    <w:rsid w:val="00F739E1"/>
    <w:rsid w:val="00F8745E"/>
    <w:rsid w:val="00F90CE0"/>
    <w:rsid w:val="00F91B73"/>
    <w:rsid w:val="00FD29A2"/>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46CA92"/>
  <w15:docId w15:val="{D90F40C3-8402-D44C-96F7-2D6FB426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 Standard"/>
    <w:qFormat/>
    <w:rsid w:val="000E7939"/>
    <w:pPr>
      <w:spacing w:line="288" w:lineRule="auto"/>
      <w:ind w:firstLine="284"/>
      <w:jc w:val="both"/>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2. Überschirft ohne zahl,Standard2"/>
    <w:basedOn w:val="Normal"/>
    <w:next w:val="1standard"/>
    <w:link w:val="NoSpacingChar"/>
    <w:uiPriority w:val="1"/>
    <w:qFormat/>
    <w:rsid w:val="000E7939"/>
    <w:pPr>
      <w:autoSpaceDE w:val="0"/>
      <w:autoSpaceDN w:val="0"/>
      <w:adjustRightInd w:val="0"/>
      <w:spacing w:line="240" w:lineRule="auto"/>
      <w:ind w:firstLine="0"/>
      <w:jc w:val="left"/>
    </w:pPr>
    <w:rPr>
      <w:rFonts w:asciiTheme="majorHAnsi" w:hAnsiTheme="majorHAnsi" w:cs="Georgia"/>
      <w:b/>
      <w:color w:val="000000"/>
      <w:szCs w:val="24"/>
      <w:lang w:val="nl-NL"/>
    </w:rPr>
  </w:style>
  <w:style w:type="character" w:styleId="CommentReference">
    <w:name w:val="annotation reference"/>
    <w:basedOn w:val="DefaultParagraphFont"/>
    <w:uiPriority w:val="99"/>
    <w:semiHidden/>
    <w:unhideWhenUsed/>
    <w:rsid w:val="000E7939"/>
    <w:rPr>
      <w:sz w:val="16"/>
      <w:szCs w:val="16"/>
    </w:rPr>
  </w:style>
  <w:style w:type="paragraph" w:styleId="CommentText">
    <w:name w:val="annotation text"/>
    <w:basedOn w:val="Normal"/>
    <w:link w:val="CommentTextChar"/>
    <w:uiPriority w:val="99"/>
    <w:unhideWhenUsed/>
    <w:rsid w:val="000E7939"/>
    <w:rPr>
      <w:sz w:val="20"/>
      <w:szCs w:val="20"/>
    </w:rPr>
  </w:style>
  <w:style w:type="character" w:customStyle="1" w:styleId="CommentTextChar">
    <w:name w:val="Comment Text Char"/>
    <w:basedOn w:val="DefaultParagraphFont"/>
    <w:link w:val="CommentText"/>
    <w:uiPriority w:val="99"/>
    <w:rsid w:val="000E7939"/>
    <w:rPr>
      <w:sz w:val="20"/>
      <w:szCs w:val="20"/>
      <w:lang w:val="en-GB"/>
    </w:rPr>
  </w:style>
  <w:style w:type="paragraph" w:styleId="NormalWeb">
    <w:name w:val="Normal (Web)"/>
    <w:basedOn w:val="Normal"/>
    <w:uiPriority w:val="99"/>
    <w:unhideWhenUsed/>
    <w:rsid w:val="000E7939"/>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1standard">
    <w:name w:val="1. standard"/>
    <w:basedOn w:val="Normal"/>
    <w:link w:val="1standardZchn"/>
    <w:qFormat/>
    <w:rsid w:val="000E7939"/>
    <w:pPr>
      <w:ind w:firstLine="0"/>
    </w:pPr>
    <w:rPr>
      <w:rFonts w:cstheme="minorHAnsi"/>
    </w:rPr>
  </w:style>
  <w:style w:type="character" w:customStyle="1" w:styleId="1standardZchn">
    <w:name w:val="1. standard Zchn"/>
    <w:basedOn w:val="DefaultParagraphFont"/>
    <w:link w:val="1standard"/>
    <w:rsid w:val="000E7939"/>
    <w:rPr>
      <w:rFonts w:cstheme="minorHAnsi"/>
      <w:sz w:val="22"/>
      <w:szCs w:val="22"/>
      <w:lang w:val="en-GB"/>
    </w:rPr>
  </w:style>
  <w:style w:type="paragraph" w:customStyle="1" w:styleId="1berschiftohnezahl">
    <w:name w:val="1. Überschift ohne zahl"/>
    <w:basedOn w:val="Normal"/>
    <w:next w:val="Normal"/>
    <w:link w:val="1berschiftohnezahlZchn"/>
    <w:uiPriority w:val="1"/>
    <w:qFormat/>
    <w:rsid w:val="000E7939"/>
    <w:pPr>
      <w:autoSpaceDE w:val="0"/>
      <w:autoSpaceDN w:val="0"/>
      <w:adjustRightInd w:val="0"/>
      <w:spacing w:before="240" w:after="120"/>
      <w:ind w:firstLine="0"/>
      <w:jc w:val="left"/>
    </w:pPr>
    <w:rPr>
      <w:rFonts w:cs="Georgia"/>
      <w:b/>
      <w:color w:val="000000"/>
      <w:szCs w:val="24"/>
      <w:lang w:val="de-DE"/>
    </w:rPr>
  </w:style>
  <w:style w:type="character" w:customStyle="1" w:styleId="1berschiftohnezahlZchn">
    <w:name w:val="1. Überschift ohne zahl Zchn"/>
    <w:basedOn w:val="DefaultParagraphFont"/>
    <w:link w:val="1berschiftohnezahl"/>
    <w:uiPriority w:val="1"/>
    <w:rsid w:val="000E7939"/>
    <w:rPr>
      <w:rFonts w:cs="Georgia"/>
      <w:b/>
      <w:color w:val="000000"/>
      <w:sz w:val="22"/>
      <w:lang w:val="de-DE"/>
    </w:rPr>
  </w:style>
  <w:style w:type="character" w:customStyle="1" w:styleId="NoSpacingChar">
    <w:name w:val="No Spacing Char"/>
    <w:aliases w:val="2. Überschirft ohne zahl Char,Standard2 Char"/>
    <w:basedOn w:val="DefaultParagraphFont"/>
    <w:link w:val="NoSpacing"/>
    <w:uiPriority w:val="1"/>
    <w:rsid w:val="000E7939"/>
    <w:rPr>
      <w:rFonts w:asciiTheme="majorHAnsi" w:hAnsiTheme="majorHAnsi" w:cs="Georgia"/>
      <w:b/>
      <w:color w:val="000000"/>
      <w:sz w:val="22"/>
      <w:lang w:val="nl-NL"/>
    </w:rPr>
  </w:style>
  <w:style w:type="paragraph" w:styleId="CommentSubject">
    <w:name w:val="annotation subject"/>
    <w:basedOn w:val="CommentText"/>
    <w:next w:val="CommentText"/>
    <w:link w:val="CommentSubjectChar"/>
    <w:uiPriority w:val="99"/>
    <w:semiHidden/>
    <w:unhideWhenUsed/>
    <w:rsid w:val="006A3A2E"/>
    <w:pPr>
      <w:spacing w:line="240" w:lineRule="auto"/>
    </w:pPr>
    <w:rPr>
      <w:b/>
      <w:bCs/>
    </w:rPr>
  </w:style>
  <w:style w:type="character" w:customStyle="1" w:styleId="CommentSubjectChar">
    <w:name w:val="Comment Subject Char"/>
    <w:basedOn w:val="CommentTextChar"/>
    <w:link w:val="CommentSubject"/>
    <w:uiPriority w:val="99"/>
    <w:semiHidden/>
    <w:rsid w:val="006A3A2E"/>
    <w:rPr>
      <w:b/>
      <w:bCs/>
      <w:sz w:val="20"/>
      <w:szCs w:val="20"/>
      <w:lang w:val="en-GB"/>
    </w:rPr>
  </w:style>
  <w:style w:type="paragraph" w:styleId="Header">
    <w:name w:val="header"/>
    <w:basedOn w:val="Normal"/>
    <w:link w:val="HeaderChar"/>
    <w:uiPriority w:val="99"/>
    <w:unhideWhenUsed/>
    <w:rsid w:val="009261CC"/>
    <w:pPr>
      <w:tabs>
        <w:tab w:val="center" w:pos="4513"/>
        <w:tab w:val="right" w:pos="9026"/>
      </w:tabs>
      <w:spacing w:line="240" w:lineRule="auto"/>
    </w:pPr>
  </w:style>
  <w:style w:type="character" w:customStyle="1" w:styleId="HeaderChar">
    <w:name w:val="Header Char"/>
    <w:basedOn w:val="DefaultParagraphFont"/>
    <w:link w:val="Header"/>
    <w:uiPriority w:val="99"/>
    <w:rsid w:val="009261CC"/>
    <w:rPr>
      <w:sz w:val="22"/>
      <w:szCs w:val="22"/>
      <w:lang w:val="en-GB"/>
    </w:rPr>
  </w:style>
  <w:style w:type="paragraph" w:styleId="Footer">
    <w:name w:val="footer"/>
    <w:basedOn w:val="Normal"/>
    <w:link w:val="FooterChar"/>
    <w:uiPriority w:val="99"/>
    <w:unhideWhenUsed/>
    <w:rsid w:val="009261CC"/>
    <w:pPr>
      <w:tabs>
        <w:tab w:val="center" w:pos="4513"/>
        <w:tab w:val="right" w:pos="9026"/>
      </w:tabs>
      <w:spacing w:line="240" w:lineRule="auto"/>
    </w:pPr>
  </w:style>
  <w:style w:type="character" w:customStyle="1" w:styleId="FooterChar">
    <w:name w:val="Footer Char"/>
    <w:basedOn w:val="DefaultParagraphFont"/>
    <w:link w:val="Footer"/>
    <w:uiPriority w:val="99"/>
    <w:rsid w:val="009261CC"/>
    <w:rPr>
      <w:sz w:val="22"/>
      <w:szCs w:val="22"/>
      <w:lang w:val="en-GB"/>
    </w:rPr>
  </w:style>
  <w:style w:type="paragraph" w:styleId="BalloonText">
    <w:name w:val="Balloon Text"/>
    <w:basedOn w:val="Normal"/>
    <w:link w:val="BalloonTextChar"/>
    <w:uiPriority w:val="99"/>
    <w:semiHidden/>
    <w:unhideWhenUsed/>
    <w:rsid w:val="004D22B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22B6"/>
    <w:rPr>
      <w:rFonts w:ascii="Lucida Grande" w:hAnsi="Lucida Grande" w:cs="Lucida Grande"/>
      <w:sz w:val="18"/>
      <w:szCs w:val="18"/>
      <w:lang w:val="en-GB"/>
    </w:rPr>
  </w:style>
  <w:style w:type="paragraph" w:styleId="Revision">
    <w:name w:val="Revision"/>
    <w:hidden/>
    <w:uiPriority w:val="99"/>
    <w:semiHidden/>
    <w:rsid w:val="00EA49A4"/>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5284">
      <w:bodyDiv w:val="1"/>
      <w:marLeft w:val="0"/>
      <w:marRight w:val="0"/>
      <w:marTop w:val="0"/>
      <w:marBottom w:val="0"/>
      <w:divBdr>
        <w:top w:val="none" w:sz="0" w:space="0" w:color="auto"/>
        <w:left w:val="none" w:sz="0" w:space="0" w:color="auto"/>
        <w:bottom w:val="none" w:sz="0" w:space="0" w:color="auto"/>
        <w:right w:val="none" w:sz="0" w:space="0" w:color="auto"/>
      </w:divBdr>
    </w:div>
    <w:div w:id="21937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FF2BC-F258-8B41-BC00-12D0DA5E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9128</Words>
  <Characters>52031</Characters>
  <Application>Microsoft Office Word</Application>
  <DocSecurity>0</DocSecurity>
  <Lines>433</Lines>
  <Paragraphs>122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Kotah</dc:creator>
  <cp:keywords/>
  <dc:description/>
  <cp:lastModifiedBy>Janssen Kotah</cp:lastModifiedBy>
  <cp:revision>24</cp:revision>
  <dcterms:created xsi:type="dcterms:W3CDTF">2022-05-31T20:18:00Z</dcterms:created>
  <dcterms:modified xsi:type="dcterms:W3CDTF">2022-06-24T09:19:00Z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0bb5bbd5-af3d-3fc3-b135-25e68f155c2b</vt:lpwstr>
  </property>
  <property fmtid="{D5CDD505-2E9C-101B-9397-08002B2CF9AE}" pid="4" name="Mendeley Citation Style_1">
    <vt:lpwstr>http://www.zotero.org/styles/nature-neuroscience-brief-communications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http://www.zotero.org/styles/glia</vt:lpwstr>
  </property>
  <property fmtid="{D5CDD505-2E9C-101B-9397-08002B2CF9AE}" pid="10" name="Mendeley Recent Style Name 2_1">
    <vt:lpwstr>GLIA</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http://www.zotero.org/styles/molecular-psychiatry</vt:lpwstr>
  </property>
  <property fmtid="{D5CDD505-2E9C-101B-9397-08002B2CF9AE}" pid="18" name="Mendeley Recent Style Name 6_1">
    <vt:lpwstr>Molecular Psychiatry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http://www.zotero.org/styles/nature-neuroscience-brief-communications</vt:lpwstr>
  </property>
  <property fmtid="{D5CDD505-2E9C-101B-9397-08002B2CF9AE}" pid="22" name="Mendeley Recent Style Name 8_1">
    <vt:lpwstr>Nature Neuroscience (brief communications)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