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8F2" w:rsidRDefault="007338F2" w:rsidP="007338F2">
      <w:pPr>
        <w:spacing w:line="480" w:lineRule="auto"/>
        <w:jc w:val="left"/>
        <w:rPr>
          <w:rFonts w:ascii="Times New Roman" w:hAnsi="Times New Roman"/>
          <w:kern w:val="0"/>
          <w:sz w:val="22"/>
          <w:szCs w:val="22"/>
        </w:rPr>
      </w:pPr>
    </w:p>
    <w:p w:rsidR="007338F2" w:rsidRDefault="007338F2" w:rsidP="007338F2">
      <w:pPr>
        <w:spacing w:line="480" w:lineRule="auto"/>
        <w:jc w:val="left"/>
        <w:rPr>
          <w:rFonts w:ascii="Times New Roman" w:hAnsi="Times New Roman"/>
          <w:kern w:val="0"/>
          <w:sz w:val="22"/>
          <w:szCs w:val="22"/>
        </w:rPr>
      </w:pPr>
    </w:p>
    <w:tbl>
      <w:tblPr>
        <w:tblpPr w:leftFromText="180" w:rightFromText="180" w:vertAnchor="page" w:horzAnchor="margin" w:tblpY="1921"/>
        <w:tblOverlap w:val="never"/>
        <w:tblW w:w="8516" w:type="dxa"/>
        <w:tblBorders>
          <w:top w:val="single" w:sz="8" w:space="0" w:color="000000"/>
          <w:bottom w:val="single" w:sz="8" w:space="0" w:color="000000"/>
        </w:tblBorders>
        <w:tblLook w:val="0000" w:firstRow="0" w:lastRow="0" w:firstColumn="0" w:lastColumn="0" w:noHBand="0" w:noVBand="0"/>
      </w:tblPr>
      <w:tblGrid>
        <w:gridCol w:w="1739"/>
        <w:gridCol w:w="6777"/>
      </w:tblGrid>
      <w:tr w:rsidR="007338F2" w:rsidTr="008F7701">
        <w:tc>
          <w:tcPr>
            <w:tcW w:w="85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  <w:t>Table 1. Assessment of presence/absence of papilla height</w:t>
            </w:r>
          </w:p>
        </w:tc>
      </w:tr>
      <w:tr w:rsidR="007338F2" w:rsidTr="008F7701">
        <w:tc>
          <w:tcPr>
            <w:tcW w:w="1739" w:type="dxa"/>
            <w:tcBorders>
              <w:top w:val="single" w:sz="4" w:space="0" w:color="auto"/>
              <w:left w:val="nil"/>
              <w:right w:val="nil"/>
            </w:tcBorders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Score 0</w:t>
            </w: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：</w:t>
            </w:r>
          </w:p>
        </w:tc>
        <w:tc>
          <w:tcPr>
            <w:tcW w:w="6777" w:type="dxa"/>
            <w:tcBorders>
              <w:top w:val="single" w:sz="4" w:space="0" w:color="auto"/>
              <w:left w:val="nil"/>
              <w:right w:val="nil"/>
            </w:tcBorders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No papilla present.</w:t>
            </w:r>
          </w:p>
        </w:tc>
      </w:tr>
      <w:tr w:rsidR="007338F2" w:rsidTr="008F7701">
        <w:tc>
          <w:tcPr>
            <w:tcW w:w="1739" w:type="dxa"/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Score 1</w:t>
            </w: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：</w:t>
            </w:r>
          </w:p>
        </w:tc>
        <w:tc>
          <w:tcPr>
            <w:tcW w:w="6777" w:type="dxa"/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Less than half of the height of the papilla present .</w:t>
            </w:r>
          </w:p>
        </w:tc>
      </w:tr>
      <w:tr w:rsidR="007338F2" w:rsidTr="008F7701">
        <w:tc>
          <w:tcPr>
            <w:tcW w:w="1739" w:type="dxa"/>
            <w:tcBorders>
              <w:left w:val="nil"/>
              <w:right w:val="nil"/>
            </w:tcBorders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Score 2</w:t>
            </w: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：</w:t>
            </w:r>
          </w:p>
        </w:tc>
        <w:tc>
          <w:tcPr>
            <w:tcW w:w="6777" w:type="dxa"/>
            <w:tcBorders>
              <w:left w:val="nil"/>
              <w:right w:val="nil"/>
            </w:tcBorders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At least half of the height of the papilla present, but not all the way up to the contact point between the teeth .</w:t>
            </w:r>
          </w:p>
        </w:tc>
      </w:tr>
      <w:tr w:rsidR="007338F2" w:rsidTr="008F7701">
        <w:tc>
          <w:tcPr>
            <w:tcW w:w="1739" w:type="dxa"/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Score 3</w:t>
            </w: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：</w:t>
            </w:r>
          </w:p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Score 4</w:t>
            </w: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：</w:t>
            </w:r>
          </w:p>
        </w:tc>
        <w:tc>
          <w:tcPr>
            <w:tcW w:w="6777" w:type="dxa"/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The papilla fills up the entire proximal space and is in good harmony with the adjacent papillae.</w:t>
            </w:r>
          </w:p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Papillae are hyperplasic.</w:t>
            </w:r>
          </w:p>
        </w:tc>
      </w:tr>
    </w:tbl>
    <w:p w:rsidR="007338F2" w:rsidRDefault="007338F2" w:rsidP="007338F2">
      <w:pPr>
        <w:spacing w:line="360" w:lineRule="auto"/>
        <w:rPr>
          <w:rFonts w:ascii="Times New Roman" w:hAnsi="Times New Roman"/>
          <w:kern w:val="0"/>
          <w:sz w:val="22"/>
          <w:szCs w:val="22"/>
        </w:rPr>
      </w:pPr>
    </w:p>
    <w:tbl>
      <w:tblPr>
        <w:tblpPr w:leftFromText="180" w:rightFromText="180" w:vertAnchor="page" w:horzAnchor="margin" w:tblpY="7201"/>
        <w:tblW w:w="8516" w:type="dxa"/>
        <w:tblBorders>
          <w:top w:val="single" w:sz="8" w:space="0" w:color="000000"/>
          <w:bottom w:val="single" w:sz="8" w:space="0" w:color="000000"/>
        </w:tblBorders>
        <w:tblLook w:val="0000" w:firstRow="0" w:lastRow="0" w:firstColumn="0" w:lastColumn="0" w:noHBand="0" w:noVBand="0"/>
      </w:tblPr>
      <w:tblGrid>
        <w:gridCol w:w="1384"/>
        <w:gridCol w:w="7132"/>
      </w:tblGrid>
      <w:tr w:rsidR="007338F2" w:rsidTr="008F7701">
        <w:tc>
          <w:tcPr>
            <w:tcW w:w="85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  <w:t>Table 2. Assessment of plaque accumulation by Modified Plaque Index (mPI)</w:t>
            </w:r>
          </w:p>
        </w:tc>
      </w:tr>
      <w:tr w:rsidR="007338F2" w:rsidTr="008F7701">
        <w:tc>
          <w:tcPr>
            <w:tcW w:w="1384" w:type="dxa"/>
            <w:tcBorders>
              <w:top w:val="single" w:sz="4" w:space="0" w:color="auto"/>
              <w:left w:val="nil"/>
              <w:right w:val="nil"/>
            </w:tcBorders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Score 0</w:t>
            </w: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：</w:t>
            </w:r>
          </w:p>
        </w:tc>
        <w:tc>
          <w:tcPr>
            <w:tcW w:w="7132" w:type="dxa"/>
            <w:tcBorders>
              <w:top w:val="single" w:sz="4" w:space="0" w:color="auto"/>
              <w:left w:val="nil"/>
              <w:right w:val="nil"/>
            </w:tcBorders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No detection of plaque.</w:t>
            </w:r>
          </w:p>
        </w:tc>
      </w:tr>
      <w:tr w:rsidR="007338F2" w:rsidTr="008F7701">
        <w:tc>
          <w:tcPr>
            <w:tcW w:w="1384" w:type="dxa"/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Score 1</w:t>
            </w: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：</w:t>
            </w:r>
          </w:p>
        </w:tc>
        <w:tc>
          <w:tcPr>
            <w:tcW w:w="7132" w:type="dxa"/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Plaque only recognized by running a probe across the smooth marginal surface of the implant. Implants covered by titanium spray in this spray in this area always score 1. </w:t>
            </w:r>
          </w:p>
        </w:tc>
      </w:tr>
      <w:tr w:rsidR="007338F2" w:rsidTr="008F7701">
        <w:tc>
          <w:tcPr>
            <w:tcW w:w="1384" w:type="dxa"/>
            <w:tcBorders>
              <w:left w:val="nil"/>
              <w:right w:val="nil"/>
            </w:tcBorders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Score 2</w:t>
            </w: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：</w:t>
            </w:r>
          </w:p>
        </w:tc>
        <w:tc>
          <w:tcPr>
            <w:tcW w:w="7132" w:type="dxa"/>
            <w:tcBorders>
              <w:left w:val="nil"/>
              <w:right w:val="nil"/>
            </w:tcBorders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Plaque can be seen by the naked eye.</w:t>
            </w:r>
          </w:p>
        </w:tc>
      </w:tr>
      <w:tr w:rsidR="007338F2" w:rsidTr="008F7701">
        <w:tc>
          <w:tcPr>
            <w:tcW w:w="1384" w:type="dxa"/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Score 3</w:t>
            </w: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：</w:t>
            </w:r>
          </w:p>
        </w:tc>
        <w:tc>
          <w:tcPr>
            <w:tcW w:w="7132" w:type="dxa"/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Abundance of soft matter. </w:t>
            </w:r>
          </w:p>
        </w:tc>
      </w:tr>
    </w:tbl>
    <w:p w:rsidR="007338F2" w:rsidRDefault="007338F2" w:rsidP="007338F2">
      <w:pPr>
        <w:spacing w:line="360" w:lineRule="auto"/>
        <w:rPr>
          <w:rFonts w:ascii="Times New Roman" w:hAnsi="Times New Roman"/>
          <w:kern w:val="0"/>
          <w:sz w:val="22"/>
          <w:szCs w:val="22"/>
        </w:rPr>
      </w:pPr>
    </w:p>
    <w:tbl>
      <w:tblPr>
        <w:tblpPr w:leftFromText="180" w:rightFromText="180" w:vertAnchor="page" w:horzAnchor="page" w:tblpX="1798" w:tblpY="12312"/>
        <w:tblW w:w="8516" w:type="dxa"/>
        <w:tblBorders>
          <w:top w:val="single" w:sz="8" w:space="0" w:color="000000"/>
          <w:bottom w:val="single" w:sz="8" w:space="0" w:color="000000"/>
        </w:tblBorders>
        <w:tblLook w:val="0000" w:firstRow="0" w:lastRow="0" w:firstColumn="0" w:lastColumn="0" w:noHBand="0" w:noVBand="0"/>
      </w:tblPr>
      <w:tblGrid>
        <w:gridCol w:w="1526"/>
        <w:gridCol w:w="6990"/>
      </w:tblGrid>
      <w:tr w:rsidR="007338F2" w:rsidTr="008F7701">
        <w:tc>
          <w:tcPr>
            <w:tcW w:w="85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338F2" w:rsidRDefault="007338F2" w:rsidP="008F7701">
            <w:pPr>
              <w:spacing w:line="360" w:lineRule="auto"/>
              <w:ind w:firstLineChars="100" w:firstLine="221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  <w:t>Table 3. Assessment of bleeding tendency by Modified Sulcus Bleeding Index (mBI)</w:t>
            </w:r>
          </w:p>
        </w:tc>
      </w:tr>
      <w:tr w:rsidR="007338F2" w:rsidTr="008F7701">
        <w:tc>
          <w:tcPr>
            <w:tcW w:w="1526" w:type="dxa"/>
            <w:tcBorders>
              <w:top w:val="single" w:sz="4" w:space="0" w:color="auto"/>
              <w:left w:val="nil"/>
              <w:right w:val="nil"/>
            </w:tcBorders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Score 0</w:t>
            </w: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：</w:t>
            </w:r>
          </w:p>
        </w:tc>
        <w:tc>
          <w:tcPr>
            <w:tcW w:w="6990" w:type="dxa"/>
            <w:tcBorders>
              <w:top w:val="single" w:sz="4" w:space="0" w:color="auto"/>
              <w:left w:val="nil"/>
              <w:right w:val="nil"/>
            </w:tcBorders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No bleeding when a periodontal probe is passed along the gingival margin adjacent to the implant.</w:t>
            </w:r>
          </w:p>
        </w:tc>
      </w:tr>
      <w:tr w:rsidR="007338F2" w:rsidTr="008F7701">
        <w:tc>
          <w:tcPr>
            <w:tcW w:w="1526" w:type="dxa"/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Score 1</w:t>
            </w: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：</w:t>
            </w:r>
          </w:p>
        </w:tc>
        <w:tc>
          <w:tcPr>
            <w:tcW w:w="6990" w:type="dxa"/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Isolated bleeding spots visible. </w:t>
            </w:r>
          </w:p>
        </w:tc>
      </w:tr>
      <w:tr w:rsidR="007338F2" w:rsidTr="008F7701">
        <w:tc>
          <w:tcPr>
            <w:tcW w:w="1526" w:type="dxa"/>
            <w:tcBorders>
              <w:left w:val="nil"/>
              <w:right w:val="nil"/>
            </w:tcBorders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Score 2</w:t>
            </w: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：</w:t>
            </w:r>
          </w:p>
        </w:tc>
        <w:tc>
          <w:tcPr>
            <w:tcW w:w="6990" w:type="dxa"/>
            <w:tcBorders>
              <w:left w:val="nil"/>
              <w:right w:val="nil"/>
            </w:tcBorders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Blood forms a confluent red line on margin.</w:t>
            </w:r>
          </w:p>
        </w:tc>
      </w:tr>
      <w:tr w:rsidR="007338F2" w:rsidTr="008F7701">
        <w:tc>
          <w:tcPr>
            <w:tcW w:w="1526" w:type="dxa"/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lastRenderedPageBreak/>
              <w:t>Score 3</w:t>
            </w: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：</w:t>
            </w:r>
          </w:p>
        </w:tc>
        <w:tc>
          <w:tcPr>
            <w:tcW w:w="6990" w:type="dxa"/>
          </w:tcPr>
          <w:p w:rsidR="007338F2" w:rsidRDefault="007338F2" w:rsidP="008F7701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Heavy or profuse bleeding.</w:t>
            </w:r>
          </w:p>
        </w:tc>
      </w:tr>
    </w:tbl>
    <w:p w:rsidR="007338F2" w:rsidRDefault="007338F2" w:rsidP="007338F2">
      <w:pPr>
        <w:spacing w:line="360" w:lineRule="auto"/>
        <w:rPr>
          <w:rFonts w:ascii="Times New Roman" w:hAnsi="Times New Roman"/>
          <w:kern w:val="0"/>
          <w:sz w:val="22"/>
          <w:szCs w:val="22"/>
        </w:rPr>
      </w:pPr>
    </w:p>
    <w:tbl>
      <w:tblPr>
        <w:tblpPr w:leftFromText="180" w:rightFromText="180" w:vertAnchor="page" w:horzAnchor="page" w:tblpX="1803" w:tblpY="1929"/>
        <w:tblOverlap w:val="never"/>
        <w:tblW w:w="8816" w:type="dxa"/>
        <w:tblBorders>
          <w:top w:val="single" w:sz="8" w:space="0" w:color="000000"/>
          <w:bottom w:val="single" w:sz="8" w:space="0" w:color="000000"/>
        </w:tblBorders>
        <w:tblLook w:val="0000" w:firstRow="0" w:lastRow="0" w:firstColumn="0" w:lastColumn="0" w:noHBand="0" w:noVBand="0"/>
      </w:tblPr>
      <w:tblGrid>
        <w:gridCol w:w="4125"/>
        <w:gridCol w:w="4691"/>
      </w:tblGrid>
      <w:tr w:rsidR="007338F2" w:rsidTr="008F7701">
        <w:trPr>
          <w:trHeight w:val="278"/>
        </w:trPr>
        <w:tc>
          <w:tcPr>
            <w:tcW w:w="88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  <w:t>Table 4.  Demographic data and sample characteristics in this study.</w:t>
            </w:r>
          </w:p>
        </w:tc>
      </w:tr>
      <w:tr w:rsidR="007338F2" w:rsidTr="008F7701">
        <w:trPr>
          <w:trHeight w:val="277"/>
        </w:trPr>
        <w:tc>
          <w:tcPr>
            <w:tcW w:w="88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338F2" w:rsidRDefault="007338F2" w:rsidP="008F7701">
            <w:pPr>
              <w:spacing w:line="360" w:lineRule="auto"/>
              <w:ind w:firstLineChars="700" w:firstLine="1540"/>
              <w:jc w:val="left"/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 xml:space="preserve">Variables                           </w:t>
            </w:r>
            <w:r>
              <w:rPr>
                <w:rFonts w:ascii="Times New Roman" w:hAnsi="Times New Roman" w:hint="eastAsia"/>
                <w:bCs/>
                <w:color w:val="000000"/>
                <w:kern w:val="0"/>
                <w:sz w:val="22"/>
                <w:szCs w:val="22"/>
              </w:rPr>
              <w:t xml:space="preserve">      </w:t>
            </w: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No. (%)</w:t>
            </w:r>
          </w:p>
        </w:tc>
      </w:tr>
      <w:tr w:rsidR="007338F2" w:rsidTr="008F7701">
        <w:tc>
          <w:tcPr>
            <w:tcW w:w="4125" w:type="dxa"/>
            <w:tcBorders>
              <w:top w:val="single" w:sz="4" w:space="0" w:color="auto"/>
              <w:bottom w:val="nil"/>
            </w:tcBorders>
          </w:tcPr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Patient gender</w:t>
            </w: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Male</w:t>
            </w: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Female</w:t>
            </w:r>
          </w:p>
        </w:tc>
        <w:tc>
          <w:tcPr>
            <w:tcW w:w="4691" w:type="dxa"/>
            <w:tcBorders>
              <w:top w:val="single" w:sz="4" w:space="0" w:color="auto"/>
              <w:bottom w:val="nil"/>
            </w:tcBorders>
          </w:tcPr>
          <w:p w:rsidR="007338F2" w:rsidRDefault="007338F2" w:rsidP="008F7701">
            <w:pPr>
              <w:spacing w:line="276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10 (41.7%)</w:t>
            </w: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14 (58.3%)</w:t>
            </w:r>
          </w:p>
        </w:tc>
      </w:tr>
      <w:tr w:rsidR="007338F2" w:rsidTr="008F7701"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</w:tcPr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Patient age</w:t>
            </w: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Mean age (range)</w:t>
            </w:r>
          </w:p>
        </w:tc>
        <w:tc>
          <w:tcPr>
            <w:tcW w:w="4691" w:type="dxa"/>
            <w:tcBorders>
              <w:top w:val="nil"/>
              <w:left w:val="nil"/>
              <w:bottom w:val="nil"/>
              <w:right w:val="nil"/>
            </w:tcBorders>
          </w:tcPr>
          <w:p w:rsidR="007338F2" w:rsidRDefault="007338F2" w:rsidP="008F7701">
            <w:pPr>
              <w:spacing w:line="276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43 (22-58 years)</w:t>
            </w:r>
          </w:p>
        </w:tc>
      </w:tr>
      <w:tr w:rsidR="007338F2" w:rsidTr="008F7701">
        <w:tc>
          <w:tcPr>
            <w:tcW w:w="4125" w:type="dxa"/>
            <w:tcBorders>
              <w:top w:val="nil"/>
              <w:bottom w:val="nil"/>
            </w:tcBorders>
          </w:tcPr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Systemic disease</w:t>
            </w: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Diabetes mellitus</w:t>
            </w:r>
          </w:p>
        </w:tc>
        <w:tc>
          <w:tcPr>
            <w:tcW w:w="4691" w:type="dxa"/>
            <w:tcBorders>
              <w:top w:val="nil"/>
              <w:bottom w:val="nil"/>
            </w:tcBorders>
          </w:tcPr>
          <w:p w:rsidR="007338F2" w:rsidRDefault="007338F2" w:rsidP="008F7701">
            <w:pPr>
              <w:spacing w:line="276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 (12.5%)</w:t>
            </w:r>
          </w:p>
        </w:tc>
      </w:tr>
      <w:tr w:rsidR="007338F2" w:rsidTr="008F7701"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</w:tcPr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Implant location</w:t>
            </w: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Maxilla</w:t>
            </w: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Mandible</w:t>
            </w:r>
          </w:p>
        </w:tc>
        <w:tc>
          <w:tcPr>
            <w:tcW w:w="4691" w:type="dxa"/>
            <w:tcBorders>
              <w:top w:val="nil"/>
              <w:left w:val="nil"/>
              <w:bottom w:val="nil"/>
              <w:right w:val="nil"/>
            </w:tcBorders>
          </w:tcPr>
          <w:p w:rsidR="007338F2" w:rsidRDefault="007338F2" w:rsidP="008F7701">
            <w:pPr>
              <w:spacing w:line="276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9 (37.5%)</w:t>
            </w: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15 (62.5%)</w:t>
            </w:r>
          </w:p>
        </w:tc>
      </w:tr>
      <w:tr w:rsidR="007338F2" w:rsidTr="008F7701">
        <w:tc>
          <w:tcPr>
            <w:tcW w:w="4125" w:type="dxa"/>
            <w:tcBorders>
              <w:top w:val="nil"/>
              <w:bottom w:val="nil"/>
            </w:tcBorders>
          </w:tcPr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Implant length</w:t>
            </w: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8 mm</w:t>
            </w: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8.5 mm</w:t>
            </w: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10 mm</w:t>
            </w: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12 mm</w:t>
            </w:r>
          </w:p>
        </w:tc>
        <w:tc>
          <w:tcPr>
            <w:tcW w:w="4691" w:type="dxa"/>
            <w:tcBorders>
              <w:top w:val="nil"/>
              <w:bottom w:val="nil"/>
            </w:tcBorders>
          </w:tcPr>
          <w:p w:rsidR="007338F2" w:rsidRDefault="007338F2" w:rsidP="008F7701">
            <w:pPr>
              <w:spacing w:line="276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9 (37.5%)</w:t>
            </w: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5 (20.8%)</w:t>
            </w: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7 (29.2%)</w:t>
            </w: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3(12.5%)</w:t>
            </w:r>
          </w:p>
        </w:tc>
      </w:tr>
      <w:tr w:rsidR="007338F2" w:rsidTr="008F7701">
        <w:tc>
          <w:tcPr>
            <w:tcW w:w="4125" w:type="dxa"/>
            <w:tcBorders>
              <w:top w:val="nil"/>
              <w:left w:val="nil"/>
              <w:right w:val="nil"/>
            </w:tcBorders>
          </w:tcPr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Gingival biotype</w:t>
            </w: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Thin</w:t>
            </w: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2"/>
                <w:szCs w:val="22"/>
              </w:rPr>
              <w:t>Thick</w:t>
            </w:r>
          </w:p>
        </w:tc>
        <w:tc>
          <w:tcPr>
            <w:tcW w:w="4691" w:type="dxa"/>
            <w:tcBorders>
              <w:top w:val="nil"/>
              <w:left w:val="nil"/>
              <w:right w:val="nil"/>
            </w:tcBorders>
          </w:tcPr>
          <w:p w:rsidR="007338F2" w:rsidRDefault="007338F2" w:rsidP="008F7701">
            <w:pPr>
              <w:spacing w:line="276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  <w:p w:rsidR="007338F2" w:rsidRDefault="007338F2" w:rsidP="008F7701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8(33.3%)</w:t>
            </w:r>
          </w:p>
          <w:p w:rsidR="007338F2" w:rsidRDefault="007338F2" w:rsidP="008F7701">
            <w:pPr>
              <w:spacing w:line="276" w:lineRule="auto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               16(66.7%)</w:t>
            </w:r>
          </w:p>
        </w:tc>
      </w:tr>
    </w:tbl>
    <w:p w:rsidR="007338F2" w:rsidRDefault="007338F2" w:rsidP="007338F2">
      <w:pPr>
        <w:spacing w:line="360" w:lineRule="auto"/>
        <w:rPr>
          <w:rFonts w:ascii="Times New Roman" w:hAnsi="Times New Roman"/>
          <w:kern w:val="0"/>
          <w:sz w:val="22"/>
          <w:szCs w:val="22"/>
        </w:rPr>
      </w:pPr>
    </w:p>
    <w:p w:rsidR="007338F2" w:rsidRDefault="007338F2" w:rsidP="007338F2">
      <w:pPr>
        <w:spacing w:line="360" w:lineRule="auto"/>
        <w:rPr>
          <w:rFonts w:ascii="Times New Roman" w:hAnsi="Times New Roman"/>
          <w:kern w:val="0"/>
          <w:sz w:val="22"/>
          <w:szCs w:val="22"/>
        </w:rPr>
      </w:pPr>
    </w:p>
    <w:p w:rsidR="007338F2" w:rsidRDefault="007338F2" w:rsidP="007338F2">
      <w:pPr>
        <w:spacing w:line="360" w:lineRule="auto"/>
        <w:rPr>
          <w:rFonts w:ascii="Times New Roman" w:hAnsi="Times New Roman"/>
          <w:kern w:val="0"/>
          <w:sz w:val="22"/>
          <w:szCs w:val="22"/>
        </w:rPr>
      </w:pPr>
    </w:p>
    <w:p w:rsidR="007338F2" w:rsidRDefault="007338F2" w:rsidP="007338F2">
      <w:pPr>
        <w:spacing w:line="360" w:lineRule="auto"/>
        <w:rPr>
          <w:rFonts w:ascii="Times New Roman" w:hAnsi="Times New Roman"/>
          <w:kern w:val="0"/>
          <w:sz w:val="22"/>
          <w:szCs w:val="22"/>
        </w:rPr>
      </w:pPr>
    </w:p>
    <w:p w:rsidR="007338F2" w:rsidRDefault="007338F2" w:rsidP="007338F2">
      <w:pPr>
        <w:spacing w:line="360" w:lineRule="auto"/>
        <w:rPr>
          <w:rFonts w:ascii="Times New Roman" w:hAnsi="Times New Roman"/>
          <w:kern w:val="0"/>
          <w:sz w:val="22"/>
          <w:szCs w:val="22"/>
        </w:rPr>
      </w:pPr>
    </w:p>
    <w:p w:rsidR="007338F2" w:rsidRDefault="007338F2" w:rsidP="007338F2">
      <w:pPr>
        <w:spacing w:line="360" w:lineRule="auto"/>
        <w:rPr>
          <w:rFonts w:ascii="Times New Roman" w:hAnsi="Times New Roman"/>
          <w:kern w:val="0"/>
          <w:sz w:val="22"/>
          <w:szCs w:val="22"/>
        </w:rPr>
      </w:pPr>
    </w:p>
    <w:p w:rsidR="007338F2" w:rsidRDefault="007338F2" w:rsidP="007338F2">
      <w:pPr>
        <w:spacing w:line="360" w:lineRule="auto"/>
        <w:rPr>
          <w:rFonts w:ascii="Times New Roman" w:hAnsi="Times New Roman"/>
          <w:kern w:val="0"/>
          <w:sz w:val="22"/>
          <w:szCs w:val="22"/>
        </w:rPr>
      </w:pPr>
    </w:p>
    <w:p w:rsidR="007338F2" w:rsidRDefault="007338F2" w:rsidP="007338F2">
      <w:pPr>
        <w:spacing w:line="360" w:lineRule="auto"/>
        <w:rPr>
          <w:rFonts w:ascii="Times New Roman" w:hAnsi="Times New Roman"/>
          <w:kern w:val="0"/>
          <w:sz w:val="22"/>
          <w:szCs w:val="22"/>
        </w:rPr>
      </w:pPr>
    </w:p>
    <w:p w:rsidR="007338F2" w:rsidRDefault="007338F2" w:rsidP="007338F2">
      <w:pPr>
        <w:spacing w:line="360" w:lineRule="auto"/>
        <w:rPr>
          <w:rFonts w:ascii="Times New Roman" w:hAnsi="Times New Roman"/>
          <w:kern w:val="0"/>
          <w:sz w:val="22"/>
          <w:szCs w:val="22"/>
        </w:rPr>
      </w:pPr>
    </w:p>
    <w:tbl>
      <w:tblPr>
        <w:tblpPr w:leftFromText="180" w:rightFromText="180" w:vertAnchor="page" w:horzAnchor="page" w:tblpX="1873" w:tblpY="1689"/>
        <w:tblW w:w="8931" w:type="dxa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1242"/>
        <w:gridCol w:w="1843"/>
        <w:gridCol w:w="1559"/>
        <w:gridCol w:w="1418"/>
        <w:gridCol w:w="1417"/>
        <w:gridCol w:w="1452"/>
      </w:tblGrid>
      <w:tr w:rsidR="007338F2" w:rsidTr="008F7701">
        <w:tc>
          <w:tcPr>
            <w:tcW w:w="8931" w:type="dxa"/>
            <w:gridSpan w:val="6"/>
            <w:tcBorders>
              <w:bottom w:val="single" w:sz="4" w:space="0" w:color="auto"/>
              <w:tl2br w:val="nil"/>
              <w:tr2bl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kern w:val="0"/>
                <w:sz w:val="22"/>
                <w:szCs w:val="22"/>
              </w:rPr>
              <w:lastRenderedPageBreak/>
              <w:t>Table 5.  Clinical parameters of soft tissue (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Mean±SD) </w:t>
            </w:r>
            <w:r>
              <w:rPr>
                <w:rFonts w:ascii="Times New Roman" w:hAnsi="Times New Roman"/>
                <w:b/>
                <w:kern w:val="0"/>
                <w:sz w:val="22"/>
                <w:szCs w:val="22"/>
              </w:rPr>
              <w:t>from 3 month to 6 month.</w:t>
            </w:r>
          </w:p>
        </w:tc>
      </w:tr>
      <w:tr w:rsidR="007338F2" w:rsidTr="008F7701"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Periods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Papillae height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mPI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mBI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PD (mm)</w:t>
            </w: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GML (mm)</w:t>
            </w:r>
          </w:p>
        </w:tc>
      </w:tr>
      <w:tr w:rsidR="007338F2" w:rsidTr="008F7701">
        <w:tc>
          <w:tcPr>
            <w:tcW w:w="1242" w:type="dxa"/>
            <w:tcBorders>
              <w:top w:val="single" w:sz="4" w:space="0" w:color="auto"/>
              <w:tl2br w:val="nil"/>
              <w:tr2bl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 month</w:t>
            </w:r>
          </w:p>
        </w:tc>
        <w:tc>
          <w:tcPr>
            <w:tcW w:w="1843" w:type="dxa"/>
            <w:tcBorders>
              <w:top w:val="single" w:sz="4" w:space="0" w:color="auto"/>
              <w:tl2br w:val="nil"/>
              <w:tr2bl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2.75 ± 0.32</w:t>
            </w:r>
          </w:p>
        </w:tc>
        <w:tc>
          <w:tcPr>
            <w:tcW w:w="1559" w:type="dxa"/>
            <w:tcBorders>
              <w:top w:val="single" w:sz="4" w:space="0" w:color="auto"/>
              <w:tl2br w:val="nil"/>
              <w:tr2bl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0.96 ± 0.81</w:t>
            </w:r>
          </w:p>
        </w:tc>
        <w:tc>
          <w:tcPr>
            <w:tcW w:w="1418" w:type="dxa"/>
            <w:tcBorders>
              <w:top w:val="single" w:sz="4" w:space="0" w:color="auto"/>
              <w:tl2br w:val="nil"/>
              <w:tr2bl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0.63 ± 0.77</w:t>
            </w:r>
          </w:p>
        </w:tc>
        <w:tc>
          <w:tcPr>
            <w:tcW w:w="1417" w:type="dxa"/>
            <w:tcBorders>
              <w:top w:val="single" w:sz="4" w:space="0" w:color="auto"/>
              <w:tl2br w:val="nil"/>
              <w:tr2bl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2.04 ± 0.45</w:t>
            </w:r>
          </w:p>
        </w:tc>
        <w:tc>
          <w:tcPr>
            <w:tcW w:w="1452" w:type="dxa"/>
            <w:tcBorders>
              <w:top w:val="single" w:sz="4" w:space="0" w:color="auto"/>
              <w:tl2br w:val="nil"/>
              <w:tr2bl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8.00 ± 1.17</w:t>
            </w:r>
          </w:p>
        </w:tc>
      </w:tr>
      <w:tr w:rsidR="007338F2" w:rsidTr="008F7701">
        <w:tc>
          <w:tcPr>
            <w:tcW w:w="1242" w:type="dxa"/>
            <w:tcBorders>
              <w:tl2br w:val="nil"/>
              <w:tr2bl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 month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2.60 ± 0.35</w:t>
            </w:r>
          </w:p>
        </w:tc>
        <w:tc>
          <w:tcPr>
            <w:tcW w:w="1559" w:type="dxa"/>
            <w:tcBorders>
              <w:tl2br w:val="nil"/>
              <w:tr2bl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1.08 ± 0.83</w:t>
            </w:r>
          </w:p>
        </w:tc>
        <w:tc>
          <w:tcPr>
            <w:tcW w:w="1418" w:type="dxa"/>
            <w:tcBorders>
              <w:tl2br w:val="nil"/>
              <w:tr2bl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0.71 ± 0.81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2.17 ± 0.41</w:t>
            </w:r>
          </w:p>
        </w:tc>
        <w:tc>
          <w:tcPr>
            <w:tcW w:w="1452" w:type="dxa"/>
            <w:tcBorders>
              <w:tl2br w:val="nil"/>
              <w:tr2bl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7.75 ± 1.18</w:t>
            </w:r>
          </w:p>
        </w:tc>
      </w:tr>
      <w:tr w:rsidR="007338F2" w:rsidTr="008F7701">
        <w:tc>
          <w:tcPr>
            <w:tcW w:w="1242" w:type="dxa"/>
            <w:tcBorders>
              <w:tl2br w:val="nil"/>
              <w:tr2bl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i/>
                <w:sz w:val="22"/>
                <w:szCs w:val="22"/>
              </w:rPr>
              <w:t>P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＞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0.05</w:t>
            </w:r>
          </w:p>
        </w:tc>
        <w:tc>
          <w:tcPr>
            <w:tcW w:w="1559" w:type="dxa"/>
            <w:tcBorders>
              <w:tl2br w:val="nil"/>
              <w:tr2bl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＞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0.05</w:t>
            </w:r>
          </w:p>
        </w:tc>
        <w:tc>
          <w:tcPr>
            <w:tcW w:w="1418" w:type="dxa"/>
            <w:tcBorders>
              <w:tl2br w:val="nil"/>
              <w:tr2bl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＞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0.05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＞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0.05</w:t>
            </w:r>
          </w:p>
        </w:tc>
        <w:tc>
          <w:tcPr>
            <w:tcW w:w="1452" w:type="dxa"/>
            <w:tcBorders>
              <w:tl2br w:val="nil"/>
              <w:tr2bl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＞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0.05</w:t>
            </w:r>
          </w:p>
        </w:tc>
      </w:tr>
    </w:tbl>
    <w:p w:rsidR="007338F2" w:rsidRDefault="007338F2" w:rsidP="007338F2">
      <w:pPr>
        <w:spacing w:line="360" w:lineRule="auto"/>
        <w:rPr>
          <w:rFonts w:ascii="Times New Roman" w:hAnsi="Times New Roman"/>
          <w:kern w:val="0"/>
          <w:sz w:val="22"/>
          <w:szCs w:val="22"/>
        </w:rPr>
      </w:pPr>
    </w:p>
    <w:p w:rsidR="007338F2" w:rsidRDefault="007338F2" w:rsidP="007338F2">
      <w:pPr>
        <w:spacing w:line="360" w:lineRule="auto"/>
        <w:rPr>
          <w:rFonts w:ascii="Times New Roman" w:hAnsi="Times New Roman"/>
          <w:kern w:val="0"/>
          <w:sz w:val="22"/>
          <w:szCs w:val="22"/>
        </w:rPr>
      </w:pPr>
    </w:p>
    <w:p w:rsidR="007338F2" w:rsidRDefault="007338F2" w:rsidP="007338F2">
      <w:pPr>
        <w:spacing w:line="360" w:lineRule="auto"/>
        <w:rPr>
          <w:rFonts w:ascii="Times New Roman" w:hAnsi="Times New Roman"/>
          <w:kern w:val="0"/>
          <w:sz w:val="22"/>
          <w:szCs w:val="22"/>
        </w:rPr>
      </w:pPr>
    </w:p>
    <w:p w:rsidR="007338F2" w:rsidRDefault="007338F2" w:rsidP="007338F2">
      <w:pPr>
        <w:spacing w:line="360" w:lineRule="auto"/>
        <w:rPr>
          <w:rFonts w:ascii="Times New Roman" w:hAnsi="Times New Roman"/>
          <w:kern w:val="0"/>
          <w:sz w:val="22"/>
          <w:szCs w:val="22"/>
        </w:rPr>
      </w:pPr>
    </w:p>
    <w:tbl>
      <w:tblPr>
        <w:tblpPr w:leftFromText="180" w:rightFromText="180" w:vertAnchor="text" w:horzAnchor="page" w:tblpX="1873" w:tblpY="138"/>
        <w:tblOverlap w:val="never"/>
        <w:tblW w:w="8829" w:type="dxa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1242"/>
        <w:gridCol w:w="2268"/>
        <w:gridCol w:w="1985"/>
        <w:gridCol w:w="3334"/>
      </w:tblGrid>
      <w:tr w:rsidR="007338F2" w:rsidTr="008F7701">
        <w:tc>
          <w:tcPr>
            <w:tcW w:w="8829" w:type="dxa"/>
            <w:gridSpan w:val="4"/>
            <w:tcBorders>
              <w:bottom w:val="single" w:sz="4" w:space="0" w:color="auto"/>
            </w:tcBorders>
          </w:tcPr>
          <w:p w:rsidR="007338F2" w:rsidRDefault="007338F2" w:rsidP="008F7701">
            <w:pPr>
              <w:spacing w:line="360" w:lineRule="auto"/>
              <w:ind w:firstLineChars="200" w:firstLine="442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kern w:val="0"/>
                <w:sz w:val="22"/>
                <w:szCs w:val="22"/>
              </w:rPr>
              <w:t>Table 6.  Clinical parameters of hard tissue (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Mean±SD) </w:t>
            </w:r>
            <w:r>
              <w:rPr>
                <w:rFonts w:ascii="Times New Roman" w:hAnsi="Times New Roman"/>
                <w:b/>
                <w:kern w:val="0"/>
                <w:sz w:val="22"/>
                <w:szCs w:val="22"/>
              </w:rPr>
              <w:t>from 3 month to 6 month.</w:t>
            </w:r>
          </w:p>
        </w:tc>
      </w:tr>
      <w:tr w:rsidR="007338F2" w:rsidTr="008F7701"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Periods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Mesial 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t>fBIC-IS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Distal 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t>fBIC-IS</w:t>
            </w:r>
          </w:p>
        </w:tc>
        <w:tc>
          <w:tcPr>
            <w:tcW w:w="3334" w:type="dxa"/>
            <w:tcBorders>
              <w:top w:val="single" w:sz="4" w:space="0" w:color="auto"/>
              <w:bottom w:val="single" w:sz="4" w:space="0" w:color="auto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Mean 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t>fBIC-IS</w:t>
            </w:r>
            <w:r>
              <w:rPr>
                <w:rFonts w:ascii="Times New Roman" w:hAnsi="Times New Roman"/>
                <w:sz w:val="22"/>
                <w:szCs w:val="22"/>
              </w:rPr>
              <w:t>（（</w:t>
            </w:r>
            <w:r>
              <w:rPr>
                <w:rFonts w:ascii="Times New Roman" w:hAnsi="Times New Roman"/>
                <w:sz w:val="22"/>
                <w:szCs w:val="22"/>
              </w:rPr>
              <w:t>M+D</w:t>
            </w:r>
            <w:r>
              <w:rPr>
                <w:rFonts w:ascii="Times New Roman" w:hAnsi="Times New Roman"/>
                <w:sz w:val="22"/>
                <w:szCs w:val="22"/>
              </w:rPr>
              <w:t>）</w:t>
            </w:r>
            <w:r>
              <w:rPr>
                <w:rFonts w:ascii="Times New Roman" w:hAnsi="Times New Roman"/>
                <w:sz w:val="22"/>
                <w:szCs w:val="22"/>
              </w:rPr>
              <w:t>/2</w:t>
            </w:r>
            <w:r>
              <w:rPr>
                <w:rFonts w:ascii="Times New Roman" w:hAnsi="Times New Roman"/>
                <w:sz w:val="22"/>
                <w:szCs w:val="22"/>
              </w:rPr>
              <w:t>）</w:t>
            </w:r>
          </w:p>
        </w:tc>
      </w:tr>
      <w:tr w:rsidR="007338F2" w:rsidTr="008F7701">
        <w:trPr>
          <w:trHeight w:val="136"/>
        </w:trPr>
        <w:tc>
          <w:tcPr>
            <w:tcW w:w="1242" w:type="dxa"/>
            <w:tcBorders>
              <w:top w:val="single" w:sz="4" w:space="0" w:color="auto"/>
              <w:bottom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Baseline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0.76 ± 1.17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0.40 ± 1.39</w:t>
            </w:r>
          </w:p>
        </w:tc>
        <w:tc>
          <w:tcPr>
            <w:tcW w:w="3334" w:type="dxa"/>
            <w:tcBorders>
              <w:top w:val="single" w:sz="4" w:space="0" w:color="auto"/>
              <w:bottom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0.58 ± 1.20</w:t>
            </w:r>
          </w:p>
        </w:tc>
      </w:tr>
      <w:tr w:rsidR="007338F2" w:rsidTr="008F7701">
        <w:trPr>
          <w:trHeight w:val="135"/>
        </w:trPr>
        <w:tc>
          <w:tcPr>
            <w:tcW w:w="1242" w:type="dxa"/>
            <w:tcBorders>
              <w:top w:val="nil"/>
              <w:bottom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 month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0.15 ± 1.31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0.05 ± 1.41</w:t>
            </w:r>
          </w:p>
        </w:tc>
        <w:tc>
          <w:tcPr>
            <w:tcW w:w="3334" w:type="dxa"/>
            <w:tcBorders>
              <w:top w:val="nil"/>
              <w:bottom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0.28 ± 1.31</w:t>
            </w:r>
          </w:p>
        </w:tc>
      </w:tr>
      <w:tr w:rsidR="007338F2" w:rsidTr="008F7701">
        <w:tc>
          <w:tcPr>
            <w:tcW w:w="1242" w:type="dxa"/>
            <w:tcBorders>
              <w:top w:val="nil"/>
              <w:bottom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 month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0.05 ± 1.32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-0.19 ± 1.56</w:t>
            </w:r>
          </w:p>
        </w:tc>
        <w:tc>
          <w:tcPr>
            <w:tcW w:w="3334" w:type="dxa"/>
            <w:tcBorders>
              <w:top w:val="nil"/>
              <w:bottom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-0.07 ± 1.36</w:t>
            </w:r>
          </w:p>
        </w:tc>
      </w:tr>
      <w:tr w:rsidR="007338F2" w:rsidTr="008F7701">
        <w:tc>
          <w:tcPr>
            <w:tcW w:w="1242" w:type="dxa"/>
            <w:tcBorders>
              <w:top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i/>
                <w:sz w:val="22"/>
                <w:szCs w:val="22"/>
              </w:rPr>
              <w:t>P</w:t>
            </w:r>
          </w:p>
        </w:tc>
        <w:tc>
          <w:tcPr>
            <w:tcW w:w="2268" w:type="dxa"/>
            <w:tcBorders>
              <w:top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＞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0.05</w:t>
            </w:r>
          </w:p>
        </w:tc>
        <w:tc>
          <w:tcPr>
            <w:tcW w:w="1985" w:type="dxa"/>
            <w:tcBorders>
              <w:top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＞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0.05</w:t>
            </w:r>
          </w:p>
        </w:tc>
        <w:tc>
          <w:tcPr>
            <w:tcW w:w="3334" w:type="dxa"/>
            <w:tcBorders>
              <w:top w:val="nil"/>
            </w:tcBorders>
          </w:tcPr>
          <w:p w:rsidR="007338F2" w:rsidRDefault="007338F2" w:rsidP="008F7701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＞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0.05</w:t>
            </w:r>
          </w:p>
        </w:tc>
      </w:tr>
    </w:tbl>
    <w:p w:rsidR="007338F2" w:rsidRDefault="007338F2" w:rsidP="007338F2">
      <w:pPr>
        <w:rPr>
          <w:rFonts w:ascii="Times New Roman" w:hAnsi="Times New Roman"/>
          <w:sz w:val="22"/>
          <w:szCs w:val="22"/>
        </w:rPr>
      </w:pPr>
    </w:p>
    <w:p w:rsidR="001760E5" w:rsidRDefault="007338F2">
      <w:bookmarkStart w:id="0" w:name="_GoBack"/>
      <w:bookmarkEnd w:id="0"/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8F2"/>
    <w:rsid w:val="007338F2"/>
    <w:rsid w:val="008A3324"/>
    <w:rsid w:val="00996CDB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496648-E8C5-411D-8725-28994762C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38F2"/>
    <w:pPr>
      <w:widowControl w:val="0"/>
      <w:spacing w:after="0" w:line="240" w:lineRule="auto"/>
      <w:jc w:val="both"/>
    </w:pPr>
    <w:rPr>
      <w:rFonts w:ascii="Cambria" w:eastAsia="SimSun" w:hAnsi="Cambria" w:cs="Times New Roman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2022-07-05T15:39:00Z</dcterms:created>
  <dcterms:modified xsi:type="dcterms:W3CDTF">2022-07-05T15:40:00Z</dcterms:modified>
</cp:coreProperties>
</file>